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12079" w14:textId="77777777" w:rsidR="00641596" w:rsidRDefault="00641596"/>
    <w:p w14:paraId="37F79893" w14:textId="77777777" w:rsidR="00F0321B" w:rsidRDefault="00F0321B"/>
    <w:p w14:paraId="30A51858" w14:textId="77777777" w:rsidR="00F0321B" w:rsidRDefault="00F0321B"/>
    <w:p w14:paraId="48A3B2BF" w14:textId="77777777" w:rsidR="00F0321B" w:rsidRDefault="00F0321B"/>
    <w:p w14:paraId="4B0D2DDD" w14:textId="77777777" w:rsidR="00F0321B" w:rsidRDefault="00F0321B"/>
    <w:p w14:paraId="53A56761" w14:textId="77777777" w:rsidR="00F0321B" w:rsidRDefault="00F0321B"/>
    <w:p w14:paraId="0B7BC3E4" w14:textId="77777777" w:rsidR="00F0321B" w:rsidRDefault="00F0321B"/>
    <w:p w14:paraId="2616B887" w14:textId="77777777" w:rsidR="00F0321B" w:rsidRDefault="00F0321B"/>
    <w:p w14:paraId="50B1DD72" w14:textId="77777777" w:rsidR="00F0321B" w:rsidRDefault="00F0321B"/>
    <w:sdt>
      <w:sdtPr>
        <w:rPr>
          <w:rFonts w:ascii="Impact" w:eastAsiaTheme="majorEastAsia" w:hAnsi="Impact" w:cstheme="majorBidi"/>
          <w:sz w:val="56"/>
          <w:szCs w:val="56"/>
        </w:rPr>
        <w:id w:val="94421842"/>
        <w:docPartObj>
          <w:docPartGallery w:val="Cover Pages"/>
          <w:docPartUnique/>
        </w:docPartObj>
      </w:sdtPr>
      <w:sdtEndPr>
        <w:rPr>
          <w:rFonts w:ascii="Cambria" w:eastAsiaTheme="minorEastAsia" w:hAnsi="Cambria" w:cs="Times New Roman"/>
          <w:sz w:val="20"/>
          <w:szCs w:val="22"/>
        </w:rPr>
      </w:sdtEndPr>
      <w:sdtContent>
        <w:tbl>
          <w:tblPr>
            <w:tblW w:w="5000" w:type="pct"/>
            <w:jc w:val="center"/>
            <w:tblLook w:val="04A0" w:firstRow="1" w:lastRow="0" w:firstColumn="1" w:lastColumn="0" w:noHBand="0" w:noVBand="1"/>
          </w:tblPr>
          <w:tblGrid>
            <w:gridCol w:w="6984"/>
          </w:tblGrid>
          <w:tr w:rsidR="00F75D17" w14:paraId="775F2ED7" w14:textId="77777777" w:rsidTr="00532303">
            <w:trPr>
              <w:trHeight w:val="1440"/>
              <w:jc w:val="center"/>
            </w:trPr>
            <w:sdt>
              <w:sdtPr>
                <w:rPr>
                  <w:rFonts w:ascii="Impact" w:eastAsiaTheme="majorEastAsia" w:hAnsi="Impact" w:cstheme="majorBidi"/>
                  <w:sz w:val="56"/>
                  <w:szCs w:val="56"/>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vAlign w:val="center"/>
                  </w:tcPr>
                  <w:p w14:paraId="5289466A" w14:textId="77777777" w:rsidR="00F75D17" w:rsidRDefault="007E3004" w:rsidP="00F75D17">
                    <w:pPr>
                      <w:pStyle w:val="NoSpacing"/>
                      <w:jc w:val="center"/>
                      <w:rPr>
                        <w:rFonts w:asciiTheme="majorHAnsi" w:eastAsiaTheme="majorEastAsia" w:hAnsiTheme="majorHAnsi" w:cstheme="majorBidi"/>
                        <w:sz w:val="80"/>
                        <w:szCs w:val="80"/>
                      </w:rPr>
                    </w:pPr>
                    <w:r>
                      <w:rPr>
                        <w:rFonts w:ascii="Impact" w:eastAsiaTheme="majorEastAsia" w:hAnsi="Impact" w:cstheme="majorBidi"/>
                        <w:sz w:val="56"/>
                        <w:szCs w:val="56"/>
                      </w:rPr>
                      <w:t>The Great Housing Bubble: Why Did House Prices Fall?</w:t>
                    </w:r>
                  </w:p>
                </w:tc>
              </w:sdtContent>
            </w:sdt>
          </w:tr>
          <w:tr w:rsidR="00F75D17" w14:paraId="7FB85330" w14:textId="77777777" w:rsidTr="00532303">
            <w:trPr>
              <w:trHeight w:val="720"/>
              <w:jc w:val="center"/>
            </w:trPr>
            <w:sdt>
              <w:sdtPr>
                <w:rPr>
                  <w:rFonts w:eastAsiaTheme="majorEastAsia" w:cs="Times New Roman"/>
                  <w:sz w:val="36"/>
                  <w:szCs w:val="36"/>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14:paraId="1994E23F" w14:textId="77777777" w:rsidR="00F75D17" w:rsidRDefault="00C02C9D" w:rsidP="00C02C9D">
                    <w:pPr>
                      <w:pStyle w:val="NoSpacing"/>
                      <w:jc w:val="center"/>
                      <w:rPr>
                        <w:rFonts w:asciiTheme="majorHAnsi" w:eastAsiaTheme="majorEastAsia" w:hAnsiTheme="majorHAnsi" w:cstheme="majorBidi"/>
                        <w:sz w:val="44"/>
                        <w:szCs w:val="44"/>
                      </w:rPr>
                    </w:pPr>
                    <w:r w:rsidRPr="00532303">
                      <w:rPr>
                        <w:rFonts w:eastAsiaTheme="majorEastAsia" w:cs="Times New Roman"/>
                        <w:sz w:val="36"/>
                        <w:szCs w:val="36"/>
                      </w:rPr>
                      <w:t>Why Did</w:t>
                    </w:r>
                    <w:r w:rsidR="00F75D17" w:rsidRPr="00532303">
                      <w:rPr>
                        <w:rFonts w:eastAsiaTheme="majorEastAsia" w:cs="Times New Roman"/>
                        <w:sz w:val="36"/>
                        <w:szCs w:val="36"/>
                      </w:rPr>
                      <w:t xml:space="preserve"> </w:t>
                    </w:r>
                    <w:r w:rsidR="00FE470B" w:rsidRPr="00532303">
                      <w:rPr>
                        <w:rFonts w:eastAsiaTheme="majorEastAsia" w:cs="Times New Roman"/>
                        <w:sz w:val="36"/>
                        <w:szCs w:val="36"/>
                      </w:rPr>
                      <w:t xml:space="preserve">House </w:t>
                    </w:r>
                    <w:r w:rsidR="00F75D17" w:rsidRPr="00532303">
                      <w:rPr>
                        <w:rFonts w:eastAsiaTheme="majorEastAsia" w:cs="Times New Roman"/>
                        <w:sz w:val="36"/>
                        <w:szCs w:val="36"/>
                      </w:rPr>
                      <w:t>Prices</w:t>
                    </w:r>
                    <w:r w:rsidRPr="00532303">
                      <w:rPr>
                        <w:rFonts w:eastAsiaTheme="majorEastAsia" w:cs="Times New Roman"/>
                        <w:sz w:val="36"/>
                        <w:szCs w:val="36"/>
                      </w:rPr>
                      <w:t xml:space="preserve"> Fall?</w:t>
                    </w:r>
                  </w:p>
                </w:tc>
              </w:sdtContent>
            </w:sdt>
          </w:tr>
          <w:tr w:rsidR="00F75D17" w14:paraId="6BA08434" w14:textId="77777777">
            <w:trPr>
              <w:trHeight w:val="360"/>
              <w:jc w:val="center"/>
            </w:trPr>
            <w:tc>
              <w:tcPr>
                <w:tcW w:w="5000" w:type="pct"/>
                <w:vAlign w:val="center"/>
              </w:tcPr>
              <w:p w14:paraId="5D5C6381" w14:textId="77777777" w:rsidR="00F75D17" w:rsidRDefault="00F75D17">
                <w:pPr>
                  <w:pStyle w:val="NoSpacing"/>
                  <w:jc w:val="center"/>
                </w:pPr>
              </w:p>
              <w:p w14:paraId="3C622A80" w14:textId="77777777" w:rsidR="00641596" w:rsidRDefault="00641596">
                <w:pPr>
                  <w:pStyle w:val="NoSpacing"/>
                  <w:jc w:val="center"/>
                </w:pPr>
              </w:p>
              <w:p w14:paraId="1D0533CA" w14:textId="77777777" w:rsidR="00641596" w:rsidRDefault="00641596">
                <w:pPr>
                  <w:pStyle w:val="NoSpacing"/>
                  <w:jc w:val="center"/>
                </w:pPr>
              </w:p>
            </w:tc>
          </w:tr>
          <w:tr w:rsidR="00F75D17" w14:paraId="02565A45" w14:textId="77777777">
            <w:trPr>
              <w:trHeight w:val="360"/>
              <w:jc w:val="center"/>
            </w:tr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14:paraId="07FCA519" w14:textId="77777777" w:rsidR="00F75D17" w:rsidRDefault="00F75D17" w:rsidP="00F75D17">
                    <w:pPr>
                      <w:pStyle w:val="NoSpacing"/>
                      <w:jc w:val="center"/>
                      <w:rPr>
                        <w:b/>
                        <w:bCs/>
                      </w:rPr>
                    </w:pPr>
                    <w:r>
                      <w:rPr>
                        <w:b/>
                        <w:bCs/>
                      </w:rPr>
                      <w:t>Lawrence Roberts</w:t>
                    </w:r>
                  </w:p>
                </w:tc>
              </w:sdtContent>
            </w:sdt>
          </w:tr>
          <w:tr w:rsidR="00F75D17" w14:paraId="1BBF00B7" w14:textId="77777777">
            <w:trPr>
              <w:trHeight w:val="360"/>
              <w:jc w:val="center"/>
            </w:trPr>
            <w:tc>
              <w:tcPr>
                <w:tcW w:w="5000" w:type="pct"/>
                <w:vAlign w:val="center"/>
              </w:tcPr>
              <w:p w14:paraId="45D1C6A8" w14:textId="77777777" w:rsidR="00F75D17" w:rsidRDefault="00F75D17" w:rsidP="00F75D17">
                <w:pPr>
                  <w:pStyle w:val="NoSpacing"/>
                  <w:jc w:val="center"/>
                  <w:rPr>
                    <w:b/>
                    <w:bCs/>
                  </w:rPr>
                </w:pPr>
              </w:p>
            </w:tc>
          </w:tr>
        </w:tbl>
        <w:p w14:paraId="098B2342" w14:textId="77777777" w:rsidR="00F75D17" w:rsidRPr="00124B71" w:rsidRDefault="00F75D17">
          <w:pPr>
            <w:rPr>
              <w:rFonts w:cs="Times New Roman"/>
            </w:rPr>
          </w:pPr>
        </w:p>
        <w:p w14:paraId="39D445FC" w14:textId="77777777" w:rsidR="00F75D17" w:rsidRPr="00124B71" w:rsidRDefault="00F75D17">
          <w:pPr>
            <w:rPr>
              <w:rFonts w:cs="Times New Roman"/>
            </w:rPr>
          </w:pPr>
        </w:p>
        <w:tbl>
          <w:tblPr>
            <w:tblpPr w:leftFromText="187" w:rightFromText="187" w:horzAnchor="margin" w:tblpXSpec="center" w:tblpYSpec="bottom"/>
            <w:tblW w:w="5000" w:type="pct"/>
            <w:tblLook w:val="04A0" w:firstRow="1" w:lastRow="0" w:firstColumn="1" w:lastColumn="0" w:noHBand="0" w:noVBand="1"/>
          </w:tblPr>
          <w:tblGrid>
            <w:gridCol w:w="6984"/>
          </w:tblGrid>
          <w:tr w:rsidR="00F75D17" w14:paraId="1AE90C4F" w14:textId="77777777">
            <w:tc>
              <w:tcPr>
                <w:tcW w:w="5000" w:type="pct"/>
              </w:tcPr>
              <w:p w14:paraId="1F8DB86E" w14:textId="77777777" w:rsidR="00F75D17" w:rsidRDefault="00F75D17">
                <w:pPr>
                  <w:pStyle w:val="NoSpacing"/>
                </w:pPr>
              </w:p>
            </w:tc>
          </w:tr>
        </w:tbl>
        <w:p w14:paraId="7989FCF3" w14:textId="77777777" w:rsidR="00F75D17" w:rsidRPr="00124B71" w:rsidRDefault="00F75D17" w:rsidP="006301E2">
          <w:pPr>
            <w:rPr>
              <w:rFonts w:eastAsiaTheme="majorEastAsia" w:cs="Times New Roman"/>
              <w:b/>
              <w:bCs/>
              <w:i/>
              <w:iCs/>
              <w:sz w:val="32"/>
              <w:szCs w:val="32"/>
            </w:rPr>
          </w:pPr>
          <w:r w:rsidRPr="00124B71">
            <w:rPr>
              <w:rFonts w:cs="Times New Roman"/>
            </w:rPr>
            <w:br w:type="page"/>
          </w:r>
        </w:p>
      </w:sdtContent>
    </w:sdt>
    <w:p w14:paraId="3DB9F6B4" w14:textId="77777777" w:rsidR="008D0ECD" w:rsidRPr="006F75E9" w:rsidRDefault="008D0ECD" w:rsidP="008D0ECD">
      <w:pPr>
        <w:ind w:firstLine="0"/>
        <w:rPr>
          <w:rFonts w:cs="Times New Roman"/>
          <w:b/>
        </w:rPr>
      </w:pPr>
      <w:r>
        <w:rPr>
          <w:rFonts w:cs="Times New Roman"/>
          <w:b/>
        </w:rPr>
        <w:lastRenderedPageBreak/>
        <w:t>Originally published by Monterey Cypress Publishing, a division of Monterey Cypress, LLC in 2008. Reissued by Main Street Independent under CC0 1.0 Universal on 2026-08-29.</w:t>
      </w:r>
    </w:p>
    <w:p w14:paraId="223A3DF8" w14:textId="77777777" w:rsidR="008D0ECD" w:rsidRPr="006F75E9" w:rsidRDefault="008D0ECD" w:rsidP="008D0ECD">
      <w:pPr>
        <w:ind w:firstLine="0"/>
        <w:rPr>
          <w:rFonts w:cs="Times New Roman"/>
          <w:b/>
        </w:rPr>
      </w:pPr>
      <w:r>
        <w:rPr>
          <w:rFonts w:cs="Times New Roman"/>
          <w:b/>
        </w:rPr>
        <w:t>To the extent possible under law, this MSI reissue is dedicated to the public domain under CC0 1.0 Universal: https://creativecommons.org/publicdomain/zero/1.0/</w:t>
      </w:r>
    </w:p>
    <w:p w14:paraId="2F68201F" w14:textId="77777777" w:rsidR="008D0ECD" w:rsidRPr="006F75E9" w:rsidRDefault="008D0ECD" w:rsidP="008D0ECD">
      <w:pPr>
        <w:ind w:firstLine="0"/>
        <w:rPr>
          <w:rFonts w:cs="Times New Roman"/>
          <w:b/>
        </w:rPr>
      </w:pPr>
      <w:r>
        <w:rPr>
          <w:rFonts w:cs="Times New Roman"/>
          <w:b/>
        </w:rPr>
        <w:t>Canonical MSI edition: https://mainstreetindependent.com/books/great-housing-bubble</w:t>
      </w:r>
    </w:p>
    <w:p w14:paraId="48A5149C" w14:textId="77777777" w:rsidR="008D0ECD" w:rsidRPr="008D0ECD" w:rsidRDefault="008D0ECD" w:rsidP="008D0ECD">
      <w:pPr>
        <w:ind w:firstLine="0"/>
        <w:rPr>
          <w:rFonts w:cs="Times New Roman"/>
        </w:rPr>
      </w:pPr>
    </w:p>
    <w:p w14:paraId="00148C3A" w14:textId="77777777" w:rsidR="008D0ECD" w:rsidRPr="008D0ECD" w:rsidRDefault="008D0ECD" w:rsidP="008D0ECD">
      <w:pPr>
        <w:ind w:firstLine="0"/>
        <w:rPr>
          <w:rFonts w:cs="Times New Roman"/>
        </w:rPr>
      </w:pPr>
      <w:r w:rsidRPr="008D0ECD">
        <w:rPr>
          <w:rFonts w:cs="Times New Roman"/>
        </w:rPr>
        <w:t>Published by Monterey Cypress</w:t>
      </w:r>
      <w:r w:rsidR="00BC72CA">
        <w:rPr>
          <w:rFonts w:cs="Times New Roman"/>
        </w:rPr>
        <w:t xml:space="preserve"> Publishing, a division of Monterey Cypress, LLC</w:t>
      </w:r>
    </w:p>
    <w:p w14:paraId="2F544199" w14:textId="77777777" w:rsidR="006F75E9" w:rsidRDefault="006F75E9" w:rsidP="008D0ECD">
      <w:pPr>
        <w:ind w:firstLine="0"/>
        <w:rPr>
          <w:rFonts w:cs="Times New Roman"/>
        </w:rPr>
      </w:pPr>
      <w:r w:rsidRPr="006F75E9">
        <w:rPr>
          <w:rFonts w:cs="Times New Roman"/>
        </w:rPr>
        <w:t>5348 Vegas Drive, #44</w:t>
      </w:r>
    </w:p>
    <w:p w14:paraId="4E654AB9" w14:textId="77777777" w:rsidR="006F75E9" w:rsidRDefault="006F75E9" w:rsidP="008D0ECD">
      <w:pPr>
        <w:ind w:firstLine="0"/>
        <w:rPr>
          <w:rFonts w:cs="Times New Roman"/>
        </w:rPr>
      </w:pPr>
      <w:r>
        <w:rPr>
          <w:rFonts w:cs="Times New Roman"/>
        </w:rPr>
        <w:t xml:space="preserve">Las Vegas, NV </w:t>
      </w:r>
      <w:r w:rsidRPr="006F75E9">
        <w:rPr>
          <w:rFonts w:cs="Times New Roman"/>
        </w:rPr>
        <w:t>89108</w:t>
      </w:r>
    </w:p>
    <w:p w14:paraId="1EF06EE7" w14:textId="77777777" w:rsidR="006F75E9" w:rsidRDefault="006F75E9" w:rsidP="008D0ECD">
      <w:pPr>
        <w:ind w:firstLine="0"/>
        <w:rPr>
          <w:rFonts w:cs="Times New Roman"/>
        </w:rPr>
      </w:pPr>
    </w:p>
    <w:p w14:paraId="08DB69A4" w14:textId="484FC7FA" w:rsidR="006F75E9" w:rsidRDefault="006F75E9" w:rsidP="008D0ECD">
      <w:pPr>
        <w:ind w:firstLine="0"/>
        <w:rPr>
          <w:rFonts w:cs="Times New Roman"/>
        </w:rPr>
      </w:pPr>
      <w:hyperlink r:id="rId8" w:history="1">
        <w:r w:rsidRPr="006F75E9">
          <w:t>MontereyCypressLLC@gmail.com</w:t>
        </w:r>
      </w:hyperlink>
    </w:p>
    <w:p w14:paraId="64706442" w14:textId="77777777" w:rsidR="006F75E9" w:rsidRPr="008D0ECD" w:rsidRDefault="006F75E9" w:rsidP="008D0ECD">
      <w:pPr>
        <w:ind w:firstLine="0"/>
        <w:rPr>
          <w:rFonts w:cs="Times New Roman"/>
        </w:rPr>
      </w:pPr>
    </w:p>
    <w:p w14:paraId="46C33435" w14:textId="77777777" w:rsidR="008D0ECD" w:rsidRPr="008D0ECD" w:rsidRDefault="008D0ECD" w:rsidP="008D0ECD">
      <w:pPr>
        <w:ind w:firstLine="0"/>
        <w:rPr>
          <w:rFonts w:cs="Times New Roman"/>
        </w:rPr>
      </w:pPr>
    </w:p>
    <w:p w14:paraId="49B6B53D" w14:textId="77777777" w:rsidR="008D0ECD" w:rsidRPr="006F75E9" w:rsidRDefault="008D0ECD" w:rsidP="008D0ECD">
      <w:pPr>
        <w:ind w:firstLine="0"/>
        <w:rPr>
          <w:rFonts w:cs="Times New Roman"/>
          <w:b/>
        </w:rPr>
      </w:pPr>
      <w:r w:rsidRPr="006F75E9">
        <w:rPr>
          <w:rFonts w:cs="Times New Roman"/>
          <w:b/>
        </w:rPr>
        <w:t>ISBN</w:t>
      </w:r>
      <w:r w:rsidR="0039046C" w:rsidRPr="006F75E9">
        <w:rPr>
          <w:rFonts w:cs="Times New Roman"/>
          <w:b/>
        </w:rPr>
        <w:t>:</w:t>
      </w:r>
      <w:r w:rsidRPr="006F75E9">
        <w:rPr>
          <w:rFonts w:cs="Times New Roman"/>
          <w:b/>
        </w:rPr>
        <w:t xml:space="preserve"> </w:t>
      </w:r>
      <w:r w:rsidR="0039046C" w:rsidRPr="006F75E9">
        <w:rPr>
          <w:rFonts w:cs="Times New Roman"/>
          <w:b/>
        </w:rPr>
        <w:t>0-615-22693-0</w:t>
      </w:r>
    </w:p>
    <w:p w14:paraId="0153B2CA" w14:textId="77777777" w:rsidR="008D0ECD" w:rsidRPr="006F75E9" w:rsidRDefault="008D0ECD" w:rsidP="008D0ECD">
      <w:pPr>
        <w:ind w:firstLine="0"/>
        <w:rPr>
          <w:rFonts w:cs="Times New Roman"/>
          <w:b/>
        </w:rPr>
      </w:pPr>
      <w:r w:rsidRPr="006F75E9">
        <w:rPr>
          <w:rFonts w:cs="Times New Roman"/>
          <w:b/>
        </w:rPr>
        <w:t>EAN-13</w:t>
      </w:r>
      <w:r w:rsidR="0039046C" w:rsidRPr="006F75E9">
        <w:rPr>
          <w:rFonts w:cs="Times New Roman"/>
          <w:b/>
        </w:rPr>
        <w:t xml:space="preserve">: </w:t>
      </w:r>
      <w:r w:rsidR="00287A53" w:rsidRPr="006F75E9">
        <w:rPr>
          <w:rFonts w:cs="Times New Roman"/>
          <w:b/>
        </w:rPr>
        <w:t>97</w:t>
      </w:r>
      <w:r w:rsidR="0039046C" w:rsidRPr="006F75E9">
        <w:rPr>
          <w:rFonts w:cs="Times New Roman"/>
          <w:b/>
        </w:rPr>
        <w:t>8-0-615-22693-4</w:t>
      </w:r>
    </w:p>
    <w:p w14:paraId="02FEA9C2" w14:textId="77777777" w:rsidR="008D0ECD" w:rsidRPr="008D0ECD" w:rsidRDefault="008D0ECD" w:rsidP="008D0ECD">
      <w:pPr>
        <w:ind w:firstLine="0"/>
        <w:rPr>
          <w:rFonts w:cs="Times New Roman"/>
        </w:rPr>
      </w:pPr>
    </w:p>
    <w:p w14:paraId="7EC317B2" w14:textId="77777777" w:rsidR="008D0ECD" w:rsidRPr="008D0ECD" w:rsidRDefault="008D0ECD" w:rsidP="008D0ECD">
      <w:pPr>
        <w:ind w:firstLine="0"/>
        <w:rPr>
          <w:rFonts w:cs="Times New Roman"/>
        </w:rPr>
      </w:pPr>
    </w:p>
    <w:p w14:paraId="1D70F10D" w14:textId="77777777" w:rsidR="008D0ECD" w:rsidRPr="008D0ECD" w:rsidRDefault="008D0ECD" w:rsidP="008D0ECD">
      <w:pPr>
        <w:ind w:firstLine="0"/>
        <w:rPr>
          <w:rFonts w:cs="Times New Roman"/>
        </w:rPr>
      </w:pPr>
      <w:r w:rsidRPr="008D0ECD">
        <w:rPr>
          <w:rFonts w:cs="Times New Roman"/>
        </w:rPr>
        <w:t>The author’s work can also be found at the Irvine Housing Blog</w:t>
      </w:r>
      <w:r w:rsidR="001858B5">
        <w:rPr>
          <w:rFonts w:cs="Times New Roman"/>
        </w:rPr>
        <w:fldChar w:fldCharType="begin"/>
      </w:r>
      <w:r w:rsidR="00BC72CA">
        <w:instrText xml:space="preserve"> XE "</w:instrText>
      </w:r>
      <w:r w:rsidR="00BC72CA" w:rsidRPr="00DB5906">
        <w:rPr>
          <w:rFonts w:cs="Times New Roman"/>
        </w:rPr>
        <w:instrText>Irvine Housing Blog</w:instrText>
      </w:r>
      <w:r w:rsidR="00BC72CA">
        <w:instrText xml:space="preserve">" </w:instrText>
      </w:r>
      <w:r w:rsidR="001858B5">
        <w:rPr>
          <w:rFonts w:cs="Times New Roman"/>
        </w:rPr>
        <w:fldChar w:fldCharType="end"/>
      </w:r>
      <w:r w:rsidRPr="008D0ECD">
        <w:rPr>
          <w:rFonts w:cs="Times New Roman"/>
        </w:rPr>
        <w:t xml:space="preserve"> where he has been the primary writer since February of 2007.</w:t>
      </w:r>
    </w:p>
    <w:p w14:paraId="10DC41BD" w14:textId="77777777" w:rsidR="008D0ECD" w:rsidRPr="008D0ECD" w:rsidRDefault="008D0ECD" w:rsidP="008D0ECD">
      <w:pPr>
        <w:ind w:firstLine="0"/>
        <w:rPr>
          <w:rFonts w:cs="Times New Roman"/>
        </w:rPr>
      </w:pPr>
    </w:p>
    <w:p w14:paraId="6CD2A41C" w14:textId="77777777" w:rsidR="008D0ECD" w:rsidRPr="008D0ECD" w:rsidRDefault="006F75E9" w:rsidP="008D0ECD">
      <w:pPr>
        <w:ind w:firstLine="0"/>
        <w:rPr>
          <w:rFonts w:cs="Times New Roman"/>
        </w:rPr>
      </w:pPr>
      <w:r>
        <w:rPr>
          <w:rFonts w:cs="Times New Roman"/>
        </w:rPr>
        <w:t>www.irvinehousingblog.com</w:t>
      </w:r>
    </w:p>
    <w:p w14:paraId="67EEA5B4" w14:textId="77777777" w:rsidR="008D0ECD" w:rsidRPr="008D0ECD" w:rsidRDefault="008D0ECD" w:rsidP="008D0ECD">
      <w:pPr>
        <w:ind w:firstLine="0"/>
        <w:rPr>
          <w:rFonts w:cs="Times New Roman"/>
        </w:rPr>
      </w:pPr>
    </w:p>
    <w:p w14:paraId="4957DB02" w14:textId="77777777" w:rsidR="008D0ECD" w:rsidRPr="008D0ECD" w:rsidRDefault="008D0ECD" w:rsidP="008D0ECD">
      <w:pPr>
        <w:ind w:firstLine="0"/>
        <w:rPr>
          <w:rFonts w:cs="Times New Roman"/>
        </w:rPr>
      </w:pPr>
      <w:r w:rsidRPr="008D0ECD">
        <w:rPr>
          <w:rFonts w:cs="Times New Roman"/>
        </w:rPr>
        <w:t>The Irvine Housing Blog</w:t>
      </w:r>
      <w:r w:rsidR="001858B5">
        <w:rPr>
          <w:rFonts w:cs="Times New Roman"/>
        </w:rPr>
        <w:fldChar w:fldCharType="begin"/>
      </w:r>
      <w:r w:rsidR="00BC72CA">
        <w:instrText xml:space="preserve"> XE "</w:instrText>
      </w:r>
      <w:r w:rsidR="00BC72CA" w:rsidRPr="00DB5906">
        <w:rPr>
          <w:rFonts w:cs="Times New Roman"/>
        </w:rPr>
        <w:instrText>Irvine Housing Blog</w:instrText>
      </w:r>
      <w:r w:rsidR="00BC72CA">
        <w:instrText xml:space="preserve">" </w:instrText>
      </w:r>
      <w:r w:rsidR="001858B5">
        <w:rPr>
          <w:rFonts w:cs="Times New Roman"/>
        </w:rPr>
        <w:fldChar w:fldCharType="end"/>
      </w:r>
      <w:r w:rsidRPr="008D0ECD">
        <w:rPr>
          <w:rFonts w:cs="Times New Roman"/>
        </w:rPr>
        <w:t xml:space="preserve"> has become noted for its unique delivery of real estate market analysis in Slate Magazine, the Washington Post, and Newsweek Magazi</w:t>
      </w:r>
      <w:r w:rsidR="006F75E9">
        <w:rPr>
          <w:rFonts w:cs="Times New Roman"/>
        </w:rPr>
        <w:t>ne. The blog reaches several thousand readers each day.</w:t>
      </w:r>
    </w:p>
    <w:p w14:paraId="4A79B5CA" w14:textId="77777777" w:rsidR="008D0ECD" w:rsidRPr="008D0ECD" w:rsidRDefault="008D0ECD" w:rsidP="008D0ECD">
      <w:pPr>
        <w:ind w:firstLine="0"/>
        <w:rPr>
          <w:rFonts w:cs="Times New Roman"/>
        </w:rPr>
      </w:pPr>
    </w:p>
    <w:p w14:paraId="3A3FECF6" w14:textId="77777777" w:rsidR="008D0ECD" w:rsidRPr="008D0ECD" w:rsidRDefault="008D0ECD" w:rsidP="008D0ECD">
      <w:pPr>
        <w:ind w:firstLine="0"/>
        <w:rPr>
          <w:rFonts w:cs="Times New Roman"/>
        </w:rPr>
      </w:pPr>
      <w:r w:rsidRPr="008D0ECD">
        <w:rPr>
          <w:rFonts w:cs="Times New Roman"/>
        </w:rPr>
        <w:t>The author may be contacted at:</w:t>
      </w:r>
    </w:p>
    <w:p w14:paraId="41726665" w14:textId="77777777" w:rsidR="008D0ECD" w:rsidRPr="008D0ECD" w:rsidRDefault="008D0ECD" w:rsidP="008D0ECD">
      <w:pPr>
        <w:ind w:firstLine="0"/>
        <w:rPr>
          <w:rFonts w:cs="Times New Roman"/>
        </w:rPr>
      </w:pPr>
    </w:p>
    <w:p w14:paraId="5CCF000A" w14:textId="77777777" w:rsidR="008D0ECD" w:rsidRPr="008D0ECD" w:rsidRDefault="008D0ECD" w:rsidP="008D0ECD">
      <w:pPr>
        <w:ind w:firstLine="0"/>
        <w:rPr>
          <w:rFonts w:cs="Times New Roman"/>
        </w:rPr>
      </w:pPr>
      <w:r w:rsidRPr="008D0ECD">
        <w:rPr>
          <w:rFonts w:cs="Times New Roman"/>
        </w:rPr>
        <w:t>IrvineRenter@IrvineHousingBlog.com</w:t>
      </w:r>
    </w:p>
    <w:p w14:paraId="0C416730" w14:textId="77777777" w:rsidR="008D0ECD" w:rsidRPr="008D0ECD" w:rsidRDefault="008D0ECD" w:rsidP="008D0ECD">
      <w:pPr>
        <w:ind w:firstLine="0"/>
        <w:rPr>
          <w:rFonts w:cs="Times New Roman"/>
        </w:rPr>
      </w:pPr>
    </w:p>
    <w:p w14:paraId="442050F6" w14:textId="77777777" w:rsidR="008D0ECD" w:rsidRPr="008D0ECD" w:rsidRDefault="008D0ECD" w:rsidP="008D0ECD">
      <w:pPr>
        <w:ind w:firstLine="0"/>
        <w:rPr>
          <w:rFonts w:cs="Times New Roman"/>
        </w:rPr>
      </w:pPr>
    </w:p>
    <w:p w14:paraId="26CED3DF" w14:textId="77777777" w:rsidR="00314DA3" w:rsidRDefault="008D0ECD" w:rsidP="008D0ECD">
      <w:pPr>
        <w:ind w:firstLine="0"/>
        <w:rPr>
          <w:rFonts w:cs="Times New Roman"/>
        </w:rPr>
      </w:pPr>
      <w:r w:rsidRPr="008D0ECD">
        <w:rPr>
          <w:rFonts w:cs="Times New Roman"/>
        </w:rPr>
        <w:t>The writings in this book are the opinions of the author. They are not intended to provide you with legal or financial advice, particularly with respect to residential real estate. The information in this book is designed to provide accurate and authoritative information in regard to the subject matter covered. It is presented with the understanding that Lawrence Roberts or Monterey Cypress</w:t>
      </w:r>
      <w:r w:rsidR="00BC72CA">
        <w:rPr>
          <w:rFonts w:cs="Times New Roman"/>
        </w:rPr>
        <w:t xml:space="preserve"> Publishing</w:t>
      </w:r>
      <w:r w:rsidRPr="008D0ECD">
        <w:rPr>
          <w:rFonts w:cs="Times New Roman"/>
        </w:rPr>
        <w:t xml:space="preserve"> is not engaged in rendering legal, accounting or other professional services. If legal advice or other professional assistance is required, the services of a competent professional person should be sought. (From a Declaration of Principles jointly adopted by a Committee of the American Bar Association and a Committee of Publishers and Associations)</w:t>
      </w:r>
    </w:p>
    <w:p w14:paraId="67A2D811" w14:textId="77777777" w:rsidR="008D0ECD" w:rsidRPr="00124B71" w:rsidRDefault="008D0ECD" w:rsidP="008D0ECD">
      <w:pPr>
        <w:ind w:firstLine="0"/>
        <w:rPr>
          <w:rFonts w:cs="Times New Roman"/>
        </w:rPr>
        <w:sectPr w:rsidR="008D0ECD" w:rsidRPr="00124B71" w:rsidSect="009729DE">
          <w:endnotePr>
            <w:numFmt w:val="decimal"/>
          </w:endnotePr>
          <w:type w:val="oddPage"/>
          <w:pgSz w:w="8640" w:h="12960" w:code="173"/>
          <w:pgMar w:top="1008" w:right="936" w:bottom="1080" w:left="936" w:header="504" w:footer="504" w:gutter="0"/>
          <w:pgNumType w:fmt="lowerRoman" w:start="1"/>
          <w:cols w:space="720"/>
          <w:titlePg/>
          <w:docGrid w:linePitch="360"/>
        </w:sectPr>
      </w:pPr>
    </w:p>
    <w:p w14:paraId="6D47FE02" w14:textId="77777777" w:rsidR="005825BB" w:rsidRPr="00124B71" w:rsidRDefault="005825BB" w:rsidP="005825BB">
      <w:pPr>
        <w:rPr>
          <w:rFonts w:cs="Times New Roman"/>
        </w:rPr>
      </w:pPr>
    </w:p>
    <w:p w14:paraId="7DE879E6" w14:textId="77777777" w:rsidR="00C04592" w:rsidRPr="00124B71" w:rsidRDefault="00C04592" w:rsidP="005825BB">
      <w:pPr>
        <w:rPr>
          <w:rFonts w:cs="Times New Roman"/>
        </w:rPr>
      </w:pPr>
    </w:p>
    <w:p w14:paraId="5A997167" w14:textId="77777777" w:rsidR="00C04592" w:rsidRPr="00124B71" w:rsidRDefault="00C04592" w:rsidP="005825BB">
      <w:pPr>
        <w:rPr>
          <w:rFonts w:cs="Times New Roman"/>
        </w:rPr>
      </w:pPr>
    </w:p>
    <w:p w14:paraId="4BA05834" w14:textId="77777777" w:rsidR="00C04592" w:rsidRPr="00124B71" w:rsidRDefault="00C04592" w:rsidP="005825BB">
      <w:pPr>
        <w:rPr>
          <w:rFonts w:cs="Times New Roman"/>
        </w:rPr>
      </w:pPr>
    </w:p>
    <w:p w14:paraId="6164B049" w14:textId="77777777" w:rsidR="00C04592" w:rsidRDefault="00C04592" w:rsidP="005825BB">
      <w:pPr>
        <w:rPr>
          <w:rFonts w:cs="Times New Roman"/>
        </w:rPr>
      </w:pPr>
    </w:p>
    <w:p w14:paraId="6ECBC1D9" w14:textId="77777777" w:rsidR="00D81AF4" w:rsidRDefault="00D81AF4" w:rsidP="005825BB">
      <w:pPr>
        <w:rPr>
          <w:rFonts w:cs="Times New Roman"/>
        </w:rPr>
      </w:pPr>
    </w:p>
    <w:p w14:paraId="19D8A02A" w14:textId="77777777" w:rsidR="00D81AF4" w:rsidRDefault="00D81AF4" w:rsidP="005825BB">
      <w:pPr>
        <w:rPr>
          <w:rFonts w:cs="Times New Roman"/>
        </w:rPr>
      </w:pPr>
    </w:p>
    <w:p w14:paraId="2685282D" w14:textId="77777777" w:rsidR="00D81AF4" w:rsidRPr="00124B71" w:rsidRDefault="00D81AF4" w:rsidP="005825BB">
      <w:pPr>
        <w:rPr>
          <w:rFonts w:cs="Times New Roman"/>
        </w:rPr>
      </w:pPr>
    </w:p>
    <w:p w14:paraId="5D6313AC" w14:textId="77777777" w:rsidR="00C04592" w:rsidRPr="00124B71" w:rsidRDefault="00C04592" w:rsidP="005825BB">
      <w:pPr>
        <w:rPr>
          <w:rFonts w:cs="Times New Roman"/>
        </w:rPr>
      </w:pPr>
    </w:p>
    <w:p w14:paraId="3CF698B5" w14:textId="77777777" w:rsidR="005825BB" w:rsidRPr="00124B71" w:rsidRDefault="005825BB" w:rsidP="00A5106C">
      <w:pPr>
        <w:jc w:val="center"/>
        <w:rPr>
          <w:rFonts w:cs="Times New Roman"/>
        </w:rPr>
      </w:pPr>
    </w:p>
    <w:p w14:paraId="5B4D2ED2" w14:textId="77777777" w:rsidR="00A5106C" w:rsidRPr="00124B71" w:rsidRDefault="00A5106C" w:rsidP="00A644AE">
      <w:pPr>
        <w:ind w:firstLine="0"/>
        <w:jc w:val="center"/>
        <w:rPr>
          <w:rFonts w:cs="Times New Roman"/>
        </w:rPr>
      </w:pPr>
    </w:p>
    <w:p w14:paraId="3B0A0AAD" w14:textId="77777777" w:rsidR="00A5106C" w:rsidRPr="00124B71" w:rsidRDefault="00A5106C" w:rsidP="00A644AE">
      <w:pPr>
        <w:ind w:firstLine="0"/>
        <w:jc w:val="center"/>
        <w:rPr>
          <w:rFonts w:cs="Times New Roman"/>
        </w:rPr>
      </w:pPr>
      <w:r w:rsidRPr="00124B71">
        <w:rPr>
          <w:rFonts w:cs="Times New Roman"/>
        </w:rPr>
        <w:t>To</w:t>
      </w:r>
    </w:p>
    <w:p w14:paraId="0B486744" w14:textId="77777777" w:rsidR="00A5106C" w:rsidRPr="00124B71" w:rsidRDefault="00A5106C" w:rsidP="00A644AE">
      <w:pPr>
        <w:ind w:firstLine="0"/>
        <w:jc w:val="center"/>
        <w:rPr>
          <w:rFonts w:cs="Times New Roman"/>
        </w:rPr>
      </w:pPr>
      <w:r w:rsidRPr="00124B71">
        <w:rPr>
          <w:rFonts w:cs="Times New Roman"/>
        </w:rPr>
        <w:t>Michelle and James</w:t>
      </w:r>
    </w:p>
    <w:p w14:paraId="73AE5C10" w14:textId="77777777" w:rsidR="00A54CFB" w:rsidRDefault="00A54CFB" w:rsidP="00A644AE">
      <w:pPr>
        <w:ind w:firstLine="0"/>
        <w:jc w:val="center"/>
        <w:rPr>
          <w:rFonts w:cs="Times New Roman"/>
        </w:rPr>
      </w:pPr>
    </w:p>
    <w:p w14:paraId="030ED325" w14:textId="77777777" w:rsidR="00F55C13" w:rsidRDefault="00F55C13">
      <w:pPr>
        <w:spacing w:after="240" w:line="480" w:lineRule="auto"/>
        <w:jc w:val="left"/>
        <w:rPr>
          <w:rFonts w:cs="Times New Roman"/>
        </w:rPr>
      </w:pPr>
      <w:r>
        <w:rPr>
          <w:rFonts w:cs="Times New Roman"/>
        </w:rPr>
        <w:br w:type="page"/>
      </w:r>
    </w:p>
    <w:p w14:paraId="6AC6D32F" w14:textId="77777777" w:rsidR="00104A92" w:rsidRDefault="00104A92" w:rsidP="00A644AE">
      <w:pPr>
        <w:ind w:firstLine="0"/>
        <w:jc w:val="center"/>
        <w:rPr>
          <w:rFonts w:cs="Times New Roman"/>
        </w:rPr>
      </w:pPr>
    </w:p>
    <w:p w14:paraId="68A09A60" w14:textId="77777777" w:rsidR="00104A92" w:rsidRDefault="00104A92" w:rsidP="00A644AE">
      <w:pPr>
        <w:ind w:firstLine="0"/>
        <w:jc w:val="center"/>
        <w:rPr>
          <w:rFonts w:cs="Times New Roman"/>
        </w:rPr>
      </w:pPr>
    </w:p>
    <w:p w14:paraId="744F3FA5" w14:textId="77777777" w:rsidR="00D81AF4" w:rsidRDefault="00D81AF4" w:rsidP="00A54CFB">
      <w:pPr>
        <w:ind w:firstLine="0"/>
        <w:rPr>
          <w:rFonts w:cs="Times New Roman"/>
        </w:rPr>
        <w:sectPr w:rsidR="00D81AF4" w:rsidSect="009729DE">
          <w:headerReference w:type="even" r:id="rId9"/>
          <w:headerReference w:type="default" r:id="rId10"/>
          <w:footerReference w:type="even" r:id="rId11"/>
          <w:footerReference w:type="default" r:id="rId12"/>
          <w:endnotePr>
            <w:numFmt w:val="decimal"/>
          </w:endnotePr>
          <w:type w:val="oddPage"/>
          <w:pgSz w:w="8640" w:h="12960" w:code="173"/>
          <w:pgMar w:top="1008" w:right="936" w:bottom="1080" w:left="936" w:header="504" w:footer="504" w:gutter="0"/>
          <w:pgNumType w:fmt="lowerRoman"/>
          <w:cols w:space="720"/>
          <w:docGrid w:linePitch="360"/>
        </w:sectPr>
      </w:pPr>
    </w:p>
    <w:p w14:paraId="1F4996ED" w14:textId="77777777" w:rsidR="00A54CFB" w:rsidRPr="00124B71" w:rsidRDefault="00A54CFB" w:rsidP="00A54CFB">
      <w:pPr>
        <w:ind w:firstLine="0"/>
        <w:rPr>
          <w:rFonts w:cs="Times New Roman"/>
        </w:rPr>
      </w:pPr>
      <w:r w:rsidRPr="00124B71">
        <w:rPr>
          <w:rFonts w:cs="Times New Roman"/>
        </w:rPr>
        <w:lastRenderedPageBreak/>
        <w:t>I would like to thank the following people without whom this book would have never been published:</w:t>
      </w:r>
    </w:p>
    <w:p w14:paraId="652FD0D8" w14:textId="77777777" w:rsidR="00A54CFB" w:rsidRPr="00124B71" w:rsidRDefault="00445F1A" w:rsidP="00E64209">
      <w:pPr>
        <w:spacing w:before="240"/>
        <w:ind w:firstLine="0"/>
        <w:rPr>
          <w:rFonts w:cs="Times New Roman"/>
        </w:rPr>
      </w:pPr>
      <w:r w:rsidRPr="00E40A13">
        <w:rPr>
          <w:rFonts w:cs="Times New Roman"/>
          <w:b/>
        </w:rPr>
        <w:t>Profette</w:t>
      </w:r>
      <w:r w:rsidR="007C469A">
        <w:rPr>
          <w:rFonts w:cs="Times New Roman"/>
        </w:rPr>
        <w:t>–</w:t>
      </w:r>
      <w:r w:rsidRPr="00124B71">
        <w:rPr>
          <w:rFonts w:cs="Times New Roman"/>
        </w:rPr>
        <w:t>Anonymous p</w:t>
      </w:r>
      <w:r w:rsidR="00A54CFB" w:rsidRPr="00124B71">
        <w:rPr>
          <w:rFonts w:cs="Times New Roman"/>
        </w:rPr>
        <w:t>ublished author, copy editor and support person. Without her encouragement I would not have believed people would be interested in my writing.</w:t>
      </w:r>
    </w:p>
    <w:p w14:paraId="766BEAFF" w14:textId="77777777" w:rsidR="00A54CFB" w:rsidRPr="00124B71" w:rsidRDefault="00287A53" w:rsidP="00287A53">
      <w:pPr>
        <w:spacing w:before="240"/>
        <w:ind w:firstLine="0"/>
        <w:rPr>
          <w:rFonts w:cs="Times New Roman"/>
        </w:rPr>
      </w:pPr>
      <w:r w:rsidRPr="00E40A13">
        <w:rPr>
          <w:rFonts w:cs="Times New Roman"/>
          <w:b/>
        </w:rPr>
        <w:t>Brian Whitworth</w:t>
      </w:r>
      <w:r w:rsidR="007C469A">
        <w:rPr>
          <w:rFonts w:cs="Times New Roman"/>
        </w:rPr>
        <w:t>–</w:t>
      </w:r>
      <w:r w:rsidRPr="00287A53">
        <w:rPr>
          <w:rFonts w:cs="Times New Roman"/>
        </w:rPr>
        <w:t>Financial researcher and content editor. With his review, challenges to the basic assumptions, and review of the academic literature sup</w:t>
      </w:r>
      <w:r>
        <w:t xml:space="preserve">porting the </w:t>
      </w:r>
      <w:r w:rsidRPr="00287A53">
        <w:t>thesis</w:t>
      </w:r>
      <w:r>
        <w:t>, this book was elevated from a series of unsupported opinions to a well-researched and well-documented literary work.</w:t>
      </w:r>
    </w:p>
    <w:p w14:paraId="2523347F" w14:textId="77777777" w:rsidR="00942C59" w:rsidRPr="00124B71" w:rsidRDefault="00CD272A" w:rsidP="00E64209">
      <w:pPr>
        <w:spacing w:before="240"/>
        <w:ind w:firstLine="0"/>
        <w:rPr>
          <w:rFonts w:cs="Times New Roman"/>
        </w:rPr>
      </w:pPr>
      <w:r w:rsidRPr="00E40A13">
        <w:rPr>
          <w:rFonts w:cs="Times New Roman"/>
          <w:b/>
        </w:rPr>
        <w:t>Zovall</w:t>
      </w:r>
      <w:r w:rsidR="007C469A">
        <w:rPr>
          <w:rFonts w:cs="Times New Roman"/>
        </w:rPr>
        <w:t>–</w:t>
      </w:r>
      <w:r w:rsidRPr="00124B71">
        <w:rPr>
          <w:rFonts w:cs="Times New Roman"/>
        </w:rPr>
        <w:t xml:space="preserve">Anonymous </w:t>
      </w:r>
      <w:r>
        <w:rPr>
          <w:rFonts w:cs="Times New Roman"/>
        </w:rPr>
        <w:t>o</w:t>
      </w:r>
      <w:r w:rsidR="00942C59" w:rsidRPr="00124B71">
        <w:rPr>
          <w:rFonts w:cs="Times New Roman"/>
        </w:rPr>
        <w:t>wner of the Irvine Housing Blog</w:t>
      </w:r>
      <w:r w:rsidR="001858B5">
        <w:rPr>
          <w:rFonts w:cs="Times New Roman"/>
        </w:rPr>
        <w:fldChar w:fldCharType="begin"/>
      </w:r>
      <w:r w:rsidR="00BC72CA">
        <w:instrText xml:space="preserve"> XE "</w:instrText>
      </w:r>
      <w:r w:rsidR="00BC72CA" w:rsidRPr="00DB5906">
        <w:rPr>
          <w:rFonts w:cs="Times New Roman"/>
        </w:rPr>
        <w:instrText>Irvine Housing Blog</w:instrText>
      </w:r>
      <w:r w:rsidR="00BC72CA">
        <w:instrText xml:space="preserve">" </w:instrText>
      </w:r>
      <w:r w:rsidR="001858B5">
        <w:rPr>
          <w:rFonts w:cs="Times New Roman"/>
        </w:rPr>
        <w:fldChar w:fldCharType="end"/>
      </w:r>
      <w:r w:rsidR="00942C59" w:rsidRPr="00124B71">
        <w:rPr>
          <w:rFonts w:cs="Times New Roman"/>
        </w:rPr>
        <w:t xml:space="preserve"> who asked me to write for him in early 2007. If this had not happened, the framework of this book would never have been written.</w:t>
      </w:r>
    </w:p>
    <w:p w14:paraId="52A1A95A" w14:textId="77777777" w:rsidR="005144D6" w:rsidRDefault="005144D6" w:rsidP="00E64209">
      <w:pPr>
        <w:spacing w:before="240"/>
        <w:ind w:firstLine="0"/>
        <w:rPr>
          <w:rFonts w:cs="Times New Roman"/>
        </w:rPr>
      </w:pPr>
      <w:r w:rsidRPr="00E40A13">
        <w:rPr>
          <w:rFonts w:cs="Times New Roman"/>
          <w:b/>
        </w:rPr>
        <w:t>Sean O’Daniels</w:t>
      </w:r>
      <w:r w:rsidR="007C469A">
        <w:rPr>
          <w:rFonts w:cs="Times New Roman"/>
        </w:rPr>
        <w:t>–</w:t>
      </w:r>
      <w:r w:rsidRPr="00124B71">
        <w:rPr>
          <w:rFonts w:cs="Times New Roman"/>
        </w:rPr>
        <w:t xml:space="preserve">Graphic artist whose creative cover design captured the essence of the housing bubble. </w:t>
      </w:r>
    </w:p>
    <w:p w14:paraId="1EEACAE6" w14:textId="77777777" w:rsidR="00500D6D" w:rsidRPr="00124B71" w:rsidRDefault="00500D6D" w:rsidP="00E64209">
      <w:pPr>
        <w:spacing w:before="240"/>
        <w:ind w:firstLine="0"/>
        <w:rPr>
          <w:rFonts w:cs="Times New Roman"/>
        </w:rPr>
      </w:pPr>
      <w:r>
        <w:rPr>
          <w:rFonts w:cs="Times New Roman"/>
          <w:b/>
        </w:rPr>
        <w:t>Tom Rollinger—Successful hedge fund manager, close friend and great networker who convinced me to finish the book by showing me how it could be marketed effectively.</w:t>
      </w:r>
    </w:p>
    <w:p w14:paraId="30768DEE" w14:textId="77777777" w:rsidR="000B37E8" w:rsidRDefault="000B37E8" w:rsidP="000B37E8">
      <w:pPr>
        <w:spacing w:before="240"/>
        <w:ind w:firstLine="0"/>
        <w:rPr>
          <w:rFonts w:cs="Times New Roman"/>
        </w:rPr>
      </w:pPr>
      <w:r w:rsidRPr="00E40A13">
        <w:rPr>
          <w:rFonts w:cs="Times New Roman"/>
          <w:b/>
        </w:rPr>
        <w:t>Sheri Langerman</w:t>
      </w:r>
      <w:r>
        <w:rPr>
          <w:rFonts w:cs="Times New Roman"/>
        </w:rPr>
        <w:t>–An early proofreader and editor. Her suggestions and insights helped shape the final text.</w:t>
      </w:r>
    </w:p>
    <w:p w14:paraId="4F2FBC07" w14:textId="77777777" w:rsidR="00942C59" w:rsidRPr="00124B71" w:rsidRDefault="00942C59" w:rsidP="00E64209">
      <w:pPr>
        <w:spacing w:before="240"/>
        <w:ind w:firstLine="0"/>
        <w:rPr>
          <w:rFonts w:cs="Times New Roman"/>
        </w:rPr>
      </w:pPr>
      <w:r w:rsidRPr="00E40A13">
        <w:rPr>
          <w:rFonts w:cs="Times New Roman"/>
          <w:b/>
        </w:rPr>
        <w:t>Rik Osmer</w:t>
      </w:r>
      <w:r w:rsidR="007C469A">
        <w:rPr>
          <w:rFonts w:cs="Times New Roman"/>
        </w:rPr>
        <w:t>–</w:t>
      </w:r>
      <w:r w:rsidRPr="00124B71">
        <w:rPr>
          <w:rFonts w:cs="Times New Roman"/>
        </w:rPr>
        <w:t>A tireless supporter, proofreader, and former mortgage broker whose insights into the workings of the mortgage industry greater increased my understanding of the mechanics of the housing bubble.</w:t>
      </w:r>
    </w:p>
    <w:p w14:paraId="754D26D7" w14:textId="77777777" w:rsidR="00571F95" w:rsidRDefault="00571F95" w:rsidP="00E64209">
      <w:pPr>
        <w:spacing w:before="240"/>
        <w:ind w:firstLine="0"/>
        <w:rPr>
          <w:rFonts w:cs="Times New Roman"/>
        </w:rPr>
      </w:pPr>
      <w:r>
        <w:rPr>
          <w:rFonts w:cs="Times New Roman"/>
          <w:b/>
        </w:rPr>
        <w:t>Cayci Robold—Final proofreader and editor. She caught the mistakes the rest of us missed. Her attention to detail is remarkable.</w:t>
      </w:r>
    </w:p>
    <w:p w14:paraId="2BD7FF31" w14:textId="77777777" w:rsidR="00942C59" w:rsidRPr="00124B71" w:rsidRDefault="00942C59" w:rsidP="00E64209">
      <w:pPr>
        <w:spacing w:before="240"/>
        <w:ind w:firstLine="0"/>
        <w:rPr>
          <w:rFonts w:cs="Times New Roman"/>
        </w:rPr>
      </w:pPr>
      <w:r w:rsidRPr="00E40A13">
        <w:rPr>
          <w:rFonts w:cs="Times New Roman"/>
          <w:b/>
        </w:rPr>
        <w:t>Richard May</w:t>
      </w:r>
      <w:r w:rsidR="007C469A">
        <w:rPr>
          <w:rFonts w:cs="Times New Roman"/>
        </w:rPr>
        <w:t>–</w:t>
      </w:r>
      <w:r w:rsidRPr="00124B71">
        <w:rPr>
          <w:rFonts w:cs="Times New Roman"/>
        </w:rPr>
        <w:t>His blog</w:t>
      </w:r>
      <w:r w:rsidR="00E64209" w:rsidRPr="00124B71">
        <w:rPr>
          <w:rFonts w:cs="Times New Roman"/>
        </w:rPr>
        <w:t>,</w:t>
      </w:r>
      <w:r w:rsidRPr="00124B71">
        <w:rPr>
          <w:rFonts w:cs="Times New Roman"/>
        </w:rPr>
        <w:t xml:space="preserve"> colored by his irreverent sense of humor</w:t>
      </w:r>
      <w:r w:rsidR="00E64209" w:rsidRPr="00124B71">
        <w:rPr>
          <w:rFonts w:cs="Times New Roman"/>
        </w:rPr>
        <w:t>,</w:t>
      </w:r>
      <w:r w:rsidRPr="00124B71">
        <w:rPr>
          <w:rFonts w:cs="Times New Roman"/>
        </w:rPr>
        <w:t xml:space="preserve"> was my inspiration to write about this subject in the public realm.</w:t>
      </w:r>
    </w:p>
    <w:p w14:paraId="1865C2A9" w14:textId="77777777" w:rsidR="00A644AE" w:rsidRPr="00124B71" w:rsidRDefault="00942C59" w:rsidP="00E64209">
      <w:pPr>
        <w:spacing w:before="240"/>
        <w:ind w:firstLine="0"/>
        <w:rPr>
          <w:rFonts w:cs="Times New Roman"/>
        </w:rPr>
      </w:pPr>
      <w:r w:rsidRPr="00E40A13">
        <w:rPr>
          <w:rFonts w:cs="Times New Roman"/>
          <w:b/>
        </w:rPr>
        <w:t>The Bubble Bloggers</w:t>
      </w:r>
      <w:r w:rsidR="007C469A">
        <w:rPr>
          <w:rFonts w:cs="Times New Roman"/>
        </w:rPr>
        <w:t>–</w:t>
      </w:r>
      <w:r w:rsidRPr="00124B71">
        <w:rPr>
          <w:rFonts w:cs="Times New Roman"/>
        </w:rPr>
        <w:t xml:space="preserve">The community of concerned citizens who have been loudly proclaiming the existence of the housing bubble in the noble cause of saving buyers from financial destruction. </w:t>
      </w:r>
    </w:p>
    <w:p w14:paraId="12E9884B" w14:textId="77777777" w:rsidR="00942C59" w:rsidRPr="00124B71" w:rsidRDefault="00942C59" w:rsidP="00E64209">
      <w:pPr>
        <w:spacing w:before="240"/>
        <w:ind w:firstLine="0"/>
        <w:rPr>
          <w:rFonts w:cs="Times New Roman"/>
        </w:rPr>
      </w:pPr>
      <w:r w:rsidRPr="00E40A13">
        <w:rPr>
          <w:rFonts w:cs="Times New Roman"/>
          <w:b/>
        </w:rPr>
        <w:t>The Irvine Housing Blog</w:t>
      </w:r>
      <w:r w:rsidR="001858B5" w:rsidRPr="00E40A13">
        <w:rPr>
          <w:rFonts w:cs="Times New Roman"/>
          <w:b/>
        </w:rPr>
        <w:fldChar w:fldCharType="begin"/>
      </w:r>
      <w:r w:rsidR="00BC72CA" w:rsidRPr="00E40A13">
        <w:rPr>
          <w:b/>
        </w:rPr>
        <w:instrText xml:space="preserve"> XE "</w:instrText>
      </w:r>
      <w:r w:rsidR="00BC72CA" w:rsidRPr="00E40A13">
        <w:rPr>
          <w:rFonts w:cs="Times New Roman"/>
          <w:b/>
        </w:rPr>
        <w:instrText>Irvine Housing Blog</w:instrText>
      </w:r>
      <w:r w:rsidR="00BC72CA" w:rsidRPr="00E40A13">
        <w:rPr>
          <w:b/>
        </w:rPr>
        <w:instrText xml:space="preserve">" </w:instrText>
      </w:r>
      <w:r w:rsidR="001858B5" w:rsidRPr="00E40A13">
        <w:rPr>
          <w:rFonts w:cs="Times New Roman"/>
          <w:b/>
        </w:rPr>
        <w:fldChar w:fldCharType="end"/>
      </w:r>
      <w:r w:rsidRPr="00E40A13">
        <w:rPr>
          <w:rFonts w:cs="Times New Roman"/>
          <w:b/>
        </w:rPr>
        <w:t xml:space="preserve"> Community</w:t>
      </w:r>
      <w:r w:rsidR="007C469A">
        <w:rPr>
          <w:rFonts w:cs="Times New Roman"/>
        </w:rPr>
        <w:t>–</w:t>
      </w:r>
      <w:r w:rsidRPr="00124B71">
        <w:rPr>
          <w:rFonts w:cs="Times New Roman"/>
        </w:rPr>
        <w:t xml:space="preserve">The regular readers and </w:t>
      </w:r>
      <w:r w:rsidR="00F51955">
        <w:rPr>
          <w:rFonts w:cs="Times New Roman"/>
        </w:rPr>
        <w:t>astute observers</w:t>
      </w:r>
      <w:r w:rsidRPr="00124B71">
        <w:rPr>
          <w:rFonts w:cs="Times New Roman"/>
        </w:rPr>
        <w:t xml:space="preserve"> on the Irvine Housing Blog have been an ongoing support group with constant encouragement and a feverish desire to see this book in print. This gr</w:t>
      </w:r>
      <w:r w:rsidR="00FF58C1" w:rsidRPr="00124B71">
        <w:rPr>
          <w:rFonts w:cs="Times New Roman"/>
        </w:rPr>
        <w:t>oup</w:t>
      </w:r>
      <w:r w:rsidR="00696720" w:rsidRPr="00124B71">
        <w:rPr>
          <w:rFonts w:cs="Times New Roman"/>
        </w:rPr>
        <w:t>,</w:t>
      </w:r>
      <w:r w:rsidR="00FF58C1" w:rsidRPr="00124B71">
        <w:rPr>
          <w:rFonts w:cs="Times New Roman"/>
        </w:rPr>
        <w:t xml:space="preserve"> more than any other</w:t>
      </w:r>
      <w:r w:rsidR="00696720" w:rsidRPr="00124B71">
        <w:rPr>
          <w:rFonts w:cs="Times New Roman"/>
        </w:rPr>
        <w:t>,</w:t>
      </w:r>
      <w:r w:rsidR="00FF58C1" w:rsidRPr="00124B71">
        <w:rPr>
          <w:rFonts w:cs="Times New Roman"/>
        </w:rPr>
        <w:t xml:space="preserve"> has acted</w:t>
      </w:r>
      <w:r w:rsidRPr="00124B71">
        <w:rPr>
          <w:rFonts w:cs="Times New Roman"/>
        </w:rPr>
        <w:t xml:space="preserve"> a crucible burning away the irrelevancies </w:t>
      </w:r>
      <w:r w:rsidR="00FF58C1" w:rsidRPr="00124B71">
        <w:rPr>
          <w:rFonts w:cs="Times New Roman"/>
        </w:rPr>
        <w:t>with their feedback and leaving a product which addresses the core of the housing bubble.</w:t>
      </w:r>
    </w:p>
    <w:p w14:paraId="241E4FE2" w14:textId="77777777" w:rsidR="00240C86" w:rsidRPr="00124B71" w:rsidRDefault="00240C86" w:rsidP="00E64209">
      <w:pPr>
        <w:spacing w:before="240"/>
        <w:ind w:firstLine="0"/>
        <w:rPr>
          <w:rFonts w:cs="Times New Roman"/>
        </w:rPr>
      </w:pPr>
    </w:p>
    <w:p w14:paraId="39EB5224" w14:textId="77777777" w:rsidR="00D81AF4" w:rsidRDefault="00240C86">
      <w:pPr>
        <w:spacing w:after="240" w:line="480" w:lineRule="auto"/>
        <w:jc w:val="left"/>
        <w:rPr>
          <w:rFonts w:cs="Times New Roman"/>
        </w:rPr>
        <w:sectPr w:rsidR="00D81AF4" w:rsidSect="009729DE">
          <w:headerReference w:type="default" r:id="rId13"/>
          <w:footerReference w:type="default" r:id="rId14"/>
          <w:endnotePr>
            <w:numFmt w:val="decimal"/>
          </w:endnotePr>
          <w:type w:val="oddPage"/>
          <w:pgSz w:w="8640" w:h="12960" w:code="173"/>
          <w:pgMar w:top="1008" w:right="936" w:bottom="1080" w:left="936" w:header="504" w:footer="504" w:gutter="0"/>
          <w:pgNumType w:fmt="lowerRoman"/>
          <w:cols w:space="720"/>
          <w:docGrid w:linePitch="360"/>
        </w:sectPr>
      </w:pPr>
      <w:r w:rsidRPr="00124B71">
        <w:rPr>
          <w:rFonts w:cs="Times New Roman"/>
        </w:rPr>
        <w:br w:type="page"/>
      </w:r>
    </w:p>
    <w:sdt>
      <w:sdtPr>
        <w:rPr>
          <w:b w:val="0"/>
          <w:sz w:val="22"/>
        </w:rPr>
        <w:id w:val="34097815"/>
        <w:docPartObj>
          <w:docPartGallery w:val="Table of Contents"/>
          <w:docPartUnique/>
        </w:docPartObj>
      </w:sdtPr>
      <w:sdtEndPr>
        <w:rPr>
          <w:rFonts w:cs="Times New Roman"/>
          <w:sz w:val="20"/>
        </w:rPr>
      </w:sdtEndPr>
      <w:sdtContent>
        <w:p w14:paraId="51012ED9" w14:textId="15437ADE" w:rsidR="007E3004" w:rsidRDefault="001858B5">
          <w:pPr>
            <w:pStyle w:val="TOC1"/>
            <w:rPr>
              <w:rFonts w:asciiTheme="minorHAnsi" w:hAnsiTheme="minorHAnsi"/>
              <w:b w:val="0"/>
              <w:noProof/>
              <w:kern w:val="2"/>
              <w:sz w:val="24"/>
              <w:szCs w:val="24"/>
              <w:lang w:bidi="ar-SA"/>
              <w14:ligatures w14:val="standardContextual"/>
            </w:rPr>
          </w:pPr>
          <w:r w:rsidRPr="00124B71">
            <w:rPr>
              <w:rFonts w:cs="Times New Roman"/>
            </w:rPr>
            <w:fldChar w:fldCharType="begin"/>
          </w:r>
          <w:r w:rsidR="00BE0098" w:rsidRPr="00124B71">
            <w:rPr>
              <w:rFonts w:cs="Times New Roman"/>
            </w:rPr>
            <w:instrText xml:space="preserve"> TOC \o "1-3" \h \z \u </w:instrText>
          </w:r>
          <w:r w:rsidRPr="00124B71">
            <w:rPr>
              <w:rFonts w:cs="Times New Roman"/>
            </w:rPr>
            <w:fldChar w:fldCharType="separate"/>
          </w:r>
          <w:hyperlink w:anchor="_Toc238867260" w:history="1">
            <w:r w:rsidR="007E3004" w:rsidRPr="0090244A">
              <w:rPr>
                <w:rStyle w:val="Hyperlink"/>
                <w:noProof/>
              </w:rPr>
              <w:t>Preface</w:t>
            </w:r>
            <w:r w:rsidR="007E3004">
              <w:rPr>
                <w:noProof/>
                <w:webHidden/>
              </w:rPr>
              <w:tab/>
            </w:r>
            <w:r w:rsidR="007E3004">
              <w:rPr>
                <w:noProof/>
                <w:webHidden/>
              </w:rPr>
              <w:fldChar w:fldCharType="begin"/>
            </w:r>
            <w:r w:rsidR="007E3004">
              <w:rPr>
                <w:noProof/>
                <w:webHidden/>
              </w:rPr>
              <w:instrText xml:space="preserve"> PAGEREF _Toc238867260 \h </w:instrText>
            </w:r>
            <w:r w:rsidR="007E3004">
              <w:rPr>
                <w:noProof/>
                <w:webHidden/>
              </w:rPr>
            </w:r>
            <w:r w:rsidR="007E3004">
              <w:rPr>
                <w:noProof/>
                <w:webHidden/>
              </w:rPr>
              <w:fldChar w:fldCharType="separate"/>
            </w:r>
            <w:r w:rsidR="00493733">
              <w:rPr>
                <w:noProof/>
                <w:webHidden/>
              </w:rPr>
              <w:t>xiii</w:t>
            </w:r>
            <w:r w:rsidR="007E3004">
              <w:rPr>
                <w:noProof/>
                <w:webHidden/>
              </w:rPr>
              <w:fldChar w:fldCharType="end"/>
            </w:r>
          </w:hyperlink>
        </w:p>
        <w:p w14:paraId="356F113A" w14:textId="2844600A" w:rsidR="007E3004" w:rsidRDefault="007E3004">
          <w:pPr>
            <w:pStyle w:val="TOC2"/>
            <w:rPr>
              <w:rFonts w:asciiTheme="minorHAnsi" w:hAnsiTheme="minorHAnsi"/>
              <w:kern w:val="2"/>
              <w:sz w:val="24"/>
              <w:szCs w:val="24"/>
              <w:lang w:bidi="ar-SA"/>
              <w14:ligatures w14:val="standardContextual"/>
            </w:rPr>
          </w:pPr>
          <w:hyperlink w:anchor="_Toc238867261" w:history="1">
            <w:r w:rsidRPr="0090244A">
              <w:rPr>
                <w:rStyle w:val="Hyperlink"/>
              </w:rPr>
              <w:t>Irvine Housing Blog</w:t>
            </w:r>
            <w:r>
              <w:rPr>
                <w:webHidden/>
              </w:rPr>
              <w:tab/>
            </w:r>
            <w:r>
              <w:rPr>
                <w:webHidden/>
              </w:rPr>
              <w:fldChar w:fldCharType="begin"/>
            </w:r>
            <w:r>
              <w:rPr>
                <w:webHidden/>
              </w:rPr>
              <w:instrText xml:space="preserve"> PAGEREF _Toc238867261 \h </w:instrText>
            </w:r>
            <w:r>
              <w:rPr>
                <w:webHidden/>
              </w:rPr>
            </w:r>
            <w:r>
              <w:rPr>
                <w:webHidden/>
              </w:rPr>
              <w:fldChar w:fldCharType="separate"/>
            </w:r>
            <w:r w:rsidR="00493733">
              <w:rPr>
                <w:webHidden/>
              </w:rPr>
              <w:t>xiv</w:t>
            </w:r>
            <w:r>
              <w:rPr>
                <w:webHidden/>
              </w:rPr>
              <w:fldChar w:fldCharType="end"/>
            </w:r>
          </w:hyperlink>
        </w:p>
        <w:p w14:paraId="00F4A21C" w14:textId="45AB1BB4" w:rsidR="007E3004" w:rsidRDefault="007E3004">
          <w:pPr>
            <w:pStyle w:val="TOC2"/>
            <w:rPr>
              <w:rFonts w:asciiTheme="minorHAnsi" w:hAnsiTheme="minorHAnsi"/>
              <w:kern w:val="2"/>
              <w:sz w:val="24"/>
              <w:szCs w:val="24"/>
              <w:lang w:bidi="ar-SA"/>
              <w14:ligatures w14:val="standardContextual"/>
            </w:rPr>
          </w:pPr>
          <w:hyperlink w:anchor="_Toc238867262" w:history="1">
            <w:r w:rsidRPr="0090244A">
              <w:rPr>
                <w:rStyle w:val="Hyperlink"/>
              </w:rPr>
              <w:t>The Reservoir of Schadenfreude</w:t>
            </w:r>
            <w:r>
              <w:rPr>
                <w:webHidden/>
              </w:rPr>
              <w:tab/>
            </w:r>
            <w:r>
              <w:rPr>
                <w:webHidden/>
              </w:rPr>
              <w:fldChar w:fldCharType="begin"/>
            </w:r>
            <w:r>
              <w:rPr>
                <w:webHidden/>
              </w:rPr>
              <w:instrText xml:space="preserve"> PAGEREF _Toc238867262 \h </w:instrText>
            </w:r>
            <w:r>
              <w:rPr>
                <w:webHidden/>
              </w:rPr>
            </w:r>
            <w:r>
              <w:rPr>
                <w:webHidden/>
              </w:rPr>
              <w:fldChar w:fldCharType="separate"/>
            </w:r>
            <w:r w:rsidR="00493733">
              <w:rPr>
                <w:webHidden/>
              </w:rPr>
              <w:t>xiv</w:t>
            </w:r>
            <w:r>
              <w:rPr>
                <w:webHidden/>
              </w:rPr>
              <w:fldChar w:fldCharType="end"/>
            </w:r>
          </w:hyperlink>
        </w:p>
        <w:p w14:paraId="43FBBCF3" w14:textId="0E8AF313" w:rsidR="007E3004" w:rsidRDefault="007E3004">
          <w:pPr>
            <w:pStyle w:val="TOC1"/>
            <w:rPr>
              <w:rFonts w:asciiTheme="minorHAnsi" w:hAnsiTheme="minorHAnsi"/>
              <w:b w:val="0"/>
              <w:noProof/>
              <w:kern w:val="2"/>
              <w:sz w:val="24"/>
              <w:szCs w:val="24"/>
              <w:lang w:bidi="ar-SA"/>
              <w14:ligatures w14:val="standardContextual"/>
            </w:rPr>
          </w:pPr>
          <w:hyperlink w:anchor="_Toc238867263" w:history="1">
            <w:r w:rsidRPr="0090244A">
              <w:rPr>
                <w:rStyle w:val="Hyperlink"/>
                <w:noProof/>
              </w:rPr>
              <w:t>Introduction</w:t>
            </w:r>
            <w:r>
              <w:rPr>
                <w:noProof/>
                <w:webHidden/>
              </w:rPr>
              <w:tab/>
            </w:r>
            <w:r>
              <w:rPr>
                <w:noProof/>
                <w:webHidden/>
              </w:rPr>
              <w:fldChar w:fldCharType="begin"/>
            </w:r>
            <w:r>
              <w:rPr>
                <w:noProof/>
                <w:webHidden/>
              </w:rPr>
              <w:instrText xml:space="preserve"> PAGEREF _Toc238867263 \h </w:instrText>
            </w:r>
            <w:r>
              <w:rPr>
                <w:noProof/>
                <w:webHidden/>
              </w:rPr>
            </w:r>
            <w:r>
              <w:rPr>
                <w:noProof/>
                <w:webHidden/>
              </w:rPr>
              <w:fldChar w:fldCharType="separate"/>
            </w:r>
            <w:r w:rsidR="00493733">
              <w:rPr>
                <w:noProof/>
                <w:webHidden/>
              </w:rPr>
              <w:t>xvii</w:t>
            </w:r>
            <w:r>
              <w:rPr>
                <w:noProof/>
                <w:webHidden/>
              </w:rPr>
              <w:fldChar w:fldCharType="end"/>
            </w:r>
          </w:hyperlink>
        </w:p>
        <w:p w14:paraId="2B8C99A3" w14:textId="0A2057E6" w:rsidR="007E3004" w:rsidRDefault="007E3004">
          <w:pPr>
            <w:pStyle w:val="TOC1"/>
            <w:rPr>
              <w:rFonts w:asciiTheme="minorHAnsi" w:hAnsiTheme="minorHAnsi"/>
              <w:b w:val="0"/>
              <w:noProof/>
              <w:kern w:val="2"/>
              <w:sz w:val="24"/>
              <w:szCs w:val="24"/>
              <w:lang w:bidi="ar-SA"/>
              <w14:ligatures w14:val="standardContextual"/>
            </w:rPr>
          </w:pPr>
          <w:hyperlink w:anchor="_Toc238867264" w:history="1">
            <w:r w:rsidRPr="0090244A">
              <w:rPr>
                <w:rStyle w:val="Hyperlink"/>
                <w:noProof/>
              </w:rPr>
              <w:t>What is a Bubble?</w:t>
            </w:r>
            <w:r>
              <w:rPr>
                <w:noProof/>
                <w:webHidden/>
              </w:rPr>
              <w:tab/>
            </w:r>
            <w:r>
              <w:rPr>
                <w:noProof/>
                <w:webHidden/>
              </w:rPr>
              <w:fldChar w:fldCharType="begin"/>
            </w:r>
            <w:r>
              <w:rPr>
                <w:noProof/>
                <w:webHidden/>
              </w:rPr>
              <w:instrText xml:space="preserve"> PAGEREF _Toc238867264 \h </w:instrText>
            </w:r>
            <w:r>
              <w:rPr>
                <w:noProof/>
                <w:webHidden/>
              </w:rPr>
            </w:r>
            <w:r>
              <w:rPr>
                <w:noProof/>
                <w:webHidden/>
              </w:rPr>
              <w:fldChar w:fldCharType="separate"/>
            </w:r>
            <w:r w:rsidR="00493733">
              <w:rPr>
                <w:noProof/>
                <w:webHidden/>
              </w:rPr>
              <w:t>1</w:t>
            </w:r>
            <w:r>
              <w:rPr>
                <w:noProof/>
                <w:webHidden/>
              </w:rPr>
              <w:fldChar w:fldCharType="end"/>
            </w:r>
          </w:hyperlink>
        </w:p>
        <w:p w14:paraId="4BEEBB9C" w14:textId="39A1E206" w:rsidR="007E3004" w:rsidRDefault="007E3004">
          <w:pPr>
            <w:pStyle w:val="TOC2"/>
            <w:rPr>
              <w:rFonts w:asciiTheme="minorHAnsi" w:hAnsiTheme="minorHAnsi"/>
              <w:kern w:val="2"/>
              <w:sz w:val="24"/>
              <w:szCs w:val="24"/>
              <w:lang w:bidi="ar-SA"/>
              <w14:ligatures w14:val="standardContextual"/>
            </w:rPr>
          </w:pPr>
          <w:hyperlink w:anchor="_Toc238867265" w:history="1">
            <w:r w:rsidRPr="0090244A">
              <w:rPr>
                <w:rStyle w:val="Hyperlink"/>
              </w:rPr>
              <w:t>Real Estate Only Goes Up</w:t>
            </w:r>
            <w:r>
              <w:rPr>
                <w:webHidden/>
              </w:rPr>
              <w:tab/>
            </w:r>
            <w:r>
              <w:rPr>
                <w:webHidden/>
              </w:rPr>
              <w:fldChar w:fldCharType="begin"/>
            </w:r>
            <w:r>
              <w:rPr>
                <w:webHidden/>
              </w:rPr>
              <w:instrText xml:space="preserve"> PAGEREF _Toc238867265 \h </w:instrText>
            </w:r>
            <w:r>
              <w:rPr>
                <w:webHidden/>
              </w:rPr>
            </w:r>
            <w:r>
              <w:rPr>
                <w:webHidden/>
              </w:rPr>
              <w:fldChar w:fldCharType="separate"/>
            </w:r>
            <w:r w:rsidR="00493733">
              <w:rPr>
                <w:webHidden/>
              </w:rPr>
              <w:t>2</w:t>
            </w:r>
            <w:r>
              <w:rPr>
                <w:webHidden/>
              </w:rPr>
              <w:fldChar w:fldCharType="end"/>
            </w:r>
          </w:hyperlink>
        </w:p>
        <w:p w14:paraId="20A02EC2" w14:textId="5CDF73B6" w:rsidR="007E3004" w:rsidRDefault="007E3004">
          <w:pPr>
            <w:pStyle w:val="TOC2"/>
            <w:rPr>
              <w:rFonts w:asciiTheme="minorHAnsi" w:hAnsiTheme="minorHAnsi"/>
              <w:kern w:val="2"/>
              <w:sz w:val="24"/>
              <w:szCs w:val="24"/>
              <w:lang w:bidi="ar-SA"/>
              <w14:ligatures w14:val="standardContextual"/>
            </w:rPr>
          </w:pPr>
          <w:hyperlink w:anchor="_Toc238867266" w:history="1">
            <w:r w:rsidRPr="0090244A">
              <w:rPr>
                <w:rStyle w:val="Hyperlink"/>
              </w:rPr>
              <w:t>Buy Now or Be Priced Out Forever</w:t>
            </w:r>
            <w:r>
              <w:rPr>
                <w:webHidden/>
              </w:rPr>
              <w:tab/>
            </w:r>
            <w:r>
              <w:rPr>
                <w:webHidden/>
              </w:rPr>
              <w:fldChar w:fldCharType="begin"/>
            </w:r>
            <w:r>
              <w:rPr>
                <w:webHidden/>
              </w:rPr>
              <w:instrText xml:space="preserve"> PAGEREF _Toc238867266 \h </w:instrText>
            </w:r>
            <w:r>
              <w:rPr>
                <w:webHidden/>
              </w:rPr>
            </w:r>
            <w:r>
              <w:rPr>
                <w:webHidden/>
              </w:rPr>
              <w:fldChar w:fldCharType="separate"/>
            </w:r>
            <w:r w:rsidR="00493733">
              <w:rPr>
                <w:webHidden/>
              </w:rPr>
              <w:t>2</w:t>
            </w:r>
            <w:r>
              <w:rPr>
                <w:webHidden/>
              </w:rPr>
              <w:fldChar w:fldCharType="end"/>
            </w:r>
          </w:hyperlink>
        </w:p>
        <w:p w14:paraId="3C2E8F36" w14:textId="1D0A9E70" w:rsidR="007E3004" w:rsidRDefault="007E3004">
          <w:pPr>
            <w:pStyle w:val="TOC2"/>
            <w:rPr>
              <w:rFonts w:asciiTheme="minorHAnsi" w:hAnsiTheme="minorHAnsi"/>
              <w:kern w:val="2"/>
              <w:sz w:val="24"/>
              <w:szCs w:val="24"/>
              <w:lang w:bidi="ar-SA"/>
              <w14:ligatures w14:val="standardContextual"/>
            </w:rPr>
          </w:pPr>
          <w:hyperlink w:anchor="_Toc238867267" w:history="1">
            <w:r w:rsidRPr="0090244A">
              <w:rPr>
                <w:rStyle w:val="Hyperlink"/>
              </w:rPr>
              <w:t>Confirming Fallacies</w:t>
            </w:r>
            <w:r>
              <w:rPr>
                <w:webHidden/>
              </w:rPr>
              <w:tab/>
            </w:r>
            <w:r>
              <w:rPr>
                <w:webHidden/>
              </w:rPr>
              <w:fldChar w:fldCharType="begin"/>
            </w:r>
            <w:r>
              <w:rPr>
                <w:webHidden/>
              </w:rPr>
              <w:instrText xml:space="preserve"> PAGEREF _Toc238867267 \h </w:instrText>
            </w:r>
            <w:r>
              <w:rPr>
                <w:webHidden/>
              </w:rPr>
            </w:r>
            <w:r>
              <w:rPr>
                <w:webHidden/>
              </w:rPr>
              <w:fldChar w:fldCharType="separate"/>
            </w:r>
            <w:r w:rsidR="00493733">
              <w:rPr>
                <w:webHidden/>
              </w:rPr>
              <w:t>3</w:t>
            </w:r>
            <w:r>
              <w:rPr>
                <w:webHidden/>
              </w:rPr>
              <w:fldChar w:fldCharType="end"/>
            </w:r>
          </w:hyperlink>
        </w:p>
        <w:p w14:paraId="6138D013" w14:textId="5DAB5A38" w:rsidR="007E3004" w:rsidRDefault="007E3004">
          <w:pPr>
            <w:pStyle w:val="TOC3"/>
            <w:rPr>
              <w:rFonts w:asciiTheme="minorHAnsi" w:hAnsiTheme="minorHAnsi"/>
              <w:noProof/>
              <w:kern w:val="2"/>
              <w:sz w:val="24"/>
              <w:szCs w:val="24"/>
              <w:lang w:bidi="ar-SA"/>
              <w14:ligatures w14:val="standardContextual"/>
            </w:rPr>
          </w:pPr>
          <w:hyperlink w:anchor="_Toc238867268" w:history="1">
            <w:r w:rsidRPr="0090244A">
              <w:rPr>
                <w:rStyle w:val="Hyperlink"/>
                <w:noProof/>
              </w:rPr>
              <w:t>They Aren’t Making Any More Land</w:t>
            </w:r>
            <w:r>
              <w:rPr>
                <w:noProof/>
                <w:webHidden/>
              </w:rPr>
              <w:tab/>
            </w:r>
            <w:r>
              <w:rPr>
                <w:noProof/>
                <w:webHidden/>
              </w:rPr>
              <w:fldChar w:fldCharType="begin"/>
            </w:r>
            <w:r>
              <w:rPr>
                <w:noProof/>
                <w:webHidden/>
              </w:rPr>
              <w:instrText xml:space="preserve"> PAGEREF _Toc238867268 \h </w:instrText>
            </w:r>
            <w:r>
              <w:rPr>
                <w:noProof/>
                <w:webHidden/>
              </w:rPr>
            </w:r>
            <w:r>
              <w:rPr>
                <w:noProof/>
                <w:webHidden/>
              </w:rPr>
              <w:fldChar w:fldCharType="separate"/>
            </w:r>
            <w:r w:rsidR="00493733">
              <w:rPr>
                <w:noProof/>
                <w:webHidden/>
              </w:rPr>
              <w:t>3</w:t>
            </w:r>
            <w:r>
              <w:rPr>
                <w:noProof/>
                <w:webHidden/>
              </w:rPr>
              <w:fldChar w:fldCharType="end"/>
            </w:r>
          </w:hyperlink>
        </w:p>
        <w:p w14:paraId="5B93515A" w14:textId="4CCA036F" w:rsidR="007E3004" w:rsidRDefault="007E3004">
          <w:pPr>
            <w:pStyle w:val="TOC3"/>
            <w:rPr>
              <w:rFonts w:asciiTheme="minorHAnsi" w:hAnsiTheme="minorHAnsi"/>
              <w:noProof/>
              <w:kern w:val="2"/>
              <w:sz w:val="24"/>
              <w:szCs w:val="24"/>
              <w:lang w:bidi="ar-SA"/>
              <w14:ligatures w14:val="standardContextual"/>
            </w:rPr>
          </w:pPr>
          <w:hyperlink w:anchor="_Toc238867269" w:history="1">
            <w:r w:rsidRPr="0090244A">
              <w:rPr>
                <w:rStyle w:val="Hyperlink"/>
                <w:noProof/>
              </w:rPr>
              <w:t>Everyone Wants To Live Here</w:t>
            </w:r>
            <w:r>
              <w:rPr>
                <w:noProof/>
                <w:webHidden/>
              </w:rPr>
              <w:tab/>
            </w:r>
            <w:r>
              <w:rPr>
                <w:noProof/>
                <w:webHidden/>
              </w:rPr>
              <w:fldChar w:fldCharType="begin"/>
            </w:r>
            <w:r>
              <w:rPr>
                <w:noProof/>
                <w:webHidden/>
              </w:rPr>
              <w:instrText xml:space="preserve"> PAGEREF _Toc238867269 \h </w:instrText>
            </w:r>
            <w:r>
              <w:rPr>
                <w:noProof/>
                <w:webHidden/>
              </w:rPr>
            </w:r>
            <w:r>
              <w:rPr>
                <w:noProof/>
                <w:webHidden/>
              </w:rPr>
              <w:fldChar w:fldCharType="separate"/>
            </w:r>
            <w:r w:rsidR="00493733">
              <w:rPr>
                <w:noProof/>
                <w:webHidden/>
              </w:rPr>
              <w:t>4</w:t>
            </w:r>
            <w:r>
              <w:rPr>
                <w:noProof/>
                <w:webHidden/>
              </w:rPr>
              <w:fldChar w:fldCharType="end"/>
            </w:r>
          </w:hyperlink>
        </w:p>
        <w:p w14:paraId="3DA4CB7A" w14:textId="027A331F" w:rsidR="007E3004" w:rsidRDefault="007E3004">
          <w:pPr>
            <w:pStyle w:val="TOC3"/>
            <w:rPr>
              <w:rFonts w:asciiTheme="minorHAnsi" w:hAnsiTheme="minorHAnsi"/>
              <w:noProof/>
              <w:kern w:val="2"/>
              <w:sz w:val="24"/>
              <w:szCs w:val="24"/>
              <w:lang w:bidi="ar-SA"/>
              <w14:ligatures w14:val="standardContextual"/>
            </w:rPr>
          </w:pPr>
          <w:hyperlink w:anchor="_Toc238867270" w:history="1">
            <w:r w:rsidRPr="0090244A">
              <w:rPr>
                <w:rStyle w:val="Hyperlink"/>
                <w:noProof/>
              </w:rPr>
              <w:t>Prices Are Supported By Fundamentals</w:t>
            </w:r>
            <w:r>
              <w:rPr>
                <w:noProof/>
                <w:webHidden/>
              </w:rPr>
              <w:tab/>
            </w:r>
            <w:r>
              <w:rPr>
                <w:noProof/>
                <w:webHidden/>
              </w:rPr>
              <w:fldChar w:fldCharType="begin"/>
            </w:r>
            <w:r>
              <w:rPr>
                <w:noProof/>
                <w:webHidden/>
              </w:rPr>
              <w:instrText xml:space="preserve"> PAGEREF _Toc238867270 \h </w:instrText>
            </w:r>
            <w:r>
              <w:rPr>
                <w:noProof/>
                <w:webHidden/>
              </w:rPr>
            </w:r>
            <w:r>
              <w:rPr>
                <w:noProof/>
                <w:webHidden/>
              </w:rPr>
              <w:fldChar w:fldCharType="separate"/>
            </w:r>
            <w:r w:rsidR="00493733">
              <w:rPr>
                <w:noProof/>
                <w:webHidden/>
              </w:rPr>
              <w:t>4</w:t>
            </w:r>
            <w:r>
              <w:rPr>
                <w:noProof/>
                <w:webHidden/>
              </w:rPr>
              <w:fldChar w:fldCharType="end"/>
            </w:r>
          </w:hyperlink>
        </w:p>
        <w:p w14:paraId="761EE2BB" w14:textId="3A41A5C8" w:rsidR="007E3004" w:rsidRDefault="007E3004">
          <w:pPr>
            <w:pStyle w:val="TOC3"/>
            <w:rPr>
              <w:rFonts w:asciiTheme="minorHAnsi" w:hAnsiTheme="minorHAnsi"/>
              <w:noProof/>
              <w:kern w:val="2"/>
              <w:sz w:val="24"/>
              <w:szCs w:val="24"/>
              <w:lang w:bidi="ar-SA"/>
              <w14:ligatures w14:val="standardContextual"/>
            </w:rPr>
          </w:pPr>
          <w:hyperlink w:anchor="_Toc238867271" w:history="1">
            <w:r w:rsidRPr="0090244A">
              <w:rPr>
                <w:rStyle w:val="Hyperlink"/>
                <w:noProof/>
              </w:rPr>
              <w:t>It Is Different This Time</w:t>
            </w:r>
            <w:r>
              <w:rPr>
                <w:noProof/>
                <w:webHidden/>
              </w:rPr>
              <w:tab/>
            </w:r>
            <w:r>
              <w:rPr>
                <w:noProof/>
                <w:webHidden/>
              </w:rPr>
              <w:fldChar w:fldCharType="begin"/>
            </w:r>
            <w:r>
              <w:rPr>
                <w:noProof/>
                <w:webHidden/>
              </w:rPr>
              <w:instrText xml:space="preserve"> PAGEREF _Toc238867271 \h </w:instrText>
            </w:r>
            <w:r>
              <w:rPr>
                <w:noProof/>
                <w:webHidden/>
              </w:rPr>
            </w:r>
            <w:r>
              <w:rPr>
                <w:noProof/>
                <w:webHidden/>
              </w:rPr>
              <w:fldChar w:fldCharType="separate"/>
            </w:r>
            <w:r w:rsidR="00493733">
              <w:rPr>
                <w:noProof/>
                <w:webHidden/>
              </w:rPr>
              <w:t>5</w:t>
            </w:r>
            <w:r>
              <w:rPr>
                <w:noProof/>
                <w:webHidden/>
              </w:rPr>
              <w:fldChar w:fldCharType="end"/>
            </w:r>
          </w:hyperlink>
        </w:p>
        <w:p w14:paraId="19ED10DA" w14:textId="25ED7D06" w:rsidR="007E3004" w:rsidRDefault="007E3004">
          <w:pPr>
            <w:pStyle w:val="TOC2"/>
            <w:rPr>
              <w:rFonts w:asciiTheme="minorHAnsi" w:hAnsiTheme="minorHAnsi"/>
              <w:kern w:val="2"/>
              <w:sz w:val="24"/>
              <w:szCs w:val="24"/>
              <w:lang w:bidi="ar-SA"/>
              <w14:ligatures w14:val="standardContextual"/>
            </w:rPr>
          </w:pPr>
          <w:hyperlink w:anchor="_Toc238867272" w:history="1">
            <w:r w:rsidRPr="0090244A">
              <w:rPr>
                <w:rStyle w:val="Hyperlink"/>
              </w:rPr>
              <w:t>The Importance of Financial Bubbles</w:t>
            </w:r>
            <w:r>
              <w:rPr>
                <w:webHidden/>
              </w:rPr>
              <w:tab/>
            </w:r>
            <w:r>
              <w:rPr>
                <w:webHidden/>
              </w:rPr>
              <w:fldChar w:fldCharType="begin"/>
            </w:r>
            <w:r>
              <w:rPr>
                <w:webHidden/>
              </w:rPr>
              <w:instrText xml:space="preserve"> PAGEREF _Toc238867272 \h </w:instrText>
            </w:r>
            <w:r>
              <w:rPr>
                <w:webHidden/>
              </w:rPr>
            </w:r>
            <w:r>
              <w:rPr>
                <w:webHidden/>
              </w:rPr>
              <w:fldChar w:fldCharType="separate"/>
            </w:r>
            <w:r w:rsidR="00493733">
              <w:rPr>
                <w:webHidden/>
              </w:rPr>
              <w:t>6</w:t>
            </w:r>
            <w:r>
              <w:rPr>
                <w:webHidden/>
              </w:rPr>
              <w:fldChar w:fldCharType="end"/>
            </w:r>
          </w:hyperlink>
        </w:p>
        <w:p w14:paraId="36AC4AD8" w14:textId="56BA341A" w:rsidR="007E3004" w:rsidRDefault="007E3004">
          <w:pPr>
            <w:pStyle w:val="TOC2"/>
            <w:rPr>
              <w:rFonts w:asciiTheme="minorHAnsi" w:hAnsiTheme="minorHAnsi"/>
              <w:kern w:val="2"/>
              <w:sz w:val="24"/>
              <w:szCs w:val="24"/>
              <w:lang w:bidi="ar-SA"/>
              <w14:ligatures w14:val="standardContextual"/>
            </w:rPr>
          </w:pPr>
          <w:hyperlink w:anchor="_Toc238867273" w:history="1">
            <w:r w:rsidRPr="0090244A">
              <w:rPr>
                <w:rStyle w:val="Hyperlink"/>
              </w:rPr>
              <w:t>Summary</w:t>
            </w:r>
            <w:r>
              <w:rPr>
                <w:webHidden/>
              </w:rPr>
              <w:tab/>
            </w:r>
            <w:r>
              <w:rPr>
                <w:webHidden/>
              </w:rPr>
              <w:fldChar w:fldCharType="begin"/>
            </w:r>
            <w:r>
              <w:rPr>
                <w:webHidden/>
              </w:rPr>
              <w:instrText xml:space="preserve"> PAGEREF _Toc238867273 \h </w:instrText>
            </w:r>
            <w:r>
              <w:rPr>
                <w:webHidden/>
              </w:rPr>
            </w:r>
            <w:r>
              <w:rPr>
                <w:webHidden/>
              </w:rPr>
              <w:fldChar w:fldCharType="separate"/>
            </w:r>
            <w:r w:rsidR="00493733">
              <w:rPr>
                <w:webHidden/>
              </w:rPr>
              <w:t>7</w:t>
            </w:r>
            <w:r>
              <w:rPr>
                <w:webHidden/>
              </w:rPr>
              <w:fldChar w:fldCharType="end"/>
            </w:r>
          </w:hyperlink>
        </w:p>
        <w:p w14:paraId="0AC01D89" w14:textId="4C7F3244" w:rsidR="007E3004" w:rsidRDefault="007E3004">
          <w:pPr>
            <w:pStyle w:val="TOC1"/>
            <w:rPr>
              <w:rFonts w:asciiTheme="minorHAnsi" w:hAnsiTheme="minorHAnsi"/>
              <w:b w:val="0"/>
              <w:noProof/>
              <w:kern w:val="2"/>
              <w:sz w:val="24"/>
              <w:szCs w:val="24"/>
              <w:lang w:bidi="ar-SA"/>
              <w14:ligatures w14:val="standardContextual"/>
            </w:rPr>
          </w:pPr>
          <w:hyperlink w:anchor="_Toc238867274" w:history="1">
            <w:r w:rsidRPr="0090244A">
              <w:rPr>
                <w:rStyle w:val="Hyperlink"/>
                <w:noProof/>
              </w:rPr>
              <w:t>Conservative House Financing</w:t>
            </w:r>
            <w:r>
              <w:rPr>
                <w:noProof/>
                <w:webHidden/>
              </w:rPr>
              <w:tab/>
            </w:r>
            <w:r>
              <w:rPr>
                <w:noProof/>
                <w:webHidden/>
              </w:rPr>
              <w:fldChar w:fldCharType="begin"/>
            </w:r>
            <w:r>
              <w:rPr>
                <w:noProof/>
                <w:webHidden/>
              </w:rPr>
              <w:instrText xml:space="preserve"> PAGEREF _Toc238867274 \h </w:instrText>
            </w:r>
            <w:r>
              <w:rPr>
                <w:noProof/>
                <w:webHidden/>
              </w:rPr>
            </w:r>
            <w:r>
              <w:rPr>
                <w:noProof/>
                <w:webHidden/>
              </w:rPr>
              <w:fldChar w:fldCharType="separate"/>
            </w:r>
            <w:r w:rsidR="00493733">
              <w:rPr>
                <w:noProof/>
                <w:webHidden/>
              </w:rPr>
              <w:t>9</w:t>
            </w:r>
            <w:r>
              <w:rPr>
                <w:noProof/>
                <w:webHidden/>
              </w:rPr>
              <w:fldChar w:fldCharType="end"/>
            </w:r>
          </w:hyperlink>
        </w:p>
        <w:p w14:paraId="0739B4D0" w14:textId="21C7C110" w:rsidR="007E3004" w:rsidRDefault="007E3004">
          <w:pPr>
            <w:pStyle w:val="TOC2"/>
            <w:rPr>
              <w:rFonts w:asciiTheme="minorHAnsi" w:hAnsiTheme="minorHAnsi"/>
              <w:kern w:val="2"/>
              <w:sz w:val="24"/>
              <w:szCs w:val="24"/>
              <w:lang w:bidi="ar-SA"/>
              <w14:ligatures w14:val="standardContextual"/>
            </w:rPr>
          </w:pPr>
          <w:hyperlink w:anchor="_Toc238867275" w:history="1">
            <w:r w:rsidRPr="0090244A">
              <w:rPr>
                <w:rStyle w:val="Hyperlink"/>
              </w:rPr>
              <w:t>Mortgage Interest Rates</w:t>
            </w:r>
            <w:r>
              <w:rPr>
                <w:webHidden/>
              </w:rPr>
              <w:tab/>
            </w:r>
            <w:r>
              <w:rPr>
                <w:webHidden/>
              </w:rPr>
              <w:fldChar w:fldCharType="begin"/>
            </w:r>
            <w:r>
              <w:rPr>
                <w:webHidden/>
              </w:rPr>
              <w:instrText xml:space="preserve"> PAGEREF _Toc238867275 \h </w:instrText>
            </w:r>
            <w:r>
              <w:rPr>
                <w:webHidden/>
              </w:rPr>
            </w:r>
            <w:r>
              <w:rPr>
                <w:webHidden/>
              </w:rPr>
              <w:fldChar w:fldCharType="separate"/>
            </w:r>
            <w:r w:rsidR="00493733">
              <w:rPr>
                <w:webHidden/>
              </w:rPr>
              <w:t>10</w:t>
            </w:r>
            <w:r>
              <w:rPr>
                <w:webHidden/>
              </w:rPr>
              <w:fldChar w:fldCharType="end"/>
            </w:r>
          </w:hyperlink>
        </w:p>
        <w:p w14:paraId="4BDA5133" w14:textId="2BA0666D" w:rsidR="007E3004" w:rsidRDefault="007E3004">
          <w:pPr>
            <w:pStyle w:val="TOC2"/>
            <w:rPr>
              <w:rFonts w:asciiTheme="minorHAnsi" w:hAnsiTheme="minorHAnsi"/>
              <w:kern w:val="2"/>
              <w:sz w:val="24"/>
              <w:szCs w:val="24"/>
              <w:lang w:bidi="ar-SA"/>
              <w14:ligatures w14:val="standardContextual"/>
            </w:rPr>
          </w:pPr>
          <w:hyperlink w:anchor="_Toc238867276" w:history="1">
            <w:r w:rsidRPr="0090244A">
              <w:rPr>
                <w:rStyle w:val="Hyperlink"/>
              </w:rPr>
              <w:t>Types of Borrowers</w:t>
            </w:r>
            <w:r>
              <w:rPr>
                <w:webHidden/>
              </w:rPr>
              <w:tab/>
            </w:r>
            <w:r>
              <w:rPr>
                <w:webHidden/>
              </w:rPr>
              <w:fldChar w:fldCharType="begin"/>
            </w:r>
            <w:r>
              <w:rPr>
                <w:webHidden/>
              </w:rPr>
              <w:instrText xml:space="preserve"> PAGEREF _Toc238867276 \h </w:instrText>
            </w:r>
            <w:r>
              <w:rPr>
                <w:webHidden/>
              </w:rPr>
            </w:r>
            <w:r>
              <w:rPr>
                <w:webHidden/>
              </w:rPr>
              <w:fldChar w:fldCharType="separate"/>
            </w:r>
            <w:r w:rsidR="00493733">
              <w:rPr>
                <w:webHidden/>
              </w:rPr>
              <w:t>11</w:t>
            </w:r>
            <w:r>
              <w:rPr>
                <w:webHidden/>
              </w:rPr>
              <w:fldChar w:fldCharType="end"/>
            </w:r>
          </w:hyperlink>
        </w:p>
        <w:p w14:paraId="1169EFDD" w14:textId="0F406B40" w:rsidR="007E3004" w:rsidRDefault="007E3004">
          <w:pPr>
            <w:pStyle w:val="TOC2"/>
            <w:rPr>
              <w:rFonts w:asciiTheme="minorHAnsi" w:hAnsiTheme="minorHAnsi"/>
              <w:kern w:val="2"/>
              <w:sz w:val="24"/>
              <w:szCs w:val="24"/>
              <w:lang w:bidi="ar-SA"/>
              <w14:ligatures w14:val="standardContextual"/>
            </w:rPr>
          </w:pPr>
          <w:hyperlink w:anchor="_Toc238867277" w:history="1">
            <w:r w:rsidRPr="0090244A">
              <w:rPr>
                <w:rStyle w:val="Hyperlink"/>
              </w:rPr>
              <w:t>Types of Loans</w:t>
            </w:r>
            <w:r>
              <w:rPr>
                <w:webHidden/>
              </w:rPr>
              <w:tab/>
            </w:r>
            <w:r>
              <w:rPr>
                <w:webHidden/>
              </w:rPr>
              <w:fldChar w:fldCharType="begin"/>
            </w:r>
            <w:r>
              <w:rPr>
                <w:webHidden/>
              </w:rPr>
              <w:instrText xml:space="preserve"> PAGEREF _Toc238867277 \h </w:instrText>
            </w:r>
            <w:r>
              <w:rPr>
                <w:webHidden/>
              </w:rPr>
            </w:r>
            <w:r>
              <w:rPr>
                <w:webHidden/>
              </w:rPr>
              <w:fldChar w:fldCharType="separate"/>
            </w:r>
            <w:r w:rsidR="00493733">
              <w:rPr>
                <w:webHidden/>
              </w:rPr>
              <w:t>12</w:t>
            </w:r>
            <w:r>
              <w:rPr>
                <w:webHidden/>
              </w:rPr>
              <w:fldChar w:fldCharType="end"/>
            </w:r>
          </w:hyperlink>
        </w:p>
        <w:p w14:paraId="2823BF10" w14:textId="21ECD26C" w:rsidR="007E3004" w:rsidRDefault="007E3004">
          <w:pPr>
            <w:pStyle w:val="TOC3"/>
            <w:rPr>
              <w:rFonts w:asciiTheme="minorHAnsi" w:hAnsiTheme="minorHAnsi"/>
              <w:noProof/>
              <w:kern w:val="2"/>
              <w:sz w:val="24"/>
              <w:szCs w:val="24"/>
              <w:lang w:bidi="ar-SA"/>
              <w14:ligatures w14:val="standardContextual"/>
            </w:rPr>
          </w:pPr>
          <w:hyperlink w:anchor="_Toc238867278" w:history="1">
            <w:r w:rsidRPr="0090244A">
              <w:rPr>
                <w:rStyle w:val="Hyperlink"/>
                <w:noProof/>
              </w:rPr>
              <w:t>Conventional 30-Year Amortizing Mortgage</w:t>
            </w:r>
            <w:r>
              <w:rPr>
                <w:noProof/>
                <w:webHidden/>
              </w:rPr>
              <w:tab/>
            </w:r>
            <w:r>
              <w:rPr>
                <w:noProof/>
                <w:webHidden/>
              </w:rPr>
              <w:fldChar w:fldCharType="begin"/>
            </w:r>
            <w:r>
              <w:rPr>
                <w:noProof/>
                <w:webHidden/>
              </w:rPr>
              <w:instrText xml:space="preserve"> PAGEREF _Toc238867278 \h </w:instrText>
            </w:r>
            <w:r>
              <w:rPr>
                <w:noProof/>
                <w:webHidden/>
              </w:rPr>
            </w:r>
            <w:r>
              <w:rPr>
                <w:noProof/>
                <w:webHidden/>
              </w:rPr>
              <w:fldChar w:fldCharType="separate"/>
            </w:r>
            <w:r w:rsidR="00493733">
              <w:rPr>
                <w:noProof/>
                <w:webHidden/>
              </w:rPr>
              <w:t>13</w:t>
            </w:r>
            <w:r>
              <w:rPr>
                <w:noProof/>
                <w:webHidden/>
              </w:rPr>
              <w:fldChar w:fldCharType="end"/>
            </w:r>
          </w:hyperlink>
        </w:p>
        <w:p w14:paraId="7E65911D" w14:textId="67832466" w:rsidR="007E3004" w:rsidRDefault="007E3004">
          <w:pPr>
            <w:pStyle w:val="TOC3"/>
            <w:rPr>
              <w:rFonts w:asciiTheme="minorHAnsi" w:hAnsiTheme="minorHAnsi"/>
              <w:noProof/>
              <w:kern w:val="2"/>
              <w:sz w:val="24"/>
              <w:szCs w:val="24"/>
              <w:lang w:bidi="ar-SA"/>
              <w14:ligatures w14:val="standardContextual"/>
            </w:rPr>
          </w:pPr>
          <w:hyperlink w:anchor="_Toc238867279" w:history="1">
            <w:r w:rsidRPr="0090244A">
              <w:rPr>
                <w:rStyle w:val="Hyperlink"/>
                <w:noProof/>
              </w:rPr>
              <w:t>The Interest-Only, Adjustable-Rate Mortgage</w:t>
            </w:r>
            <w:r>
              <w:rPr>
                <w:noProof/>
                <w:webHidden/>
              </w:rPr>
              <w:tab/>
            </w:r>
            <w:r>
              <w:rPr>
                <w:noProof/>
                <w:webHidden/>
              </w:rPr>
              <w:fldChar w:fldCharType="begin"/>
            </w:r>
            <w:r>
              <w:rPr>
                <w:noProof/>
                <w:webHidden/>
              </w:rPr>
              <w:instrText xml:space="preserve"> PAGEREF _Toc238867279 \h </w:instrText>
            </w:r>
            <w:r>
              <w:rPr>
                <w:noProof/>
                <w:webHidden/>
              </w:rPr>
            </w:r>
            <w:r>
              <w:rPr>
                <w:noProof/>
                <w:webHidden/>
              </w:rPr>
              <w:fldChar w:fldCharType="separate"/>
            </w:r>
            <w:r w:rsidR="00493733">
              <w:rPr>
                <w:noProof/>
                <w:webHidden/>
              </w:rPr>
              <w:t>13</w:t>
            </w:r>
            <w:r>
              <w:rPr>
                <w:noProof/>
                <w:webHidden/>
              </w:rPr>
              <w:fldChar w:fldCharType="end"/>
            </w:r>
          </w:hyperlink>
        </w:p>
        <w:p w14:paraId="197D109B" w14:textId="162C9349" w:rsidR="007E3004" w:rsidRDefault="007E3004">
          <w:pPr>
            <w:pStyle w:val="TOC3"/>
            <w:rPr>
              <w:rFonts w:asciiTheme="minorHAnsi" w:hAnsiTheme="minorHAnsi"/>
              <w:noProof/>
              <w:kern w:val="2"/>
              <w:sz w:val="24"/>
              <w:szCs w:val="24"/>
              <w:lang w:bidi="ar-SA"/>
              <w14:ligatures w14:val="standardContextual"/>
            </w:rPr>
          </w:pPr>
          <w:hyperlink w:anchor="_Toc238867280" w:history="1">
            <w:r w:rsidRPr="0090244A">
              <w:rPr>
                <w:rStyle w:val="Hyperlink"/>
                <w:noProof/>
              </w:rPr>
              <w:t>Negative Amortization Mortgages</w:t>
            </w:r>
            <w:r>
              <w:rPr>
                <w:noProof/>
                <w:webHidden/>
              </w:rPr>
              <w:tab/>
            </w:r>
            <w:r>
              <w:rPr>
                <w:noProof/>
                <w:webHidden/>
              </w:rPr>
              <w:fldChar w:fldCharType="begin"/>
            </w:r>
            <w:r>
              <w:rPr>
                <w:noProof/>
                <w:webHidden/>
              </w:rPr>
              <w:instrText xml:space="preserve"> PAGEREF _Toc238867280 \h </w:instrText>
            </w:r>
            <w:r>
              <w:rPr>
                <w:noProof/>
                <w:webHidden/>
              </w:rPr>
            </w:r>
            <w:r>
              <w:rPr>
                <w:noProof/>
                <w:webHidden/>
              </w:rPr>
              <w:fldChar w:fldCharType="separate"/>
            </w:r>
            <w:r w:rsidR="00493733">
              <w:rPr>
                <w:noProof/>
                <w:webHidden/>
              </w:rPr>
              <w:t>14</w:t>
            </w:r>
            <w:r>
              <w:rPr>
                <w:noProof/>
                <w:webHidden/>
              </w:rPr>
              <w:fldChar w:fldCharType="end"/>
            </w:r>
          </w:hyperlink>
        </w:p>
        <w:p w14:paraId="6DF2C294" w14:textId="77951B5C" w:rsidR="007E3004" w:rsidRDefault="007E3004">
          <w:pPr>
            <w:pStyle w:val="TOC2"/>
            <w:rPr>
              <w:rFonts w:asciiTheme="minorHAnsi" w:hAnsiTheme="minorHAnsi"/>
              <w:kern w:val="2"/>
              <w:sz w:val="24"/>
              <w:szCs w:val="24"/>
              <w:lang w:bidi="ar-SA"/>
              <w14:ligatures w14:val="standardContextual"/>
            </w:rPr>
          </w:pPr>
          <w:hyperlink w:anchor="_Toc238867281" w:history="1">
            <w:r w:rsidRPr="0090244A">
              <w:rPr>
                <w:rStyle w:val="Hyperlink"/>
              </w:rPr>
              <w:t>Stated Income Loans</w:t>
            </w:r>
            <w:r>
              <w:rPr>
                <w:webHidden/>
              </w:rPr>
              <w:tab/>
            </w:r>
            <w:r>
              <w:rPr>
                <w:webHidden/>
              </w:rPr>
              <w:fldChar w:fldCharType="begin"/>
            </w:r>
            <w:r>
              <w:rPr>
                <w:webHidden/>
              </w:rPr>
              <w:instrText xml:space="preserve"> PAGEREF _Toc238867281 \h </w:instrText>
            </w:r>
            <w:r>
              <w:rPr>
                <w:webHidden/>
              </w:rPr>
            </w:r>
            <w:r>
              <w:rPr>
                <w:webHidden/>
              </w:rPr>
              <w:fldChar w:fldCharType="separate"/>
            </w:r>
            <w:r w:rsidR="00493733">
              <w:rPr>
                <w:webHidden/>
              </w:rPr>
              <w:t>17</w:t>
            </w:r>
            <w:r>
              <w:rPr>
                <w:webHidden/>
              </w:rPr>
              <w:fldChar w:fldCharType="end"/>
            </w:r>
          </w:hyperlink>
        </w:p>
        <w:p w14:paraId="151F916B" w14:textId="0BAE6430" w:rsidR="007E3004" w:rsidRDefault="007E3004">
          <w:pPr>
            <w:pStyle w:val="TOC2"/>
            <w:rPr>
              <w:rFonts w:asciiTheme="minorHAnsi" w:hAnsiTheme="minorHAnsi"/>
              <w:kern w:val="2"/>
              <w:sz w:val="24"/>
              <w:szCs w:val="24"/>
              <w:lang w:bidi="ar-SA"/>
              <w14:ligatures w14:val="standardContextual"/>
            </w:rPr>
          </w:pPr>
          <w:hyperlink w:anchor="_Toc238867282" w:history="1">
            <w:r w:rsidRPr="0090244A">
              <w:rPr>
                <w:rStyle w:val="Hyperlink"/>
              </w:rPr>
              <w:t>Downpayments</w:t>
            </w:r>
            <w:r>
              <w:rPr>
                <w:webHidden/>
              </w:rPr>
              <w:tab/>
            </w:r>
            <w:r>
              <w:rPr>
                <w:webHidden/>
              </w:rPr>
              <w:fldChar w:fldCharType="begin"/>
            </w:r>
            <w:r>
              <w:rPr>
                <w:webHidden/>
              </w:rPr>
              <w:instrText xml:space="preserve"> PAGEREF _Toc238867282 \h </w:instrText>
            </w:r>
            <w:r>
              <w:rPr>
                <w:webHidden/>
              </w:rPr>
            </w:r>
            <w:r>
              <w:rPr>
                <w:webHidden/>
              </w:rPr>
              <w:fldChar w:fldCharType="separate"/>
            </w:r>
            <w:r w:rsidR="00493733">
              <w:rPr>
                <w:webHidden/>
              </w:rPr>
              <w:t>19</w:t>
            </w:r>
            <w:r>
              <w:rPr>
                <w:webHidden/>
              </w:rPr>
              <w:fldChar w:fldCharType="end"/>
            </w:r>
          </w:hyperlink>
        </w:p>
        <w:p w14:paraId="771A6DB1" w14:textId="6ECB461D" w:rsidR="007E3004" w:rsidRDefault="007E3004">
          <w:pPr>
            <w:pStyle w:val="TOC2"/>
            <w:rPr>
              <w:rFonts w:asciiTheme="minorHAnsi" w:hAnsiTheme="minorHAnsi"/>
              <w:kern w:val="2"/>
              <w:sz w:val="24"/>
              <w:szCs w:val="24"/>
              <w:lang w:bidi="ar-SA"/>
              <w14:ligatures w14:val="standardContextual"/>
            </w:rPr>
          </w:pPr>
          <w:hyperlink w:anchor="_Toc238867283" w:history="1">
            <w:r w:rsidRPr="0090244A">
              <w:rPr>
                <w:rStyle w:val="Hyperlink"/>
              </w:rPr>
              <w:t>Equity Components</w:t>
            </w:r>
            <w:r>
              <w:rPr>
                <w:webHidden/>
              </w:rPr>
              <w:tab/>
            </w:r>
            <w:r>
              <w:rPr>
                <w:webHidden/>
              </w:rPr>
              <w:fldChar w:fldCharType="begin"/>
            </w:r>
            <w:r>
              <w:rPr>
                <w:webHidden/>
              </w:rPr>
              <w:instrText xml:space="preserve"> PAGEREF _Toc238867283 \h </w:instrText>
            </w:r>
            <w:r>
              <w:rPr>
                <w:webHidden/>
              </w:rPr>
            </w:r>
            <w:r>
              <w:rPr>
                <w:webHidden/>
              </w:rPr>
              <w:fldChar w:fldCharType="separate"/>
            </w:r>
            <w:r w:rsidR="00493733">
              <w:rPr>
                <w:webHidden/>
              </w:rPr>
              <w:t>20</w:t>
            </w:r>
            <w:r>
              <w:rPr>
                <w:webHidden/>
              </w:rPr>
              <w:fldChar w:fldCharType="end"/>
            </w:r>
          </w:hyperlink>
        </w:p>
        <w:p w14:paraId="4BEF0581" w14:textId="4D46F869" w:rsidR="007E3004" w:rsidRDefault="007E3004">
          <w:pPr>
            <w:pStyle w:val="TOC3"/>
            <w:rPr>
              <w:rFonts w:asciiTheme="minorHAnsi" w:hAnsiTheme="minorHAnsi"/>
              <w:noProof/>
              <w:kern w:val="2"/>
              <w:sz w:val="24"/>
              <w:szCs w:val="24"/>
              <w:lang w:bidi="ar-SA"/>
              <w14:ligatures w14:val="standardContextual"/>
            </w:rPr>
          </w:pPr>
          <w:hyperlink w:anchor="_Toc238867284" w:history="1">
            <w:r w:rsidRPr="0090244A">
              <w:rPr>
                <w:rStyle w:val="Hyperlink"/>
                <w:noProof/>
              </w:rPr>
              <w:t>Initial Equity</w:t>
            </w:r>
            <w:r>
              <w:rPr>
                <w:noProof/>
                <w:webHidden/>
              </w:rPr>
              <w:tab/>
            </w:r>
            <w:r>
              <w:rPr>
                <w:noProof/>
                <w:webHidden/>
              </w:rPr>
              <w:fldChar w:fldCharType="begin"/>
            </w:r>
            <w:r>
              <w:rPr>
                <w:noProof/>
                <w:webHidden/>
              </w:rPr>
              <w:instrText xml:space="preserve"> PAGEREF _Toc238867284 \h </w:instrText>
            </w:r>
            <w:r>
              <w:rPr>
                <w:noProof/>
                <w:webHidden/>
              </w:rPr>
            </w:r>
            <w:r>
              <w:rPr>
                <w:noProof/>
                <w:webHidden/>
              </w:rPr>
              <w:fldChar w:fldCharType="separate"/>
            </w:r>
            <w:r w:rsidR="00493733">
              <w:rPr>
                <w:noProof/>
                <w:webHidden/>
              </w:rPr>
              <w:t>21</w:t>
            </w:r>
            <w:r>
              <w:rPr>
                <w:noProof/>
                <w:webHidden/>
              </w:rPr>
              <w:fldChar w:fldCharType="end"/>
            </w:r>
          </w:hyperlink>
        </w:p>
        <w:p w14:paraId="2BB2F66A" w14:textId="4CBA0BC3" w:rsidR="007E3004" w:rsidRDefault="007E3004">
          <w:pPr>
            <w:pStyle w:val="TOC3"/>
            <w:rPr>
              <w:rFonts w:asciiTheme="minorHAnsi" w:hAnsiTheme="minorHAnsi"/>
              <w:noProof/>
              <w:kern w:val="2"/>
              <w:sz w:val="24"/>
              <w:szCs w:val="24"/>
              <w:lang w:bidi="ar-SA"/>
              <w14:ligatures w14:val="standardContextual"/>
            </w:rPr>
          </w:pPr>
          <w:hyperlink w:anchor="_Toc238867285" w:history="1">
            <w:r w:rsidRPr="0090244A">
              <w:rPr>
                <w:rStyle w:val="Hyperlink"/>
                <w:noProof/>
              </w:rPr>
              <w:t>Financing Equity</w:t>
            </w:r>
            <w:r>
              <w:rPr>
                <w:noProof/>
                <w:webHidden/>
              </w:rPr>
              <w:tab/>
            </w:r>
            <w:r>
              <w:rPr>
                <w:noProof/>
                <w:webHidden/>
              </w:rPr>
              <w:fldChar w:fldCharType="begin"/>
            </w:r>
            <w:r>
              <w:rPr>
                <w:noProof/>
                <w:webHidden/>
              </w:rPr>
              <w:instrText xml:space="preserve"> PAGEREF _Toc238867285 \h </w:instrText>
            </w:r>
            <w:r>
              <w:rPr>
                <w:noProof/>
                <w:webHidden/>
              </w:rPr>
            </w:r>
            <w:r>
              <w:rPr>
                <w:noProof/>
                <w:webHidden/>
              </w:rPr>
              <w:fldChar w:fldCharType="separate"/>
            </w:r>
            <w:r w:rsidR="00493733">
              <w:rPr>
                <w:noProof/>
                <w:webHidden/>
              </w:rPr>
              <w:t>21</w:t>
            </w:r>
            <w:r>
              <w:rPr>
                <w:noProof/>
                <w:webHidden/>
              </w:rPr>
              <w:fldChar w:fldCharType="end"/>
            </w:r>
          </w:hyperlink>
        </w:p>
        <w:p w14:paraId="0BA3FE1A" w14:textId="04FF7561" w:rsidR="007E3004" w:rsidRDefault="007E3004">
          <w:pPr>
            <w:pStyle w:val="TOC3"/>
            <w:rPr>
              <w:rFonts w:asciiTheme="minorHAnsi" w:hAnsiTheme="minorHAnsi"/>
              <w:noProof/>
              <w:kern w:val="2"/>
              <w:sz w:val="24"/>
              <w:szCs w:val="24"/>
              <w:lang w:bidi="ar-SA"/>
              <w14:ligatures w14:val="standardContextual"/>
            </w:rPr>
          </w:pPr>
          <w:hyperlink w:anchor="_Toc238867286" w:history="1">
            <w:r w:rsidRPr="0090244A">
              <w:rPr>
                <w:rStyle w:val="Hyperlink"/>
                <w:noProof/>
              </w:rPr>
              <w:t>Inflation Equity</w:t>
            </w:r>
            <w:r>
              <w:rPr>
                <w:noProof/>
                <w:webHidden/>
              </w:rPr>
              <w:tab/>
            </w:r>
            <w:r>
              <w:rPr>
                <w:noProof/>
                <w:webHidden/>
              </w:rPr>
              <w:fldChar w:fldCharType="begin"/>
            </w:r>
            <w:r>
              <w:rPr>
                <w:noProof/>
                <w:webHidden/>
              </w:rPr>
              <w:instrText xml:space="preserve"> PAGEREF _Toc238867286 \h </w:instrText>
            </w:r>
            <w:r>
              <w:rPr>
                <w:noProof/>
                <w:webHidden/>
              </w:rPr>
            </w:r>
            <w:r>
              <w:rPr>
                <w:noProof/>
                <w:webHidden/>
              </w:rPr>
              <w:fldChar w:fldCharType="separate"/>
            </w:r>
            <w:r w:rsidR="00493733">
              <w:rPr>
                <w:noProof/>
                <w:webHidden/>
              </w:rPr>
              <w:t>22</w:t>
            </w:r>
            <w:r>
              <w:rPr>
                <w:noProof/>
                <w:webHidden/>
              </w:rPr>
              <w:fldChar w:fldCharType="end"/>
            </w:r>
          </w:hyperlink>
        </w:p>
        <w:p w14:paraId="2D57EAC3" w14:textId="4F450E86" w:rsidR="007E3004" w:rsidRDefault="007E3004">
          <w:pPr>
            <w:pStyle w:val="TOC3"/>
            <w:rPr>
              <w:rFonts w:asciiTheme="minorHAnsi" w:hAnsiTheme="minorHAnsi"/>
              <w:noProof/>
              <w:kern w:val="2"/>
              <w:sz w:val="24"/>
              <w:szCs w:val="24"/>
              <w:lang w:bidi="ar-SA"/>
              <w14:ligatures w14:val="standardContextual"/>
            </w:rPr>
          </w:pPr>
          <w:hyperlink w:anchor="_Toc238867287" w:history="1">
            <w:r w:rsidRPr="0090244A">
              <w:rPr>
                <w:rStyle w:val="Hyperlink"/>
                <w:noProof/>
              </w:rPr>
              <w:t>Speculative Equity</w:t>
            </w:r>
            <w:r>
              <w:rPr>
                <w:noProof/>
                <w:webHidden/>
              </w:rPr>
              <w:tab/>
            </w:r>
            <w:r>
              <w:rPr>
                <w:noProof/>
                <w:webHidden/>
              </w:rPr>
              <w:fldChar w:fldCharType="begin"/>
            </w:r>
            <w:r>
              <w:rPr>
                <w:noProof/>
                <w:webHidden/>
              </w:rPr>
              <w:instrText xml:space="preserve"> PAGEREF _Toc238867287 \h </w:instrText>
            </w:r>
            <w:r>
              <w:rPr>
                <w:noProof/>
                <w:webHidden/>
              </w:rPr>
            </w:r>
            <w:r>
              <w:rPr>
                <w:noProof/>
                <w:webHidden/>
              </w:rPr>
              <w:fldChar w:fldCharType="separate"/>
            </w:r>
            <w:r w:rsidR="00493733">
              <w:rPr>
                <w:noProof/>
                <w:webHidden/>
              </w:rPr>
              <w:t>23</w:t>
            </w:r>
            <w:r>
              <w:rPr>
                <w:noProof/>
                <w:webHidden/>
              </w:rPr>
              <w:fldChar w:fldCharType="end"/>
            </w:r>
          </w:hyperlink>
        </w:p>
        <w:p w14:paraId="20D600FA" w14:textId="049D0C9F" w:rsidR="007E3004" w:rsidRDefault="007E3004">
          <w:pPr>
            <w:pStyle w:val="TOC2"/>
            <w:rPr>
              <w:rFonts w:asciiTheme="minorHAnsi" w:hAnsiTheme="minorHAnsi"/>
              <w:kern w:val="2"/>
              <w:sz w:val="24"/>
              <w:szCs w:val="24"/>
              <w:lang w:bidi="ar-SA"/>
              <w14:ligatures w14:val="standardContextual"/>
            </w:rPr>
          </w:pPr>
          <w:hyperlink w:anchor="_Toc238867288" w:history="1">
            <w:r w:rsidRPr="0090244A">
              <w:rPr>
                <w:rStyle w:val="Hyperlink"/>
              </w:rPr>
              <w:t>Mortgage Equity Withdrawal</w:t>
            </w:r>
            <w:r>
              <w:rPr>
                <w:webHidden/>
              </w:rPr>
              <w:tab/>
            </w:r>
            <w:r>
              <w:rPr>
                <w:webHidden/>
              </w:rPr>
              <w:fldChar w:fldCharType="begin"/>
            </w:r>
            <w:r>
              <w:rPr>
                <w:webHidden/>
              </w:rPr>
              <w:instrText xml:space="preserve"> PAGEREF _Toc238867288 \h </w:instrText>
            </w:r>
            <w:r>
              <w:rPr>
                <w:webHidden/>
              </w:rPr>
            </w:r>
            <w:r>
              <w:rPr>
                <w:webHidden/>
              </w:rPr>
              <w:fldChar w:fldCharType="separate"/>
            </w:r>
            <w:r w:rsidR="00493733">
              <w:rPr>
                <w:webHidden/>
              </w:rPr>
              <w:t>24</w:t>
            </w:r>
            <w:r>
              <w:rPr>
                <w:webHidden/>
              </w:rPr>
              <w:fldChar w:fldCharType="end"/>
            </w:r>
          </w:hyperlink>
        </w:p>
        <w:p w14:paraId="4CF02AE5" w14:textId="67C915C1" w:rsidR="007E3004" w:rsidRDefault="007E3004">
          <w:pPr>
            <w:pStyle w:val="TOC2"/>
            <w:rPr>
              <w:rFonts w:asciiTheme="minorHAnsi" w:hAnsiTheme="minorHAnsi"/>
              <w:kern w:val="2"/>
              <w:sz w:val="24"/>
              <w:szCs w:val="24"/>
              <w:lang w:bidi="ar-SA"/>
              <w14:ligatures w14:val="standardContextual"/>
            </w:rPr>
          </w:pPr>
          <w:hyperlink w:anchor="_Toc238867289" w:history="1">
            <w:r w:rsidRPr="0090244A">
              <w:rPr>
                <w:rStyle w:val="Hyperlink"/>
              </w:rPr>
              <w:t>The Fallacy of Financial Innovation</w:t>
            </w:r>
            <w:r>
              <w:rPr>
                <w:webHidden/>
              </w:rPr>
              <w:tab/>
            </w:r>
            <w:r>
              <w:rPr>
                <w:webHidden/>
              </w:rPr>
              <w:fldChar w:fldCharType="begin"/>
            </w:r>
            <w:r>
              <w:rPr>
                <w:webHidden/>
              </w:rPr>
              <w:instrText xml:space="preserve"> PAGEREF _Toc238867289 \h </w:instrText>
            </w:r>
            <w:r>
              <w:rPr>
                <w:webHidden/>
              </w:rPr>
            </w:r>
            <w:r>
              <w:rPr>
                <w:webHidden/>
              </w:rPr>
              <w:fldChar w:fldCharType="separate"/>
            </w:r>
            <w:r w:rsidR="00493733">
              <w:rPr>
                <w:webHidden/>
              </w:rPr>
              <w:t>27</w:t>
            </w:r>
            <w:r>
              <w:rPr>
                <w:webHidden/>
              </w:rPr>
              <w:fldChar w:fldCharType="end"/>
            </w:r>
          </w:hyperlink>
        </w:p>
        <w:p w14:paraId="34AA763F" w14:textId="4B4BB5CD" w:rsidR="007E3004" w:rsidRDefault="007E3004">
          <w:pPr>
            <w:pStyle w:val="TOC2"/>
            <w:rPr>
              <w:rFonts w:asciiTheme="minorHAnsi" w:hAnsiTheme="minorHAnsi"/>
              <w:kern w:val="2"/>
              <w:sz w:val="24"/>
              <w:szCs w:val="24"/>
              <w:lang w:bidi="ar-SA"/>
              <w14:ligatures w14:val="standardContextual"/>
            </w:rPr>
          </w:pPr>
          <w:hyperlink w:anchor="_Toc238867290" w:history="1">
            <w:r w:rsidRPr="0090244A">
              <w:rPr>
                <w:rStyle w:val="Hyperlink"/>
              </w:rPr>
              <w:t>Summary</w:t>
            </w:r>
            <w:r>
              <w:rPr>
                <w:webHidden/>
              </w:rPr>
              <w:tab/>
            </w:r>
            <w:r>
              <w:rPr>
                <w:webHidden/>
              </w:rPr>
              <w:fldChar w:fldCharType="begin"/>
            </w:r>
            <w:r>
              <w:rPr>
                <w:webHidden/>
              </w:rPr>
              <w:instrText xml:space="preserve"> PAGEREF _Toc238867290 \h </w:instrText>
            </w:r>
            <w:r>
              <w:rPr>
                <w:webHidden/>
              </w:rPr>
            </w:r>
            <w:r>
              <w:rPr>
                <w:webHidden/>
              </w:rPr>
              <w:fldChar w:fldCharType="separate"/>
            </w:r>
            <w:r w:rsidR="00493733">
              <w:rPr>
                <w:webHidden/>
              </w:rPr>
              <w:t>29</w:t>
            </w:r>
            <w:r>
              <w:rPr>
                <w:webHidden/>
              </w:rPr>
              <w:fldChar w:fldCharType="end"/>
            </w:r>
          </w:hyperlink>
        </w:p>
        <w:p w14:paraId="0A872DAD" w14:textId="7F7A17EE" w:rsidR="007E3004" w:rsidRDefault="007E3004">
          <w:pPr>
            <w:pStyle w:val="TOC1"/>
            <w:rPr>
              <w:rFonts w:asciiTheme="minorHAnsi" w:hAnsiTheme="minorHAnsi"/>
              <w:b w:val="0"/>
              <w:noProof/>
              <w:kern w:val="2"/>
              <w:sz w:val="24"/>
              <w:szCs w:val="24"/>
              <w:lang w:bidi="ar-SA"/>
              <w14:ligatures w14:val="standardContextual"/>
            </w:rPr>
          </w:pPr>
          <w:hyperlink w:anchor="_Toc238867291" w:history="1">
            <w:r w:rsidRPr="0090244A">
              <w:rPr>
                <w:rStyle w:val="Hyperlink"/>
                <w:noProof/>
              </w:rPr>
              <w:t>Fundamental Valuation of Houses</w:t>
            </w:r>
            <w:r>
              <w:rPr>
                <w:noProof/>
                <w:webHidden/>
              </w:rPr>
              <w:tab/>
            </w:r>
            <w:r>
              <w:rPr>
                <w:noProof/>
                <w:webHidden/>
              </w:rPr>
              <w:fldChar w:fldCharType="begin"/>
            </w:r>
            <w:r>
              <w:rPr>
                <w:noProof/>
                <w:webHidden/>
              </w:rPr>
              <w:instrText xml:space="preserve"> PAGEREF _Toc238867291 \h </w:instrText>
            </w:r>
            <w:r>
              <w:rPr>
                <w:noProof/>
                <w:webHidden/>
              </w:rPr>
            </w:r>
            <w:r>
              <w:rPr>
                <w:noProof/>
                <w:webHidden/>
              </w:rPr>
              <w:fldChar w:fldCharType="separate"/>
            </w:r>
            <w:r w:rsidR="00493733">
              <w:rPr>
                <w:noProof/>
                <w:webHidden/>
              </w:rPr>
              <w:t>31</w:t>
            </w:r>
            <w:r>
              <w:rPr>
                <w:noProof/>
                <w:webHidden/>
              </w:rPr>
              <w:fldChar w:fldCharType="end"/>
            </w:r>
          </w:hyperlink>
        </w:p>
        <w:p w14:paraId="7EEFF0B4" w14:textId="16D608B8" w:rsidR="007E3004" w:rsidRDefault="007E3004">
          <w:pPr>
            <w:pStyle w:val="TOC2"/>
            <w:rPr>
              <w:rFonts w:asciiTheme="minorHAnsi" w:hAnsiTheme="minorHAnsi"/>
              <w:kern w:val="2"/>
              <w:sz w:val="24"/>
              <w:szCs w:val="24"/>
              <w:lang w:bidi="ar-SA"/>
              <w14:ligatures w14:val="standardContextual"/>
            </w:rPr>
          </w:pPr>
          <w:hyperlink w:anchor="_Toc238867292" w:history="1">
            <w:r w:rsidRPr="0090244A">
              <w:rPr>
                <w:rStyle w:val="Hyperlink"/>
              </w:rPr>
              <w:t>Ownership Cost Math</w:t>
            </w:r>
            <w:r>
              <w:rPr>
                <w:webHidden/>
              </w:rPr>
              <w:tab/>
            </w:r>
            <w:r>
              <w:rPr>
                <w:webHidden/>
              </w:rPr>
              <w:fldChar w:fldCharType="begin"/>
            </w:r>
            <w:r>
              <w:rPr>
                <w:webHidden/>
              </w:rPr>
              <w:instrText xml:space="preserve"> PAGEREF _Toc238867292 \h </w:instrText>
            </w:r>
            <w:r>
              <w:rPr>
                <w:webHidden/>
              </w:rPr>
            </w:r>
            <w:r>
              <w:rPr>
                <w:webHidden/>
              </w:rPr>
              <w:fldChar w:fldCharType="separate"/>
            </w:r>
            <w:r w:rsidR="00493733">
              <w:rPr>
                <w:webHidden/>
              </w:rPr>
              <w:t>32</w:t>
            </w:r>
            <w:r>
              <w:rPr>
                <w:webHidden/>
              </w:rPr>
              <w:fldChar w:fldCharType="end"/>
            </w:r>
          </w:hyperlink>
        </w:p>
        <w:p w14:paraId="55F225B2" w14:textId="5E2F64A8" w:rsidR="007E3004" w:rsidRDefault="007E3004">
          <w:pPr>
            <w:pStyle w:val="TOC3"/>
            <w:rPr>
              <w:rFonts w:asciiTheme="minorHAnsi" w:hAnsiTheme="minorHAnsi"/>
              <w:noProof/>
              <w:kern w:val="2"/>
              <w:sz w:val="24"/>
              <w:szCs w:val="24"/>
              <w:lang w:bidi="ar-SA"/>
              <w14:ligatures w14:val="standardContextual"/>
            </w:rPr>
          </w:pPr>
          <w:hyperlink w:anchor="_Toc238867293" w:history="1">
            <w:r w:rsidRPr="0090244A">
              <w:rPr>
                <w:rStyle w:val="Hyperlink"/>
                <w:noProof/>
              </w:rPr>
              <w:t>Mortgage Payment</w:t>
            </w:r>
            <w:r>
              <w:rPr>
                <w:noProof/>
                <w:webHidden/>
              </w:rPr>
              <w:tab/>
            </w:r>
            <w:r>
              <w:rPr>
                <w:noProof/>
                <w:webHidden/>
              </w:rPr>
              <w:fldChar w:fldCharType="begin"/>
            </w:r>
            <w:r>
              <w:rPr>
                <w:noProof/>
                <w:webHidden/>
              </w:rPr>
              <w:instrText xml:space="preserve"> PAGEREF _Toc238867293 \h </w:instrText>
            </w:r>
            <w:r>
              <w:rPr>
                <w:noProof/>
                <w:webHidden/>
              </w:rPr>
            </w:r>
            <w:r>
              <w:rPr>
                <w:noProof/>
                <w:webHidden/>
              </w:rPr>
              <w:fldChar w:fldCharType="separate"/>
            </w:r>
            <w:r w:rsidR="00493733">
              <w:rPr>
                <w:noProof/>
                <w:webHidden/>
              </w:rPr>
              <w:t>33</w:t>
            </w:r>
            <w:r>
              <w:rPr>
                <w:noProof/>
                <w:webHidden/>
              </w:rPr>
              <w:fldChar w:fldCharType="end"/>
            </w:r>
          </w:hyperlink>
        </w:p>
        <w:p w14:paraId="459D04B1" w14:textId="2AF43747" w:rsidR="007E3004" w:rsidRDefault="007E3004">
          <w:pPr>
            <w:pStyle w:val="TOC3"/>
            <w:rPr>
              <w:rFonts w:asciiTheme="minorHAnsi" w:hAnsiTheme="minorHAnsi"/>
              <w:noProof/>
              <w:kern w:val="2"/>
              <w:sz w:val="24"/>
              <w:szCs w:val="24"/>
              <w:lang w:bidi="ar-SA"/>
              <w14:ligatures w14:val="standardContextual"/>
            </w:rPr>
          </w:pPr>
          <w:hyperlink w:anchor="_Toc238867294" w:history="1">
            <w:r w:rsidRPr="0090244A">
              <w:rPr>
                <w:rStyle w:val="Hyperlink"/>
                <w:noProof/>
              </w:rPr>
              <w:t>Property Taxes</w:t>
            </w:r>
            <w:r>
              <w:rPr>
                <w:noProof/>
                <w:webHidden/>
              </w:rPr>
              <w:tab/>
            </w:r>
            <w:r>
              <w:rPr>
                <w:noProof/>
                <w:webHidden/>
              </w:rPr>
              <w:fldChar w:fldCharType="begin"/>
            </w:r>
            <w:r>
              <w:rPr>
                <w:noProof/>
                <w:webHidden/>
              </w:rPr>
              <w:instrText xml:space="preserve"> PAGEREF _Toc238867294 \h </w:instrText>
            </w:r>
            <w:r>
              <w:rPr>
                <w:noProof/>
                <w:webHidden/>
              </w:rPr>
            </w:r>
            <w:r>
              <w:rPr>
                <w:noProof/>
                <w:webHidden/>
              </w:rPr>
              <w:fldChar w:fldCharType="separate"/>
            </w:r>
            <w:r w:rsidR="00493733">
              <w:rPr>
                <w:noProof/>
                <w:webHidden/>
              </w:rPr>
              <w:t>33</w:t>
            </w:r>
            <w:r>
              <w:rPr>
                <w:noProof/>
                <w:webHidden/>
              </w:rPr>
              <w:fldChar w:fldCharType="end"/>
            </w:r>
          </w:hyperlink>
        </w:p>
        <w:p w14:paraId="33C9CAC6" w14:textId="7BF7EEA7" w:rsidR="007E3004" w:rsidRDefault="007E3004">
          <w:pPr>
            <w:pStyle w:val="TOC3"/>
            <w:rPr>
              <w:rFonts w:asciiTheme="minorHAnsi" w:hAnsiTheme="minorHAnsi"/>
              <w:noProof/>
              <w:kern w:val="2"/>
              <w:sz w:val="24"/>
              <w:szCs w:val="24"/>
              <w:lang w:bidi="ar-SA"/>
              <w14:ligatures w14:val="standardContextual"/>
            </w:rPr>
          </w:pPr>
          <w:hyperlink w:anchor="_Toc238867295" w:history="1">
            <w:r w:rsidRPr="0090244A">
              <w:rPr>
                <w:rStyle w:val="Hyperlink"/>
                <w:noProof/>
              </w:rPr>
              <w:t>Homeowners Insurance</w:t>
            </w:r>
            <w:r>
              <w:rPr>
                <w:noProof/>
                <w:webHidden/>
              </w:rPr>
              <w:tab/>
            </w:r>
            <w:r>
              <w:rPr>
                <w:noProof/>
                <w:webHidden/>
              </w:rPr>
              <w:fldChar w:fldCharType="begin"/>
            </w:r>
            <w:r>
              <w:rPr>
                <w:noProof/>
                <w:webHidden/>
              </w:rPr>
              <w:instrText xml:space="preserve"> PAGEREF _Toc238867295 \h </w:instrText>
            </w:r>
            <w:r>
              <w:rPr>
                <w:noProof/>
                <w:webHidden/>
              </w:rPr>
            </w:r>
            <w:r>
              <w:rPr>
                <w:noProof/>
                <w:webHidden/>
              </w:rPr>
              <w:fldChar w:fldCharType="separate"/>
            </w:r>
            <w:r w:rsidR="00493733">
              <w:rPr>
                <w:noProof/>
                <w:webHidden/>
              </w:rPr>
              <w:t>33</w:t>
            </w:r>
            <w:r>
              <w:rPr>
                <w:noProof/>
                <w:webHidden/>
              </w:rPr>
              <w:fldChar w:fldCharType="end"/>
            </w:r>
          </w:hyperlink>
        </w:p>
        <w:p w14:paraId="5F74EAEA" w14:textId="0F5F0778" w:rsidR="007E3004" w:rsidRDefault="007E3004">
          <w:pPr>
            <w:pStyle w:val="TOC3"/>
            <w:rPr>
              <w:rFonts w:asciiTheme="minorHAnsi" w:hAnsiTheme="minorHAnsi"/>
              <w:noProof/>
              <w:kern w:val="2"/>
              <w:sz w:val="24"/>
              <w:szCs w:val="24"/>
              <w:lang w:bidi="ar-SA"/>
              <w14:ligatures w14:val="standardContextual"/>
            </w:rPr>
          </w:pPr>
          <w:hyperlink w:anchor="_Toc238867296" w:history="1">
            <w:r w:rsidRPr="0090244A">
              <w:rPr>
                <w:rStyle w:val="Hyperlink"/>
                <w:noProof/>
              </w:rPr>
              <w:t>Private Mortgage Insurance</w:t>
            </w:r>
            <w:r>
              <w:rPr>
                <w:noProof/>
                <w:webHidden/>
              </w:rPr>
              <w:tab/>
            </w:r>
            <w:r>
              <w:rPr>
                <w:noProof/>
                <w:webHidden/>
              </w:rPr>
              <w:fldChar w:fldCharType="begin"/>
            </w:r>
            <w:r>
              <w:rPr>
                <w:noProof/>
                <w:webHidden/>
              </w:rPr>
              <w:instrText xml:space="preserve"> PAGEREF _Toc238867296 \h </w:instrText>
            </w:r>
            <w:r>
              <w:rPr>
                <w:noProof/>
                <w:webHidden/>
              </w:rPr>
            </w:r>
            <w:r>
              <w:rPr>
                <w:noProof/>
                <w:webHidden/>
              </w:rPr>
              <w:fldChar w:fldCharType="separate"/>
            </w:r>
            <w:r w:rsidR="00493733">
              <w:rPr>
                <w:noProof/>
                <w:webHidden/>
              </w:rPr>
              <w:t>34</w:t>
            </w:r>
            <w:r>
              <w:rPr>
                <w:noProof/>
                <w:webHidden/>
              </w:rPr>
              <w:fldChar w:fldCharType="end"/>
            </w:r>
          </w:hyperlink>
        </w:p>
        <w:p w14:paraId="2364FCCF" w14:textId="76864FBE" w:rsidR="007E3004" w:rsidRDefault="007E3004">
          <w:pPr>
            <w:pStyle w:val="TOC3"/>
            <w:rPr>
              <w:rFonts w:asciiTheme="minorHAnsi" w:hAnsiTheme="minorHAnsi"/>
              <w:noProof/>
              <w:kern w:val="2"/>
              <w:sz w:val="24"/>
              <w:szCs w:val="24"/>
              <w:lang w:bidi="ar-SA"/>
              <w14:ligatures w14:val="standardContextual"/>
            </w:rPr>
          </w:pPr>
          <w:hyperlink w:anchor="_Toc238867297" w:history="1">
            <w:r w:rsidRPr="0090244A">
              <w:rPr>
                <w:rStyle w:val="Hyperlink"/>
                <w:noProof/>
              </w:rPr>
              <w:t>Special Taxes and Levies</w:t>
            </w:r>
            <w:r>
              <w:rPr>
                <w:noProof/>
                <w:webHidden/>
              </w:rPr>
              <w:tab/>
            </w:r>
            <w:r>
              <w:rPr>
                <w:noProof/>
                <w:webHidden/>
              </w:rPr>
              <w:fldChar w:fldCharType="begin"/>
            </w:r>
            <w:r>
              <w:rPr>
                <w:noProof/>
                <w:webHidden/>
              </w:rPr>
              <w:instrText xml:space="preserve"> PAGEREF _Toc238867297 \h </w:instrText>
            </w:r>
            <w:r>
              <w:rPr>
                <w:noProof/>
                <w:webHidden/>
              </w:rPr>
            </w:r>
            <w:r>
              <w:rPr>
                <w:noProof/>
                <w:webHidden/>
              </w:rPr>
              <w:fldChar w:fldCharType="separate"/>
            </w:r>
            <w:r w:rsidR="00493733">
              <w:rPr>
                <w:noProof/>
                <w:webHidden/>
              </w:rPr>
              <w:t>34</w:t>
            </w:r>
            <w:r>
              <w:rPr>
                <w:noProof/>
                <w:webHidden/>
              </w:rPr>
              <w:fldChar w:fldCharType="end"/>
            </w:r>
          </w:hyperlink>
        </w:p>
        <w:p w14:paraId="744356F4" w14:textId="47B0182A" w:rsidR="007E3004" w:rsidRDefault="007E3004">
          <w:pPr>
            <w:pStyle w:val="TOC3"/>
            <w:rPr>
              <w:rFonts w:asciiTheme="minorHAnsi" w:hAnsiTheme="minorHAnsi"/>
              <w:noProof/>
              <w:kern w:val="2"/>
              <w:sz w:val="24"/>
              <w:szCs w:val="24"/>
              <w:lang w:bidi="ar-SA"/>
              <w14:ligatures w14:val="standardContextual"/>
            </w:rPr>
          </w:pPr>
          <w:hyperlink w:anchor="_Toc238867298" w:history="1">
            <w:r w:rsidRPr="0090244A">
              <w:rPr>
                <w:rStyle w:val="Hyperlink"/>
                <w:noProof/>
              </w:rPr>
              <w:t>Homeowner Association Dues and Fees</w:t>
            </w:r>
            <w:r>
              <w:rPr>
                <w:noProof/>
                <w:webHidden/>
              </w:rPr>
              <w:tab/>
            </w:r>
            <w:r>
              <w:rPr>
                <w:noProof/>
                <w:webHidden/>
              </w:rPr>
              <w:fldChar w:fldCharType="begin"/>
            </w:r>
            <w:r>
              <w:rPr>
                <w:noProof/>
                <w:webHidden/>
              </w:rPr>
              <w:instrText xml:space="preserve"> PAGEREF _Toc238867298 \h </w:instrText>
            </w:r>
            <w:r>
              <w:rPr>
                <w:noProof/>
                <w:webHidden/>
              </w:rPr>
            </w:r>
            <w:r>
              <w:rPr>
                <w:noProof/>
                <w:webHidden/>
              </w:rPr>
              <w:fldChar w:fldCharType="separate"/>
            </w:r>
            <w:r w:rsidR="00493733">
              <w:rPr>
                <w:noProof/>
                <w:webHidden/>
              </w:rPr>
              <w:t>34</w:t>
            </w:r>
            <w:r>
              <w:rPr>
                <w:noProof/>
                <w:webHidden/>
              </w:rPr>
              <w:fldChar w:fldCharType="end"/>
            </w:r>
          </w:hyperlink>
        </w:p>
        <w:p w14:paraId="566BD2F7" w14:textId="7CC86AE1" w:rsidR="007E3004" w:rsidRDefault="007E3004">
          <w:pPr>
            <w:pStyle w:val="TOC3"/>
            <w:rPr>
              <w:rFonts w:asciiTheme="minorHAnsi" w:hAnsiTheme="minorHAnsi"/>
              <w:noProof/>
              <w:kern w:val="2"/>
              <w:sz w:val="24"/>
              <w:szCs w:val="24"/>
              <w:lang w:bidi="ar-SA"/>
              <w14:ligatures w14:val="standardContextual"/>
            </w:rPr>
          </w:pPr>
          <w:hyperlink w:anchor="_Toc238867299" w:history="1">
            <w:r w:rsidRPr="0090244A">
              <w:rPr>
                <w:rStyle w:val="Hyperlink"/>
                <w:noProof/>
              </w:rPr>
              <w:t>Maintenance and Replacement Reserves</w:t>
            </w:r>
            <w:r>
              <w:rPr>
                <w:noProof/>
                <w:webHidden/>
              </w:rPr>
              <w:tab/>
            </w:r>
            <w:r>
              <w:rPr>
                <w:noProof/>
                <w:webHidden/>
              </w:rPr>
              <w:fldChar w:fldCharType="begin"/>
            </w:r>
            <w:r>
              <w:rPr>
                <w:noProof/>
                <w:webHidden/>
              </w:rPr>
              <w:instrText xml:space="preserve"> PAGEREF _Toc238867299 \h </w:instrText>
            </w:r>
            <w:r>
              <w:rPr>
                <w:noProof/>
                <w:webHidden/>
              </w:rPr>
            </w:r>
            <w:r>
              <w:rPr>
                <w:noProof/>
                <w:webHidden/>
              </w:rPr>
              <w:fldChar w:fldCharType="separate"/>
            </w:r>
            <w:r w:rsidR="00493733">
              <w:rPr>
                <w:noProof/>
                <w:webHidden/>
              </w:rPr>
              <w:t>35</w:t>
            </w:r>
            <w:r>
              <w:rPr>
                <w:noProof/>
                <w:webHidden/>
              </w:rPr>
              <w:fldChar w:fldCharType="end"/>
            </w:r>
          </w:hyperlink>
        </w:p>
        <w:p w14:paraId="01891F08" w14:textId="6DD71C67" w:rsidR="007E3004" w:rsidRDefault="007E3004">
          <w:pPr>
            <w:pStyle w:val="TOC3"/>
            <w:rPr>
              <w:rFonts w:asciiTheme="minorHAnsi" w:hAnsiTheme="minorHAnsi"/>
              <w:noProof/>
              <w:kern w:val="2"/>
              <w:sz w:val="24"/>
              <w:szCs w:val="24"/>
              <w:lang w:bidi="ar-SA"/>
              <w14:ligatures w14:val="standardContextual"/>
            </w:rPr>
          </w:pPr>
          <w:hyperlink w:anchor="_Toc238867300" w:history="1">
            <w:r w:rsidRPr="0090244A">
              <w:rPr>
                <w:rStyle w:val="Hyperlink"/>
                <w:noProof/>
              </w:rPr>
              <w:t>Tax Savings</w:t>
            </w:r>
            <w:r>
              <w:rPr>
                <w:noProof/>
                <w:webHidden/>
              </w:rPr>
              <w:tab/>
            </w:r>
            <w:r>
              <w:rPr>
                <w:noProof/>
                <w:webHidden/>
              </w:rPr>
              <w:fldChar w:fldCharType="begin"/>
            </w:r>
            <w:r>
              <w:rPr>
                <w:noProof/>
                <w:webHidden/>
              </w:rPr>
              <w:instrText xml:space="preserve"> PAGEREF _Toc238867300 \h </w:instrText>
            </w:r>
            <w:r>
              <w:rPr>
                <w:noProof/>
                <w:webHidden/>
              </w:rPr>
            </w:r>
            <w:r>
              <w:rPr>
                <w:noProof/>
                <w:webHidden/>
              </w:rPr>
              <w:fldChar w:fldCharType="separate"/>
            </w:r>
            <w:r w:rsidR="00493733">
              <w:rPr>
                <w:noProof/>
                <w:webHidden/>
              </w:rPr>
              <w:t>35</w:t>
            </w:r>
            <w:r>
              <w:rPr>
                <w:noProof/>
                <w:webHidden/>
              </w:rPr>
              <w:fldChar w:fldCharType="end"/>
            </w:r>
          </w:hyperlink>
        </w:p>
        <w:p w14:paraId="04782C75" w14:textId="1EF40F64" w:rsidR="007E3004" w:rsidRDefault="007E3004">
          <w:pPr>
            <w:pStyle w:val="TOC3"/>
            <w:rPr>
              <w:rFonts w:asciiTheme="minorHAnsi" w:hAnsiTheme="minorHAnsi"/>
              <w:noProof/>
              <w:kern w:val="2"/>
              <w:sz w:val="24"/>
              <w:szCs w:val="24"/>
              <w:lang w:bidi="ar-SA"/>
              <w14:ligatures w14:val="standardContextual"/>
            </w:rPr>
          </w:pPr>
          <w:hyperlink w:anchor="_Toc238867301" w:history="1">
            <w:r w:rsidRPr="0090244A">
              <w:rPr>
                <w:rStyle w:val="Hyperlink"/>
                <w:noProof/>
              </w:rPr>
              <w:t>Hidden Savings</w:t>
            </w:r>
            <w:r>
              <w:rPr>
                <w:noProof/>
                <w:webHidden/>
              </w:rPr>
              <w:tab/>
            </w:r>
            <w:r>
              <w:rPr>
                <w:noProof/>
                <w:webHidden/>
              </w:rPr>
              <w:fldChar w:fldCharType="begin"/>
            </w:r>
            <w:r>
              <w:rPr>
                <w:noProof/>
                <w:webHidden/>
              </w:rPr>
              <w:instrText xml:space="preserve"> PAGEREF _Toc238867301 \h </w:instrText>
            </w:r>
            <w:r>
              <w:rPr>
                <w:noProof/>
                <w:webHidden/>
              </w:rPr>
            </w:r>
            <w:r>
              <w:rPr>
                <w:noProof/>
                <w:webHidden/>
              </w:rPr>
              <w:fldChar w:fldCharType="separate"/>
            </w:r>
            <w:r w:rsidR="00493733">
              <w:rPr>
                <w:noProof/>
                <w:webHidden/>
              </w:rPr>
              <w:t>35</w:t>
            </w:r>
            <w:r>
              <w:rPr>
                <w:noProof/>
                <w:webHidden/>
              </w:rPr>
              <w:fldChar w:fldCharType="end"/>
            </w:r>
          </w:hyperlink>
        </w:p>
        <w:p w14:paraId="114E40FA" w14:textId="4281957C" w:rsidR="007E3004" w:rsidRDefault="007E3004">
          <w:pPr>
            <w:pStyle w:val="TOC3"/>
            <w:rPr>
              <w:rFonts w:asciiTheme="minorHAnsi" w:hAnsiTheme="minorHAnsi"/>
              <w:noProof/>
              <w:kern w:val="2"/>
              <w:sz w:val="24"/>
              <w:szCs w:val="24"/>
              <w:lang w:bidi="ar-SA"/>
              <w14:ligatures w14:val="standardContextual"/>
            </w:rPr>
          </w:pPr>
          <w:hyperlink w:anchor="_Toc238867302" w:history="1">
            <w:r w:rsidRPr="0090244A">
              <w:rPr>
                <w:rStyle w:val="Hyperlink"/>
                <w:noProof/>
              </w:rPr>
              <w:t>Lost Downpayment Interest</w:t>
            </w:r>
            <w:r>
              <w:rPr>
                <w:noProof/>
                <w:webHidden/>
              </w:rPr>
              <w:tab/>
            </w:r>
            <w:r>
              <w:rPr>
                <w:noProof/>
                <w:webHidden/>
              </w:rPr>
              <w:fldChar w:fldCharType="begin"/>
            </w:r>
            <w:r>
              <w:rPr>
                <w:noProof/>
                <w:webHidden/>
              </w:rPr>
              <w:instrText xml:space="preserve"> PAGEREF _Toc238867302 \h </w:instrText>
            </w:r>
            <w:r>
              <w:rPr>
                <w:noProof/>
                <w:webHidden/>
              </w:rPr>
            </w:r>
            <w:r>
              <w:rPr>
                <w:noProof/>
                <w:webHidden/>
              </w:rPr>
              <w:fldChar w:fldCharType="separate"/>
            </w:r>
            <w:r w:rsidR="00493733">
              <w:rPr>
                <w:noProof/>
                <w:webHidden/>
              </w:rPr>
              <w:t>36</w:t>
            </w:r>
            <w:r>
              <w:rPr>
                <w:noProof/>
                <w:webHidden/>
              </w:rPr>
              <w:fldChar w:fldCharType="end"/>
            </w:r>
          </w:hyperlink>
        </w:p>
        <w:p w14:paraId="021F65D8" w14:textId="2D5C4CC2" w:rsidR="007E3004" w:rsidRDefault="007E3004">
          <w:pPr>
            <w:pStyle w:val="TOC3"/>
            <w:rPr>
              <w:rFonts w:asciiTheme="minorHAnsi" w:hAnsiTheme="minorHAnsi"/>
              <w:noProof/>
              <w:kern w:val="2"/>
              <w:sz w:val="24"/>
              <w:szCs w:val="24"/>
              <w:lang w:bidi="ar-SA"/>
              <w14:ligatures w14:val="standardContextual"/>
            </w:rPr>
          </w:pPr>
          <w:hyperlink w:anchor="_Toc238867303" w:history="1">
            <w:r w:rsidRPr="0090244A">
              <w:rPr>
                <w:rStyle w:val="Hyperlink"/>
                <w:noProof/>
              </w:rPr>
              <w:t>Running the Numbers</w:t>
            </w:r>
            <w:r>
              <w:rPr>
                <w:noProof/>
                <w:webHidden/>
              </w:rPr>
              <w:tab/>
            </w:r>
            <w:r>
              <w:rPr>
                <w:noProof/>
                <w:webHidden/>
              </w:rPr>
              <w:fldChar w:fldCharType="begin"/>
            </w:r>
            <w:r>
              <w:rPr>
                <w:noProof/>
                <w:webHidden/>
              </w:rPr>
              <w:instrText xml:space="preserve"> PAGEREF _Toc238867303 \h </w:instrText>
            </w:r>
            <w:r>
              <w:rPr>
                <w:noProof/>
                <w:webHidden/>
              </w:rPr>
            </w:r>
            <w:r>
              <w:rPr>
                <w:noProof/>
                <w:webHidden/>
              </w:rPr>
              <w:fldChar w:fldCharType="separate"/>
            </w:r>
            <w:r w:rsidR="00493733">
              <w:rPr>
                <w:noProof/>
                <w:webHidden/>
              </w:rPr>
              <w:t>36</w:t>
            </w:r>
            <w:r>
              <w:rPr>
                <w:noProof/>
                <w:webHidden/>
              </w:rPr>
              <w:fldChar w:fldCharType="end"/>
            </w:r>
          </w:hyperlink>
        </w:p>
        <w:p w14:paraId="0992AEFB" w14:textId="27E9ABBF" w:rsidR="007E3004" w:rsidRDefault="007E3004">
          <w:pPr>
            <w:pStyle w:val="TOC2"/>
            <w:rPr>
              <w:rFonts w:asciiTheme="minorHAnsi" w:hAnsiTheme="minorHAnsi"/>
              <w:kern w:val="2"/>
              <w:sz w:val="24"/>
              <w:szCs w:val="24"/>
              <w:lang w:bidi="ar-SA"/>
              <w14:ligatures w14:val="standardContextual"/>
            </w:rPr>
          </w:pPr>
          <w:hyperlink w:anchor="_Toc238867304" w:history="1">
            <w:r w:rsidRPr="0090244A">
              <w:rPr>
                <w:rStyle w:val="Hyperlink"/>
              </w:rPr>
              <w:t>Price-to-Rent Ratio</w:t>
            </w:r>
            <w:r>
              <w:rPr>
                <w:webHidden/>
              </w:rPr>
              <w:tab/>
            </w:r>
            <w:r>
              <w:rPr>
                <w:webHidden/>
              </w:rPr>
              <w:fldChar w:fldCharType="begin"/>
            </w:r>
            <w:r>
              <w:rPr>
                <w:webHidden/>
              </w:rPr>
              <w:instrText xml:space="preserve"> PAGEREF _Toc238867304 \h </w:instrText>
            </w:r>
            <w:r>
              <w:rPr>
                <w:webHidden/>
              </w:rPr>
            </w:r>
            <w:r>
              <w:rPr>
                <w:webHidden/>
              </w:rPr>
              <w:fldChar w:fldCharType="separate"/>
            </w:r>
            <w:r w:rsidR="00493733">
              <w:rPr>
                <w:webHidden/>
              </w:rPr>
              <w:t>38</w:t>
            </w:r>
            <w:r>
              <w:rPr>
                <w:webHidden/>
              </w:rPr>
              <w:fldChar w:fldCharType="end"/>
            </w:r>
          </w:hyperlink>
        </w:p>
        <w:p w14:paraId="5B4F820D" w14:textId="0A85F7CA" w:rsidR="007E3004" w:rsidRDefault="007E3004">
          <w:pPr>
            <w:pStyle w:val="TOC2"/>
            <w:rPr>
              <w:rFonts w:asciiTheme="minorHAnsi" w:hAnsiTheme="minorHAnsi"/>
              <w:kern w:val="2"/>
              <w:sz w:val="24"/>
              <w:szCs w:val="24"/>
              <w:lang w:bidi="ar-SA"/>
              <w14:ligatures w14:val="standardContextual"/>
            </w:rPr>
          </w:pPr>
          <w:hyperlink w:anchor="_Toc238867305" w:history="1">
            <w:r w:rsidRPr="0090244A">
              <w:rPr>
                <w:rStyle w:val="Hyperlink"/>
              </w:rPr>
              <w:t>Investment Value</w:t>
            </w:r>
            <w:r>
              <w:rPr>
                <w:webHidden/>
              </w:rPr>
              <w:tab/>
            </w:r>
            <w:r>
              <w:rPr>
                <w:webHidden/>
              </w:rPr>
              <w:fldChar w:fldCharType="begin"/>
            </w:r>
            <w:r>
              <w:rPr>
                <w:webHidden/>
              </w:rPr>
              <w:instrText xml:space="preserve"> PAGEREF _Toc238867305 \h </w:instrText>
            </w:r>
            <w:r>
              <w:rPr>
                <w:webHidden/>
              </w:rPr>
            </w:r>
            <w:r>
              <w:rPr>
                <w:webHidden/>
              </w:rPr>
              <w:fldChar w:fldCharType="separate"/>
            </w:r>
            <w:r w:rsidR="00493733">
              <w:rPr>
                <w:webHidden/>
              </w:rPr>
              <w:t>39</w:t>
            </w:r>
            <w:r>
              <w:rPr>
                <w:webHidden/>
              </w:rPr>
              <w:fldChar w:fldCharType="end"/>
            </w:r>
          </w:hyperlink>
        </w:p>
        <w:p w14:paraId="143D2204" w14:textId="4C5DA507" w:rsidR="007E3004" w:rsidRDefault="007E3004">
          <w:pPr>
            <w:pStyle w:val="TOC3"/>
            <w:rPr>
              <w:rFonts w:asciiTheme="minorHAnsi" w:hAnsiTheme="minorHAnsi"/>
              <w:noProof/>
              <w:kern w:val="2"/>
              <w:sz w:val="24"/>
              <w:szCs w:val="24"/>
              <w:lang w:bidi="ar-SA"/>
              <w14:ligatures w14:val="standardContextual"/>
            </w:rPr>
          </w:pPr>
          <w:hyperlink w:anchor="_Toc238867306" w:history="1">
            <w:r w:rsidRPr="0090244A">
              <w:rPr>
                <w:rStyle w:val="Hyperlink"/>
                <w:noProof/>
              </w:rPr>
              <w:t>Discount Rates</w:t>
            </w:r>
            <w:r>
              <w:rPr>
                <w:noProof/>
                <w:webHidden/>
              </w:rPr>
              <w:tab/>
            </w:r>
            <w:r>
              <w:rPr>
                <w:noProof/>
                <w:webHidden/>
              </w:rPr>
              <w:fldChar w:fldCharType="begin"/>
            </w:r>
            <w:r>
              <w:rPr>
                <w:noProof/>
                <w:webHidden/>
              </w:rPr>
              <w:instrText xml:space="preserve"> PAGEREF _Toc238867306 \h </w:instrText>
            </w:r>
            <w:r>
              <w:rPr>
                <w:noProof/>
                <w:webHidden/>
              </w:rPr>
            </w:r>
            <w:r>
              <w:rPr>
                <w:noProof/>
                <w:webHidden/>
              </w:rPr>
              <w:fldChar w:fldCharType="separate"/>
            </w:r>
            <w:r w:rsidR="00493733">
              <w:rPr>
                <w:noProof/>
                <w:webHidden/>
              </w:rPr>
              <w:t>40</w:t>
            </w:r>
            <w:r>
              <w:rPr>
                <w:noProof/>
                <w:webHidden/>
              </w:rPr>
              <w:fldChar w:fldCharType="end"/>
            </w:r>
          </w:hyperlink>
        </w:p>
        <w:p w14:paraId="084EB89E" w14:textId="326A1EDC" w:rsidR="007E3004" w:rsidRDefault="007E3004">
          <w:pPr>
            <w:pStyle w:val="TOC3"/>
            <w:rPr>
              <w:rFonts w:asciiTheme="minorHAnsi" w:hAnsiTheme="minorHAnsi"/>
              <w:noProof/>
              <w:kern w:val="2"/>
              <w:sz w:val="24"/>
              <w:szCs w:val="24"/>
              <w:lang w:bidi="ar-SA"/>
              <w14:ligatures w14:val="standardContextual"/>
            </w:rPr>
          </w:pPr>
          <w:hyperlink w:anchor="_Toc238867307" w:history="1">
            <w:r w:rsidRPr="0090244A">
              <w:rPr>
                <w:rStyle w:val="Hyperlink"/>
                <w:noProof/>
              </w:rPr>
              <w:t>Appreciation and Transaction Fees</w:t>
            </w:r>
            <w:r>
              <w:rPr>
                <w:noProof/>
                <w:webHidden/>
              </w:rPr>
              <w:tab/>
            </w:r>
            <w:r>
              <w:rPr>
                <w:noProof/>
                <w:webHidden/>
              </w:rPr>
              <w:fldChar w:fldCharType="begin"/>
            </w:r>
            <w:r>
              <w:rPr>
                <w:noProof/>
                <w:webHidden/>
              </w:rPr>
              <w:instrText xml:space="preserve"> PAGEREF _Toc238867307 \h </w:instrText>
            </w:r>
            <w:r>
              <w:rPr>
                <w:noProof/>
                <w:webHidden/>
              </w:rPr>
            </w:r>
            <w:r>
              <w:rPr>
                <w:noProof/>
                <w:webHidden/>
              </w:rPr>
              <w:fldChar w:fldCharType="separate"/>
            </w:r>
            <w:r w:rsidR="00493733">
              <w:rPr>
                <w:noProof/>
                <w:webHidden/>
              </w:rPr>
              <w:t>42</w:t>
            </w:r>
            <w:r>
              <w:rPr>
                <w:noProof/>
                <w:webHidden/>
              </w:rPr>
              <w:fldChar w:fldCharType="end"/>
            </w:r>
          </w:hyperlink>
        </w:p>
        <w:p w14:paraId="4F0D2B9C" w14:textId="1815BC76" w:rsidR="007E3004" w:rsidRDefault="007E3004">
          <w:pPr>
            <w:pStyle w:val="TOC3"/>
            <w:rPr>
              <w:rFonts w:asciiTheme="minorHAnsi" w:hAnsiTheme="minorHAnsi"/>
              <w:noProof/>
              <w:kern w:val="2"/>
              <w:sz w:val="24"/>
              <w:szCs w:val="24"/>
              <w:lang w:bidi="ar-SA"/>
              <w14:ligatures w14:val="standardContextual"/>
            </w:rPr>
          </w:pPr>
          <w:hyperlink w:anchor="_Toc238867308" w:history="1">
            <w:r w:rsidRPr="0090244A">
              <w:rPr>
                <w:rStyle w:val="Hyperlink"/>
                <w:noProof/>
              </w:rPr>
              <w:t>Inflation Premium</w:t>
            </w:r>
            <w:r>
              <w:rPr>
                <w:noProof/>
                <w:webHidden/>
              </w:rPr>
              <w:tab/>
            </w:r>
            <w:r>
              <w:rPr>
                <w:noProof/>
                <w:webHidden/>
              </w:rPr>
              <w:fldChar w:fldCharType="begin"/>
            </w:r>
            <w:r>
              <w:rPr>
                <w:noProof/>
                <w:webHidden/>
              </w:rPr>
              <w:instrText xml:space="preserve"> PAGEREF _Toc238867308 \h </w:instrText>
            </w:r>
            <w:r>
              <w:rPr>
                <w:noProof/>
                <w:webHidden/>
              </w:rPr>
            </w:r>
            <w:r>
              <w:rPr>
                <w:noProof/>
                <w:webHidden/>
              </w:rPr>
              <w:fldChar w:fldCharType="separate"/>
            </w:r>
            <w:r w:rsidR="00493733">
              <w:rPr>
                <w:noProof/>
                <w:webHidden/>
              </w:rPr>
              <w:t>46</w:t>
            </w:r>
            <w:r>
              <w:rPr>
                <w:noProof/>
                <w:webHidden/>
              </w:rPr>
              <w:fldChar w:fldCharType="end"/>
            </w:r>
          </w:hyperlink>
        </w:p>
        <w:p w14:paraId="474EF1F0" w14:textId="333E189A" w:rsidR="007E3004" w:rsidRDefault="007E3004">
          <w:pPr>
            <w:pStyle w:val="TOC2"/>
            <w:rPr>
              <w:rFonts w:asciiTheme="minorHAnsi" w:hAnsiTheme="minorHAnsi"/>
              <w:kern w:val="2"/>
              <w:sz w:val="24"/>
              <w:szCs w:val="24"/>
              <w:lang w:bidi="ar-SA"/>
              <w14:ligatures w14:val="standardContextual"/>
            </w:rPr>
          </w:pPr>
          <w:hyperlink w:anchor="_Toc238867309" w:history="1">
            <w:r w:rsidRPr="0090244A">
              <w:rPr>
                <w:rStyle w:val="Hyperlink"/>
              </w:rPr>
              <w:t>Renting Versus Owning</w:t>
            </w:r>
            <w:r>
              <w:rPr>
                <w:webHidden/>
              </w:rPr>
              <w:tab/>
            </w:r>
            <w:r>
              <w:rPr>
                <w:webHidden/>
              </w:rPr>
              <w:fldChar w:fldCharType="begin"/>
            </w:r>
            <w:r>
              <w:rPr>
                <w:webHidden/>
              </w:rPr>
              <w:instrText xml:space="preserve"> PAGEREF _Toc238867309 \h </w:instrText>
            </w:r>
            <w:r>
              <w:rPr>
                <w:webHidden/>
              </w:rPr>
            </w:r>
            <w:r>
              <w:rPr>
                <w:webHidden/>
              </w:rPr>
              <w:fldChar w:fldCharType="separate"/>
            </w:r>
            <w:r w:rsidR="00493733">
              <w:rPr>
                <w:webHidden/>
              </w:rPr>
              <w:t>48</w:t>
            </w:r>
            <w:r>
              <w:rPr>
                <w:webHidden/>
              </w:rPr>
              <w:fldChar w:fldCharType="end"/>
            </w:r>
          </w:hyperlink>
        </w:p>
        <w:p w14:paraId="3AA45E1A" w14:textId="490F93FC" w:rsidR="007E3004" w:rsidRDefault="007E3004">
          <w:pPr>
            <w:pStyle w:val="TOC2"/>
            <w:rPr>
              <w:rFonts w:asciiTheme="minorHAnsi" w:hAnsiTheme="minorHAnsi"/>
              <w:kern w:val="2"/>
              <w:sz w:val="24"/>
              <w:szCs w:val="24"/>
              <w:lang w:bidi="ar-SA"/>
              <w14:ligatures w14:val="standardContextual"/>
            </w:rPr>
          </w:pPr>
          <w:hyperlink w:anchor="_Toc238867310" w:history="1">
            <w:r w:rsidRPr="0090244A">
              <w:rPr>
                <w:rStyle w:val="Hyperlink"/>
              </w:rPr>
              <w:t>Summary</w:t>
            </w:r>
            <w:r>
              <w:rPr>
                <w:webHidden/>
              </w:rPr>
              <w:tab/>
            </w:r>
            <w:r>
              <w:rPr>
                <w:webHidden/>
              </w:rPr>
              <w:fldChar w:fldCharType="begin"/>
            </w:r>
            <w:r>
              <w:rPr>
                <w:webHidden/>
              </w:rPr>
              <w:instrText xml:space="preserve"> PAGEREF _Toc238867310 \h </w:instrText>
            </w:r>
            <w:r>
              <w:rPr>
                <w:webHidden/>
              </w:rPr>
            </w:r>
            <w:r>
              <w:rPr>
                <w:webHidden/>
              </w:rPr>
              <w:fldChar w:fldCharType="separate"/>
            </w:r>
            <w:r w:rsidR="00493733">
              <w:rPr>
                <w:webHidden/>
              </w:rPr>
              <w:t>49</w:t>
            </w:r>
            <w:r>
              <w:rPr>
                <w:webHidden/>
              </w:rPr>
              <w:fldChar w:fldCharType="end"/>
            </w:r>
          </w:hyperlink>
        </w:p>
        <w:p w14:paraId="4EBAE416" w14:textId="0743B606" w:rsidR="007E3004" w:rsidRDefault="007E3004">
          <w:pPr>
            <w:pStyle w:val="TOC1"/>
            <w:rPr>
              <w:rFonts w:asciiTheme="minorHAnsi" w:hAnsiTheme="minorHAnsi"/>
              <w:b w:val="0"/>
              <w:noProof/>
              <w:kern w:val="2"/>
              <w:sz w:val="24"/>
              <w:szCs w:val="24"/>
              <w:lang w:bidi="ar-SA"/>
              <w14:ligatures w14:val="standardContextual"/>
            </w:rPr>
          </w:pPr>
          <w:hyperlink w:anchor="_Toc238867311" w:history="1">
            <w:r w:rsidRPr="0090244A">
              <w:rPr>
                <w:rStyle w:val="Hyperlink"/>
                <w:noProof/>
              </w:rPr>
              <w:t>Valuation of Lots and Raw Land</w:t>
            </w:r>
            <w:r>
              <w:rPr>
                <w:noProof/>
                <w:webHidden/>
              </w:rPr>
              <w:tab/>
            </w:r>
            <w:r>
              <w:rPr>
                <w:noProof/>
                <w:webHidden/>
              </w:rPr>
              <w:fldChar w:fldCharType="begin"/>
            </w:r>
            <w:r>
              <w:rPr>
                <w:noProof/>
                <w:webHidden/>
              </w:rPr>
              <w:instrText xml:space="preserve"> PAGEREF _Toc238867311 \h </w:instrText>
            </w:r>
            <w:r>
              <w:rPr>
                <w:noProof/>
                <w:webHidden/>
              </w:rPr>
            </w:r>
            <w:r>
              <w:rPr>
                <w:noProof/>
                <w:webHidden/>
              </w:rPr>
              <w:fldChar w:fldCharType="separate"/>
            </w:r>
            <w:r w:rsidR="00493733">
              <w:rPr>
                <w:noProof/>
                <w:webHidden/>
              </w:rPr>
              <w:t>51</w:t>
            </w:r>
            <w:r>
              <w:rPr>
                <w:noProof/>
                <w:webHidden/>
              </w:rPr>
              <w:fldChar w:fldCharType="end"/>
            </w:r>
          </w:hyperlink>
        </w:p>
        <w:p w14:paraId="72CCF542" w14:textId="6EC4C02B" w:rsidR="007E3004" w:rsidRDefault="007E3004">
          <w:pPr>
            <w:pStyle w:val="TOC2"/>
            <w:rPr>
              <w:rFonts w:asciiTheme="minorHAnsi" w:hAnsiTheme="minorHAnsi"/>
              <w:kern w:val="2"/>
              <w:sz w:val="24"/>
              <w:szCs w:val="24"/>
              <w:lang w:bidi="ar-SA"/>
              <w14:ligatures w14:val="standardContextual"/>
            </w:rPr>
          </w:pPr>
          <w:hyperlink w:anchor="_Toc238867312" w:history="1">
            <w:r w:rsidRPr="0090244A">
              <w:rPr>
                <w:rStyle w:val="Hyperlink"/>
              </w:rPr>
              <w:t>Land Price as a Residual Value</w:t>
            </w:r>
            <w:r>
              <w:rPr>
                <w:webHidden/>
              </w:rPr>
              <w:tab/>
            </w:r>
            <w:r>
              <w:rPr>
                <w:webHidden/>
              </w:rPr>
              <w:fldChar w:fldCharType="begin"/>
            </w:r>
            <w:r>
              <w:rPr>
                <w:webHidden/>
              </w:rPr>
              <w:instrText xml:space="preserve"> PAGEREF _Toc238867312 \h </w:instrText>
            </w:r>
            <w:r>
              <w:rPr>
                <w:webHidden/>
              </w:rPr>
            </w:r>
            <w:r>
              <w:rPr>
                <w:webHidden/>
              </w:rPr>
              <w:fldChar w:fldCharType="separate"/>
            </w:r>
            <w:r w:rsidR="00493733">
              <w:rPr>
                <w:webHidden/>
              </w:rPr>
              <w:t>51</w:t>
            </w:r>
            <w:r>
              <w:rPr>
                <w:webHidden/>
              </w:rPr>
              <w:fldChar w:fldCharType="end"/>
            </w:r>
          </w:hyperlink>
        </w:p>
        <w:p w14:paraId="3BE9D9F1" w14:textId="4A8E67D1" w:rsidR="007E3004" w:rsidRDefault="007E3004">
          <w:pPr>
            <w:pStyle w:val="TOC3"/>
            <w:rPr>
              <w:rFonts w:asciiTheme="minorHAnsi" w:hAnsiTheme="minorHAnsi"/>
              <w:noProof/>
              <w:kern w:val="2"/>
              <w:sz w:val="24"/>
              <w:szCs w:val="24"/>
              <w:lang w:bidi="ar-SA"/>
              <w14:ligatures w14:val="standardContextual"/>
            </w:rPr>
          </w:pPr>
          <w:hyperlink w:anchor="_Toc238867313" w:history="1">
            <w:r w:rsidRPr="0090244A">
              <w:rPr>
                <w:rStyle w:val="Hyperlink"/>
                <w:noProof/>
              </w:rPr>
              <w:t>Individual Lots</w:t>
            </w:r>
            <w:r>
              <w:rPr>
                <w:noProof/>
                <w:webHidden/>
              </w:rPr>
              <w:tab/>
            </w:r>
            <w:r>
              <w:rPr>
                <w:noProof/>
                <w:webHidden/>
              </w:rPr>
              <w:fldChar w:fldCharType="begin"/>
            </w:r>
            <w:r>
              <w:rPr>
                <w:noProof/>
                <w:webHidden/>
              </w:rPr>
              <w:instrText xml:space="preserve"> PAGEREF _Toc238867313 \h </w:instrText>
            </w:r>
            <w:r>
              <w:rPr>
                <w:noProof/>
                <w:webHidden/>
              </w:rPr>
            </w:r>
            <w:r>
              <w:rPr>
                <w:noProof/>
                <w:webHidden/>
              </w:rPr>
              <w:fldChar w:fldCharType="separate"/>
            </w:r>
            <w:r w:rsidR="00493733">
              <w:rPr>
                <w:noProof/>
                <w:webHidden/>
              </w:rPr>
              <w:t>52</w:t>
            </w:r>
            <w:r>
              <w:rPr>
                <w:noProof/>
                <w:webHidden/>
              </w:rPr>
              <w:fldChar w:fldCharType="end"/>
            </w:r>
          </w:hyperlink>
        </w:p>
        <w:p w14:paraId="155ABADC" w14:textId="0FC4B41C" w:rsidR="007E3004" w:rsidRDefault="007E3004">
          <w:pPr>
            <w:pStyle w:val="TOC3"/>
            <w:rPr>
              <w:rFonts w:asciiTheme="minorHAnsi" w:hAnsiTheme="minorHAnsi"/>
              <w:noProof/>
              <w:kern w:val="2"/>
              <w:sz w:val="24"/>
              <w:szCs w:val="24"/>
              <w:lang w:bidi="ar-SA"/>
              <w14:ligatures w14:val="standardContextual"/>
            </w:rPr>
          </w:pPr>
          <w:hyperlink w:anchor="_Toc238867314" w:history="1">
            <w:r w:rsidRPr="0090244A">
              <w:rPr>
                <w:rStyle w:val="Hyperlink"/>
                <w:noProof/>
              </w:rPr>
              <w:t>Multiple Lots</w:t>
            </w:r>
            <w:r>
              <w:rPr>
                <w:noProof/>
                <w:webHidden/>
              </w:rPr>
              <w:tab/>
            </w:r>
            <w:r>
              <w:rPr>
                <w:noProof/>
                <w:webHidden/>
              </w:rPr>
              <w:fldChar w:fldCharType="begin"/>
            </w:r>
            <w:r>
              <w:rPr>
                <w:noProof/>
                <w:webHidden/>
              </w:rPr>
              <w:instrText xml:space="preserve"> PAGEREF _Toc238867314 \h </w:instrText>
            </w:r>
            <w:r>
              <w:rPr>
                <w:noProof/>
                <w:webHidden/>
              </w:rPr>
            </w:r>
            <w:r>
              <w:rPr>
                <w:noProof/>
                <w:webHidden/>
              </w:rPr>
              <w:fldChar w:fldCharType="separate"/>
            </w:r>
            <w:r w:rsidR="00493733">
              <w:rPr>
                <w:noProof/>
                <w:webHidden/>
              </w:rPr>
              <w:t>52</w:t>
            </w:r>
            <w:r>
              <w:rPr>
                <w:noProof/>
                <w:webHidden/>
              </w:rPr>
              <w:fldChar w:fldCharType="end"/>
            </w:r>
          </w:hyperlink>
        </w:p>
        <w:p w14:paraId="54BF4843" w14:textId="572F2766" w:rsidR="007E3004" w:rsidRDefault="007E3004">
          <w:pPr>
            <w:pStyle w:val="TOC2"/>
            <w:rPr>
              <w:rFonts w:asciiTheme="minorHAnsi" w:hAnsiTheme="minorHAnsi"/>
              <w:kern w:val="2"/>
              <w:sz w:val="24"/>
              <w:szCs w:val="24"/>
              <w:lang w:bidi="ar-SA"/>
              <w14:ligatures w14:val="standardContextual"/>
            </w:rPr>
          </w:pPr>
          <w:hyperlink w:anchor="_Toc238867315" w:history="1">
            <w:r w:rsidRPr="0090244A">
              <w:rPr>
                <w:rStyle w:val="Hyperlink"/>
              </w:rPr>
              <w:t>Density and the Value of Land</w:t>
            </w:r>
            <w:r>
              <w:rPr>
                <w:webHidden/>
              </w:rPr>
              <w:tab/>
            </w:r>
            <w:r>
              <w:rPr>
                <w:webHidden/>
              </w:rPr>
              <w:fldChar w:fldCharType="begin"/>
            </w:r>
            <w:r>
              <w:rPr>
                <w:webHidden/>
              </w:rPr>
              <w:instrText xml:space="preserve"> PAGEREF _Toc238867315 \h </w:instrText>
            </w:r>
            <w:r>
              <w:rPr>
                <w:webHidden/>
              </w:rPr>
            </w:r>
            <w:r>
              <w:rPr>
                <w:webHidden/>
              </w:rPr>
              <w:fldChar w:fldCharType="separate"/>
            </w:r>
            <w:r w:rsidR="00493733">
              <w:rPr>
                <w:webHidden/>
              </w:rPr>
              <w:t>54</w:t>
            </w:r>
            <w:r>
              <w:rPr>
                <w:webHidden/>
              </w:rPr>
              <w:fldChar w:fldCharType="end"/>
            </w:r>
          </w:hyperlink>
        </w:p>
        <w:p w14:paraId="494410F9" w14:textId="01E49218" w:rsidR="007E3004" w:rsidRDefault="007E3004">
          <w:pPr>
            <w:pStyle w:val="TOC2"/>
            <w:rPr>
              <w:rFonts w:asciiTheme="minorHAnsi" w:hAnsiTheme="minorHAnsi"/>
              <w:kern w:val="2"/>
              <w:sz w:val="24"/>
              <w:szCs w:val="24"/>
              <w:lang w:bidi="ar-SA"/>
              <w14:ligatures w14:val="standardContextual"/>
            </w:rPr>
          </w:pPr>
          <w:hyperlink w:anchor="_Toc238867316" w:history="1">
            <w:r w:rsidRPr="0090244A">
              <w:rPr>
                <w:rStyle w:val="Hyperlink"/>
              </w:rPr>
              <w:t>House Price and the Value of Land</w:t>
            </w:r>
            <w:r>
              <w:rPr>
                <w:webHidden/>
              </w:rPr>
              <w:tab/>
            </w:r>
            <w:r>
              <w:rPr>
                <w:webHidden/>
              </w:rPr>
              <w:fldChar w:fldCharType="begin"/>
            </w:r>
            <w:r>
              <w:rPr>
                <w:webHidden/>
              </w:rPr>
              <w:instrText xml:space="preserve"> PAGEREF _Toc238867316 \h </w:instrText>
            </w:r>
            <w:r>
              <w:rPr>
                <w:webHidden/>
              </w:rPr>
            </w:r>
            <w:r>
              <w:rPr>
                <w:webHidden/>
              </w:rPr>
              <w:fldChar w:fldCharType="separate"/>
            </w:r>
            <w:r w:rsidR="00493733">
              <w:rPr>
                <w:webHidden/>
              </w:rPr>
              <w:t>54</w:t>
            </w:r>
            <w:r>
              <w:rPr>
                <w:webHidden/>
              </w:rPr>
              <w:fldChar w:fldCharType="end"/>
            </w:r>
          </w:hyperlink>
        </w:p>
        <w:p w14:paraId="534C0A1B" w14:textId="0734DA93" w:rsidR="007E3004" w:rsidRDefault="007E3004">
          <w:pPr>
            <w:pStyle w:val="TOC3"/>
            <w:rPr>
              <w:rFonts w:asciiTheme="minorHAnsi" w:hAnsiTheme="minorHAnsi"/>
              <w:noProof/>
              <w:kern w:val="2"/>
              <w:sz w:val="24"/>
              <w:szCs w:val="24"/>
              <w:lang w:bidi="ar-SA"/>
              <w14:ligatures w14:val="standardContextual"/>
            </w:rPr>
          </w:pPr>
          <w:hyperlink w:anchor="_Toc238867317" w:history="1">
            <w:r w:rsidRPr="0090244A">
              <w:rPr>
                <w:rStyle w:val="Hyperlink"/>
                <w:noProof/>
              </w:rPr>
              <w:t>Irvine’s Woodbury</w:t>
            </w:r>
            <w:r>
              <w:rPr>
                <w:noProof/>
                <w:webHidden/>
              </w:rPr>
              <w:tab/>
            </w:r>
            <w:r>
              <w:rPr>
                <w:noProof/>
                <w:webHidden/>
              </w:rPr>
              <w:fldChar w:fldCharType="begin"/>
            </w:r>
            <w:r>
              <w:rPr>
                <w:noProof/>
                <w:webHidden/>
              </w:rPr>
              <w:instrText xml:space="preserve"> PAGEREF _Toc238867317 \h </w:instrText>
            </w:r>
            <w:r>
              <w:rPr>
                <w:noProof/>
                <w:webHidden/>
              </w:rPr>
            </w:r>
            <w:r>
              <w:rPr>
                <w:noProof/>
                <w:webHidden/>
              </w:rPr>
              <w:fldChar w:fldCharType="separate"/>
            </w:r>
            <w:r w:rsidR="00493733">
              <w:rPr>
                <w:noProof/>
                <w:webHidden/>
              </w:rPr>
              <w:t>54</w:t>
            </w:r>
            <w:r>
              <w:rPr>
                <w:noProof/>
                <w:webHidden/>
              </w:rPr>
              <w:fldChar w:fldCharType="end"/>
            </w:r>
          </w:hyperlink>
        </w:p>
        <w:p w14:paraId="272C8BFF" w14:textId="6F722115" w:rsidR="007E3004" w:rsidRDefault="007E3004">
          <w:pPr>
            <w:pStyle w:val="TOC3"/>
            <w:rPr>
              <w:rFonts w:asciiTheme="minorHAnsi" w:hAnsiTheme="minorHAnsi"/>
              <w:noProof/>
              <w:kern w:val="2"/>
              <w:sz w:val="24"/>
              <w:szCs w:val="24"/>
              <w:lang w:bidi="ar-SA"/>
              <w14:ligatures w14:val="standardContextual"/>
            </w:rPr>
          </w:pPr>
          <w:hyperlink w:anchor="_Toc238867318" w:history="1">
            <w:r w:rsidRPr="0090244A">
              <w:rPr>
                <w:rStyle w:val="Hyperlink"/>
                <w:noProof/>
              </w:rPr>
              <w:t>Landowners Capitulate</w:t>
            </w:r>
            <w:r>
              <w:rPr>
                <w:noProof/>
                <w:webHidden/>
              </w:rPr>
              <w:tab/>
            </w:r>
            <w:r>
              <w:rPr>
                <w:noProof/>
                <w:webHidden/>
              </w:rPr>
              <w:fldChar w:fldCharType="begin"/>
            </w:r>
            <w:r>
              <w:rPr>
                <w:noProof/>
                <w:webHidden/>
              </w:rPr>
              <w:instrText xml:space="preserve"> PAGEREF _Toc238867318 \h </w:instrText>
            </w:r>
            <w:r>
              <w:rPr>
                <w:noProof/>
                <w:webHidden/>
              </w:rPr>
            </w:r>
            <w:r>
              <w:rPr>
                <w:noProof/>
                <w:webHidden/>
              </w:rPr>
              <w:fldChar w:fldCharType="separate"/>
            </w:r>
            <w:r w:rsidR="00493733">
              <w:rPr>
                <w:noProof/>
                <w:webHidden/>
              </w:rPr>
              <w:t>56</w:t>
            </w:r>
            <w:r>
              <w:rPr>
                <w:noProof/>
                <w:webHidden/>
              </w:rPr>
              <w:fldChar w:fldCharType="end"/>
            </w:r>
          </w:hyperlink>
        </w:p>
        <w:p w14:paraId="73037579" w14:textId="375E98AE" w:rsidR="007E3004" w:rsidRDefault="007E3004">
          <w:pPr>
            <w:pStyle w:val="TOC2"/>
            <w:rPr>
              <w:rFonts w:asciiTheme="minorHAnsi" w:hAnsiTheme="minorHAnsi"/>
              <w:kern w:val="2"/>
              <w:sz w:val="24"/>
              <w:szCs w:val="24"/>
              <w:lang w:bidi="ar-SA"/>
              <w14:ligatures w14:val="standardContextual"/>
            </w:rPr>
          </w:pPr>
          <w:hyperlink w:anchor="_Toc238867319" w:history="1">
            <w:r w:rsidRPr="0090244A">
              <w:rPr>
                <w:rStyle w:val="Hyperlink"/>
              </w:rPr>
              <w:t>Summary</w:t>
            </w:r>
            <w:r>
              <w:rPr>
                <w:webHidden/>
              </w:rPr>
              <w:tab/>
            </w:r>
            <w:r>
              <w:rPr>
                <w:webHidden/>
              </w:rPr>
              <w:fldChar w:fldCharType="begin"/>
            </w:r>
            <w:r>
              <w:rPr>
                <w:webHidden/>
              </w:rPr>
              <w:instrText xml:space="preserve"> PAGEREF _Toc238867319 \h </w:instrText>
            </w:r>
            <w:r>
              <w:rPr>
                <w:webHidden/>
              </w:rPr>
            </w:r>
            <w:r>
              <w:rPr>
                <w:webHidden/>
              </w:rPr>
              <w:fldChar w:fldCharType="separate"/>
            </w:r>
            <w:r w:rsidR="00493733">
              <w:rPr>
                <w:webHidden/>
              </w:rPr>
              <w:t>56</w:t>
            </w:r>
            <w:r>
              <w:rPr>
                <w:webHidden/>
              </w:rPr>
              <w:fldChar w:fldCharType="end"/>
            </w:r>
          </w:hyperlink>
        </w:p>
        <w:p w14:paraId="66BE99DE" w14:textId="73C1F937" w:rsidR="007E3004" w:rsidRDefault="007E3004">
          <w:pPr>
            <w:pStyle w:val="TOC1"/>
            <w:rPr>
              <w:rFonts w:asciiTheme="minorHAnsi" w:hAnsiTheme="minorHAnsi"/>
              <w:b w:val="0"/>
              <w:noProof/>
              <w:kern w:val="2"/>
              <w:sz w:val="24"/>
              <w:szCs w:val="24"/>
              <w:lang w:bidi="ar-SA"/>
              <w14:ligatures w14:val="standardContextual"/>
            </w:rPr>
          </w:pPr>
          <w:hyperlink w:anchor="_Toc238867320" w:history="1">
            <w:r w:rsidRPr="0090244A">
              <w:rPr>
                <w:rStyle w:val="Hyperlink"/>
                <w:noProof/>
              </w:rPr>
              <w:t>The Credit Bubble</w:t>
            </w:r>
            <w:r>
              <w:rPr>
                <w:noProof/>
                <w:webHidden/>
              </w:rPr>
              <w:tab/>
            </w:r>
            <w:r>
              <w:rPr>
                <w:noProof/>
                <w:webHidden/>
              </w:rPr>
              <w:fldChar w:fldCharType="begin"/>
            </w:r>
            <w:r>
              <w:rPr>
                <w:noProof/>
                <w:webHidden/>
              </w:rPr>
              <w:instrText xml:space="preserve"> PAGEREF _Toc238867320 \h </w:instrText>
            </w:r>
            <w:r>
              <w:rPr>
                <w:noProof/>
                <w:webHidden/>
              </w:rPr>
            </w:r>
            <w:r>
              <w:rPr>
                <w:noProof/>
                <w:webHidden/>
              </w:rPr>
              <w:fldChar w:fldCharType="separate"/>
            </w:r>
            <w:r w:rsidR="00493733">
              <w:rPr>
                <w:noProof/>
                <w:webHidden/>
              </w:rPr>
              <w:t>57</w:t>
            </w:r>
            <w:r>
              <w:rPr>
                <w:noProof/>
                <w:webHidden/>
              </w:rPr>
              <w:fldChar w:fldCharType="end"/>
            </w:r>
          </w:hyperlink>
        </w:p>
        <w:p w14:paraId="3921BDAE" w14:textId="76A854AF" w:rsidR="007E3004" w:rsidRDefault="007E3004">
          <w:pPr>
            <w:pStyle w:val="TOC2"/>
            <w:rPr>
              <w:rFonts w:asciiTheme="minorHAnsi" w:hAnsiTheme="minorHAnsi"/>
              <w:kern w:val="2"/>
              <w:sz w:val="24"/>
              <w:szCs w:val="24"/>
              <w:lang w:bidi="ar-SA"/>
              <w14:ligatures w14:val="standardContextual"/>
            </w:rPr>
          </w:pPr>
          <w:hyperlink w:anchor="_Toc238867321" w:history="1">
            <w:r w:rsidRPr="0090244A">
              <w:rPr>
                <w:rStyle w:val="Hyperlink"/>
              </w:rPr>
              <w:t>Structured Finance</w:t>
            </w:r>
            <w:r>
              <w:rPr>
                <w:webHidden/>
              </w:rPr>
              <w:tab/>
            </w:r>
            <w:r>
              <w:rPr>
                <w:webHidden/>
              </w:rPr>
              <w:fldChar w:fldCharType="begin"/>
            </w:r>
            <w:r>
              <w:rPr>
                <w:webHidden/>
              </w:rPr>
              <w:instrText xml:space="preserve"> PAGEREF _Toc238867321 \h </w:instrText>
            </w:r>
            <w:r>
              <w:rPr>
                <w:webHidden/>
              </w:rPr>
            </w:r>
            <w:r>
              <w:rPr>
                <w:webHidden/>
              </w:rPr>
              <w:fldChar w:fldCharType="separate"/>
            </w:r>
            <w:r w:rsidR="00493733">
              <w:rPr>
                <w:webHidden/>
              </w:rPr>
              <w:t>60</w:t>
            </w:r>
            <w:r>
              <w:rPr>
                <w:webHidden/>
              </w:rPr>
              <w:fldChar w:fldCharType="end"/>
            </w:r>
          </w:hyperlink>
        </w:p>
        <w:p w14:paraId="5E76827E" w14:textId="676A48E6" w:rsidR="007E3004" w:rsidRDefault="007E3004">
          <w:pPr>
            <w:pStyle w:val="TOC2"/>
            <w:rPr>
              <w:rFonts w:asciiTheme="minorHAnsi" w:hAnsiTheme="minorHAnsi"/>
              <w:kern w:val="2"/>
              <w:sz w:val="24"/>
              <w:szCs w:val="24"/>
              <w:lang w:bidi="ar-SA"/>
              <w14:ligatures w14:val="standardContextual"/>
            </w:rPr>
          </w:pPr>
          <w:hyperlink w:anchor="_Toc238867322" w:history="1">
            <w:r w:rsidRPr="0090244A">
              <w:rPr>
                <w:rStyle w:val="Hyperlink"/>
              </w:rPr>
              <w:t>Systemic Risk in the Housing Market</w:t>
            </w:r>
            <w:r>
              <w:rPr>
                <w:webHidden/>
              </w:rPr>
              <w:tab/>
            </w:r>
            <w:r>
              <w:rPr>
                <w:webHidden/>
              </w:rPr>
              <w:fldChar w:fldCharType="begin"/>
            </w:r>
            <w:r>
              <w:rPr>
                <w:webHidden/>
              </w:rPr>
              <w:instrText xml:space="preserve"> PAGEREF _Toc238867322 \h </w:instrText>
            </w:r>
            <w:r>
              <w:rPr>
                <w:webHidden/>
              </w:rPr>
            </w:r>
            <w:r>
              <w:rPr>
                <w:webHidden/>
              </w:rPr>
              <w:fldChar w:fldCharType="separate"/>
            </w:r>
            <w:r w:rsidR="00493733">
              <w:rPr>
                <w:webHidden/>
              </w:rPr>
              <w:t>63</w:t>
            </w:r>
            <w:r>
              <w:rPr>
                <w:webHidden/>
              </w:rPr>
              <w:fldChar w:fldCharType="end"/>
            </w:r>
          </w:hyperlink>
        </w:p>
        <w:p w14:paraId="03790427" w14:textId="6722D8DD" w:rsidR="007E3004" w:rsidRDefault="007E3004">
          <w:pPr>
            <w:pStyle w:val="TOC3"/>
            <w:rPr>
              <w:rFonts w:asciiTheme="minorHAnsi" w:hAnsiTheme="minorHAnsi"/>
              <w:noProof/>
              <w:kern w:val="2"/>
              <w:sz w:val="24"/>
              <w:szCs w:val="24"/>
              <w:lang w:bidi="ar-SA"/>
              <w14:ligatures w14:val="standardContextual"/>
            </w:rPr>
          </w:pPr>
          <w:hyperlink w:anchor="_Toc238867323" w:history="1">
            <w:r w:rsidRPr="0090244A">
              <w:rPr>
                <w:rStyle w:val="Hyperlink"/>
                <w:noProof/>
              </w:rPr>
              <w:t>Mortgage Default Losses</w:t>
            </w:r>
            <w:r>
              <w:rPr>
                <w:noProof/>
                <w:webHidden/>
              </w:rPr>
              <w:tab/>
            </w:r>
            <w:r>
              <w:rPr>
                <w:noProof/>
                <w:webHidden/>
              </w:rPr>
              <w:fldChar w:fldCharType="begin"/>
            </w:r>
            <w:r>
              <w:rPr>
                <w:noProof/>
                <w:webHidden/>
              </w:rPr>
              <w:instrText xml:space="preserve"> PAGEREF _Toc238867323 \h </w:instrText>
            </w:r>
            <w:r>
              <w:rPr>
                <w:noProof/>
                <w:webHidden/>
              </w:rPr>
            </w:r>
            <w:r>
              <w:rPr>
                <w:noProof/>
                <w:webHidden/>
              </w:rPr>
              <w:fldChar w:fldCharType="separate"/>
            </w:r>
            <w:r w:rsidR="00493733">
              <w:rPr>
                <w:noProof/>
                <w:webHidden/>
              </w:rPr>
              <w:t>64</w:t>
            </w:r>
            <w:r>
              <w:rPr>
                <w:noProof/>
                <w:webHidden/>
              </w:rPr>
              <w:fldChar w:fldCharType="end"/>
            </w:r>
          </w:hyperlink>
        </w:p>
        <w:p w14:paraId="54A1009E" w14:textId="2D78DE7B" w:rsidR="007E3004" w:rsidRDefault="007E3004">
          <w:pPr>
            <w:pStyle w:val="TOC3"/>
            <w:rPr>
              <w:rFonts w:asciiTheme="minorHAnsi" w:hAnsiTheme="minorHAnsi"/>
              <w:noProof/>
              <w:kern w:val="2"/>
              <w:sz w:val="24"/>
              <w:szCs w:val="24"/>
              <w:lang w:bidi="ar-SA"/>
              <w14:ligatures w14:val="standardContextual"/>
            </w:rPr>
          </w:pPr>
          <w:hyperlink w:anchor="_Toc238867324" w:history="1">
            <w:r w:rsidRPr="0090244A">
              <w:rPr>
                <w:rStyle w:val="Hyperlink"/>
                <w:noProof/>
              </w:rPr>
              <w:t>Risk Synergy</w:t>
            </w:r>
            <w:r>
              <w:rPr>
                <w:noProof/>
                <w:webHidden/>
              </w:rPr>
              <w:tab/>
            </w:r>
            <w:r>
              <w:rPr>
                <w:noProof/>
                <w:webHidden/>
              </w:rPr>
              <w:fldChar w:fldCharType="begin"/>
            </w:r>
            <w:r>
              <w:rPr>
                <w:noProof/>
                <w:webHidden/>
              </w:rPr>
              <w:instrText xml:space="preserve"> PAGEREF _Toc238867324 \h </w:instrText>
            </w:r>
            <w:r>
              <w:rPr>
                <w:noProof/>
                <w:webHidden/>
              </w:rPr>
            </w:r>
            <w:r>
              <w:rPr>
                <w:noProof/>
                <w:webHidden/>
              </w:rPr>
              <w:fldChar w:fldCharType="separate"/>
            </w:r>
            <w:r w:rsidR="00493733">
              <w:rPr>
                <w:noProof/>
                <w:webHidden/>
              </w:rPr>
              <w:t>65</w:t>
            </w:r>
            <w:r>
              <w:rPr>
                <w:noProof/>
                <w:webHidden/>
              </w:rPr>
              <w:fldChar w:fldCharType="end"/>
            </w:r>
          </w:hyperlink>
        </w:p>
        <w:p w14:paraId="3FA18CEF" w14:textId="2C8FD5A1" w:rsidR="007E3004" w:rsidRDefault="007E3004">
          <w:pPr>
            <w:pStyle w:val="TOC3"/>
            <w:rPr>
              <w:rFonts w:asciiTheme="minorHAnsi" w:hAnsiTheme="minorHAnsi"/>
              <w:noProof/>
              <w:kern w:val="2"/>
              <w:sz w:val="24"/>
              <w:szCs w:val="24"/>
              <w:lang w:bidi="ar-SA"/>
              <w14:ligatures w14:val="standardContextual"/>
            </w:rPr>
          </w:pPr>
          <w:hyperlink w:anchor="_Toc238867325" w:history="1">
            <w:r w:rsidRPr="0090244A">
              <w:rPr>
                <w:rStyle w:val="Hyperlink"/>
                <w:noProof/>
              </w:rPr>
              <w:t>Creditworthiness Risk</w:t>
            </w:r>
            <w:r>
              <w:rPr>
                <w:noProof/>
                <w:webHidden/>
              </w:rPr>
              <w:tab/>
            </w:r>
            <w:r>
              <w:rPr>
                <w:noProof/>
                <w:webHidden/>
              </w:rPr>
              <w:fldChar w:fldCharType="begin"/>
            </w:r>
            <w:r>
              <w:rPr>
                <w:noProof/>
                <w:webHidden/>
              </w:rPr>
              <w:instrText xml:space="preserve"> PAGEREF _Toc238867325 \h </w:instrText>
            </w:r>
            <w:r>
              <w:rPr>
                <w:noProof/>
                <w:webHidden/>
              </w:rPr>
            </w:r>
            <w:r>
              <w:rPr>
                <w:noProof/>
                <w:webHidden/>
              </w:rPr>
              <w:fldChar w:fldCharType="separate"/>
            </w:r>
            <w:r w:rsidR="00493733">
              <w:rPr>
                <w:noProof/>
                <w:webHidden/>
              </w:rPr>
              <w:t>65</w:t>
            </w:r>
            <w:r>
              <w:rPr>
                <w:noProof/>
                <w:webHidden/>
              </w:rPr>
              <w:fldChar w:fldCharType="end"/>
            </w:r>
          </w:hyperlink>
        </w:p>
        <w:p w14:paraId="33A87701" w14:textId="0963DEC4" w:rsidR="007E3004" w:rsidRDefault="007E3004">
          <w:pPr>
            <w:pStyle w:val="TOC3"/>
            <w:rPr>
              <w:rFonts w:asciiTheme="minorHAnsi" w:hAnsiTheme="minorHAnsi"/>
              <w:noProof/>
              <w:kern w:val="2"/>
              <w:sz w:val="24"/>
              <w:szCs w:val="24"/>
              <w:lang w:bidi="ar-SA"/>
              <w14:ligatures w14:val="standardContextual"/>
            </w:rPr>
          </w:pPr>
          <w:hyperlink w:anchor="_Toc238867326" w:history="1">
            <w:r w:rsidRPr="0090244A">
              <w:rPr>
                <w:rStyle w:val="Hyperlink"/>
                <w:noProof/>
              </w:rPr>
              <w:t>High CLTV Defaults</w:t>
            </w:r>
            <w:r>
              <w:rPr>
                <w:noProof/>
                <w:webHidden/>
              </w:rPr>
              <w:tab/>
            </w:r>
            <w:r>
              <w:rPr>
                <w:noProof/>
                <w:webHidden/>
              </w:rPr>
              <w:fldChar w:fldCharType="begin"/>
            </w:r>
            <w:r>
              <w:rPr>
                <w:noProof/>
                <w:webHidden/>
              </w:rPr>
              <w:instrText xml:space="preserve"> PAGEREF _Toc238867326 \h </w:instrText>
            </w:r>
            <w:r>
              <w:rPr>
                <w:noProof/>
                <w:webHidden/>
              </w:rPr>
            </w:r>
            <w:r>
              <w:rPr>
                <w:noProof/>
                <w:webHidden/>
              </w:rPr>
              <w:fldChar w:fldCharType="separate"/>
            </w:r>
            <w:r w:rsidR="00493733">
              <w:rPr>
                <w:noProof/>
                <w:webHidden/>
              </w:rPr>
              <w:t>66</w:t>
            </w:r>
            <w:r>
              <w:rPr>
                <w:noProof/>
                <w:webHidden/>
              </w:rPr>
              <w:fldChar w:fldCharType="end"/>
            </w:r>
          </w:hyperlink>
        </w:p>
        <w:p w14:paraId="60EA3475" w14:textId="739BC631" w:rsidR="007E3004" w:rsidRDefault="007E3004">
          <w:pPr>
            <w:pStyle w:val="TOC3"/>
            <w:rPr>
              <w:rFonts w:asciiTheme="minorHAnsi" w:hAnsiTheme="minorHAnsi"/>
              <w:noProof/>
              <w:kern w:val="2"/>
              <w:sz w:val="24"/>
              <w:szCs w:val="24"/>
              <w:lang w:bidi="ar-SA"/>
              <w14:ligatures w14:val="standardContextual"/>
            </w:rPr>
          </w:pPr>
          <w:hyperlink w:anchor="_Toc238867327" w:history="1">
            <w:r w:rsidRPr="0090244A">
              <w:rPr>
                <w:rStyle w:val="Hyperlink"/>
                <w:noProof/>
              </w:rPr>
              <w:t>Fraud and Misrepresentation Risk</w:t>
            </w:r>
            <w:r>
              <w:rPr>
                <w:noProof/>
                <w:webHidden/>
              </w:rPr>
              <w:tab/>
            </w:r>
            <w:r>
              <w:rPr>
                <w:noProof/>
                <w:webHidden/>
              </w:rPr>
              <w:fldChar w:fldCharType="begin"/>
            </w:r>
            <w:r>
              <w:rPr>
                <w:noProof/>
                <w:webHidden/>
              </w:rPr>
              <w:instrText xml:space="preserve"> PAGEREF _Toc238867327 \h </w:instrText>
            </w:r>
            <w:r>
              <w:rPr>
                <w:noProof/>
                <w:webHidden/>
              </w:rPr>
            </w:r>
            <w:r>
              <w:rPr>
                <w:noProof/>
                <w:webHidden/>
              </w:rPr>
              <w:fldChar w:fldCharType="separate"/>
            </w:r>
            <w:r w:rsidR="00493733">
              <w:rPr>
                <w:noProof/>
                <w:webHidden/>
              </w:rPr>
              <w:t>66</w:t>
            </w:r>
            <w:r>
              <w:rPr>
                <w:noProof/>
                <w:webHidden/>
              </w:rPr>
              <w:fldChar w:fldCharType="end"/>
            </w:r>
          </w:hyperlink>
        </w:p>
        <w:p w14:paraId="13EB5734" w14:textId="75653879" w:rsidR="007E3004" w:rsidRDefault="007E3004">
          <w:pPr>
            <w:pStyle w:val="TOC3"/>
            <w:rPr>
              <w:rFonts w:asciiTheme="minorHAnsi" w:hAnsiTheme="minorHAnsi"/>
              <w:noProof/>
              <w:kern w:val="2"/>
              <w:sz w:val="24"/>
              <w:szCs w:val="24"/>
              <w:lang w:bidi="ar-SA"/>
              <w14:ligatures w14:val="standardContextual"/>
            </w:rPr>
          </w:pPr>
          <w:hyperlink w:anchor="_Toc238867328" w:history="1">
            <w:r w:rsidRPr="0090244A">
              <w:rPr>
                <w:rStyle w:val="Hyperlink"/>
                <w:noProof/>
              </w:rPr>
              <w:t>High DTI Defaults</w:t>
            </w:r>
            <w:r>
              <w:rPr>
                <w:noProof/>
                <w:webHidden/>
              </w:rPr>
              <w:tab/>
            </w:r>
            <w:r>
              <w:rPr>
                <w:noProof/>
                <w:webHidden/>
              </w:rPr>
              <w:fldChar w:fldCharType="begin"/>
            </w:r>
            <w:r>
              <w:rPr>
                <w:noProof/>
                <w:webHidden/>
              </w:rPr>
              <w:instrText xml:space="preserve"> PAGEREF _Toc238867328 \h </w:instrText>
            </w:r>
            <w:r>
              <w:rPr>
                <w:noProof/>
                <w:webHidden/>
              </w:rPr>
            </w:r>
            <w:r>
              <w:rPr>
                <w:noProof/>
                <w:webHidden/>
              </w:rPr>
              <w:fldChar w:fldCharType="separate"/>
            </w:r>
            <w:r w:rsidR="00493733">
              <w:rPr>
                <w:noProof/>
                <w:webHidden/>
              </w:rPr>
              <w:t>67</w:t>
            </w:r>
            <w:r>
              <w:rPr>
                <w:noProof/>
                <w:webHidden/>
              </w:rPr>
              <w:fldChar w:fldCharType="end"/>
            </w:r>
          </w:hyperlink>
        </w:p>
        <w:p w14:paraId="467D328B" w14:textId="3FEF4EB8" w:rsidR="007E3004" w:rsidRDefault="007E3004">
          <w:pPr>
            <w:pStyle w:val="TOC3"/>
            <w:rPr>
              <w:rFonts w:asciiTheme="minorHAnsi" w:hAnsiTheme="minorHAnsi"/>
              <w:noProof/>
              <w:kern w:val="2"/>
              <w:sz w:val="24"/>
              <w:szCs w:val="24"/>
              <w:lang w:bidi="ar-SA"/>
              <w14:ligatures w14:val="standardContextual"/>
            </w:rPr>
          </w:pPr>
          <w:hyperlink w:anchor="_Toc238867329" w:history="1">
            <w:r w:rsidRPr="0090244A">
              <w:rPr>
                <w:rStyle w:val="Hyperlink"/>
                <w:noProof/>
              </w:rPr>
              <w:t>Investment Perception Risk</w:t>
            </w:r>
            <w:r>
              <w:rPr>
                <w:noProof/>
                <w:webHidden/>
              </w:rPr>
              <w:tab/>
            </w:r>
            <w:r>
              <w:rPr>
                <w:noProof/>
                <w:webHidden/>
              </w:rPr>
              <w:fldChar w:fldCharType="begin"/>
            </w:r>
            <w:r>
              <w:rPr>
                <w:noProof/>
                <w:webHidden/>
              </w:rPr>
              <w:instrText xml:space="preserve"> PAGEREF _Toc238867329 \h </w:instrText>
            </w:r>
            <w:r>
              <w:rPr>
                <w:noProof/>
                <w:webHidden/>
              </w:rPr>
            </w:r>
            <w:r>
              <w:rPr>
                <w:noProof/>
                <w:webHidden/>
              </w:rPr>
              <w:fldChar w:fldCharType="separate"/>
            </w:r>
            <w:r w:rsidR="00493733">
              <w:rPr>
                <w:noProof/>
                <w:webHidden/>
              </w:rPr>
              <w:t>67</w:t>
            </w:r>
            <w:r>
              <w:rPr>
                <w:noProof/>
                <w:webHidden/>
              </w:rPr>
              <w:fldChar w:fldCharType="end"/>
            </w:r>
          </w:hyperlink>
        </w:p>
        <w:p w14:paraId="4C08D15E" w14:textId="087E3A97" w:rsidR="007E3004" w:rsidRDefault="007E3004">
          <w:pPr>
            <w:pStyle w:val="TOC3"/>
            <w:rPr>
              <w:rFonts w:asciiTheme="minorHAnsi" w:hAnsiTheme="minorHAnsi"/>
              <w:noProof/>
              <w:kern w:val="2"/>
              <w:sz w:val="24"/>
              <w:szCs w:val="24"/>
              <w:lang w:bidi="ar-SA"/>
              <w14:ligatures w14:val="standardContextual"/>
            </w:rPr>
          </w:pPr>
          <w:hyperlink w:anchor="_Toc238867330" w:history="1">
            <w:r w:rsidRPr="0090244A">
              <w:rPr>
                <w:rStyle w:val="Hyperlink"/>
                <w:noProof/>
              </w:rPr>
              <w:t>Resale Value Risk</w:t>
            </w:r>
            <w:r>
              <w:rPr>
                <w:noProof/>
                <w:webHidden/>
              </w:rPr>
              <w:tab/>
            </w:r>
            <w:r>
              <w:rPr>
                <w:noProof/>
                <w:webHidden/>
              </w:rPr>
              <w:fldChar w:fldCharType="begin"/>
            </w:r>
            <w:r>
              <w:rPr>
                <w:noProof/>
                <w:webHidden/>
              </w:rPr>
              <w:instrText xml:space="preserve"> PAGEREF _Toc238867330 \h </w:instrText>
            </w:r>
            <w:r>
              <w:rPr>
                <w:noProof/>
                <w:webHidden/>
              </w:rPr>
            </w:r>
            <w:r>
              <w:rPr>
                <w:noProof/>
                <w:webHidden/>
              </w:rPr>
              <w:fldChar w:fldCharType="separate"/>
            </w:r>
            <w:r w:rsidR="00493733">
              <w:rPr>
                <w:noProof/>
                <w:webHidden/>
              </w:rPr>
              <w:t>68</w:t>
            </w:r>
            <w:r>
              <w:rPr>
                <w:noProof/>
                <w:webHidden/>
              </w:rPr>
              <w:fldChar w:fldCharType="end"/>
            </w:r>
          </w:hyperlink>
        </w:p>
        <w:p w14:paraId="0954D8F2" w14:textId="55AE0F90" w:rsidR="007E3004" w:rsidRDefault="007E3004">
          <w:pPr>
            <w:pStyle w:val="TOC3"/>
            <w:rPr>
              <w:rFonts w:asciiTheme="minorHAnsi" w:hAnsiTheme="minorHAnsi"/>
              <w:noProof/>
              <w:kern w:val="2"/>
              <w:sz w:val="24"/>
              <w:szCs w:val="24"/>
              <w:lang w:bidi="ar-SA"/>
              <w14:ligatures w14:val="standardContextual"/>
            </w:rPr>
          </w:pPr>
          <w:hyperlink w:anchor="_Toc238867331" w:history="1">
            <w:r w:rsidRPr="0090244A">
              <w:rPr>
                <w:rStyle w:val="Hyperlink"/>
                <w:noProof/>
              </w:rPr>
              <w:t>The CDO Market Solution</w:t>
            </w:r>
            <w:r>
              <w:rPr>
                <w:noProof/>
                <w:webHidden/>
              </w:rPr>
              <w:tab/>
            </w:r>
            <w:r>
              <w:rPr>
                <w:noProof/>
                <w:webHidden/>
              </w:rPr>
              <w:fldChar w:fldCharType="begin"/>
            </w:r>
            <w:r>
              <w:rPr>
                <w:noProof/>
                <w:webHidden/>
              </w:rPr>
              <w:instrText xml:space="preserve"> PAGEREF _Toc238867331 \h </w:instrText>
            </w:r>
            <w:r>
              <w:rPr>
                <w:noProof/>
                <w:webHidden/>
              </w:rPr>
            </w:r>
            <w:r>
              <w:rPr>
                <w:noProof/>
                <w:webHidden/>
              </w:rPr>
              <w:fldChar w:fldCharType="separate"/>
            </w:r>
            <w:r w:rsidR="00493733">
              <w:rPr>
                <w:noProof/>
                <w:webHidden/>
              </w:rPr>
              <w:t>70</w:t>
            </w:r>
            <w:r>
              <w:rPr>
                <w:noProof/>
                <w:webHidden/>
              </w:rPr>
              <w:fldChar w:fldCharType="end"/>
            </w:r>
          </w:hyperlink>
        </w:p>
        <w:p w14:paraId="17136E92" w14:textId="09637554" w:rsidR="007E3004" w:rsidRDefault="007E3004">
          <w:pPr>
            <w:pStyle w:val="TOC2"/>
            <w:rPr>
              <w:rFonts w:asciiTheme="minorHAnsi" w:hAnsiTheme="minorHAnsi"/>
              <w:kern w:val="2"/>
              <w:sz w:val="24"/>
              <w:szCs w:val="24"/>
              <w:lang w:bidi="ar-SA"/>
              <w14:ligatures w14:val="standardContextual"/>
            </w:rPr>
          </w:pPr>
          <w:hyperlink w:anchor="_Toc238867332" w:history="1">
            <w:r w:rsidRPr="0090244A">
              <w:rPr>
                <w:rStyle w:val="Hyperlink"/>
              </w:rPr>
              <w:t>Visualizing the Bubble</w:t>
            </w:r>
            <w:r>
              <w:rPr>
                <w:webHidden/>
              </w:rPr>
              <w:tab/>
            </w:r>
            <w:r>
              <w:rPr>
                <w:webHidden/>
              </w:rPr>
              <w:fldChar w:fldCharType="begin"/>
            </w:r>
            <w:r>
              <w:rPr>
                <w:webHidden/>
              </w:rPr>
              <w:instrText xml:space="preserve"> PAGEREF _Toc238867332 \h </w:instrText>
            </w:r>
            <w:r>
              <w:rPr>
                <w:webHidden/>
              </w:rPr>
            </w:r>
            <w:r>
              <w:rPr>
                <w:webHidden/>
              </w:rPr>
              <w:fldChar w:fldCharType="separate"/>
            </w:r>
            <w:r w:rsidR="00493733">
              <w:rPr>
                <w:webHidden/>
              </w:rPr>
              <w:t>70</w:t>
            </w:r>
            <w:r>
              <w:rPr>
                <w:webHidden/>
              </w:rPr>
              <w:fldChar w:fldCharType="end"/>
            </w:r>
          </w:hyperlink>
        </w:p>
        <w:p w14:paraId="5F85826C" w14:textId="4BCD02A7" w:rsidR="007E3004" w:rsidRDefault="007E3004">
          <w:pPr>
            <w:pStyle w:val="TOC2"/>
            <w:rPr>
              <w:rFonts w:asciiTheme="minorHAnsi" w:hAnsiTheme="minorHAnsi"/>
              <w:kern w:val="2"/>
              <w:sz w:val="24"/>
              <w:szCs w:val="24"/>
              <w:lang w:bidi="ar-SA"/>
              <w14:ligatures w14:val="standardContextual"/>
            </w:rPr>
          </w:pPr>
          <w:hyperlink w:anchor="_Toc238867333" w:history="1">
            <w:r w:rsidRPr="0090244A">
              <w:rPr>
                <w:rStyle w:val="Hyperlink"/>
              </w:rPr>
              <w:t>Responsibility for the Bubble</w:t>
            </w:r>
            <w:r>
              <w:rPr>
                <w:webHidden/>
              </w:rPr>
              <w:tab/>
            </w:r>
            <w:r>
              <w:rPr>
                <w:webHidden/>
              </w:rPr>
              <w:fldChar w:fldCharType="begin"/>
            </w:r>
            <w:r>
              <w:rPr>
                <w:webHidden/>
              </w:rPr>
              <w:instrText xml:space="preserve"> PAGEREF _Toc238867333 \h </w:instrText>
            </w:r>
            <w:r>
              <w:rPr>
                <w:webHidden/>
              </w:rPr>
            </w:r>
            <w:r>
              <w:rPr>
                <w:webHidden/>
              </w:rPr>
              <w:fldChar w:fldCharType="separate"/>
            </w:r>
            <w:r w:rsidR="00493733">
              <w:rPr>
                <w:webHidden/>
              </w:rPr>
              <w:t>72</w:t>
            </w:r>
            <w:r>
              <w:rPr>
                <w:webHidden/>
              </w:rPr>
              <w:fldChar w:fldCharType="end"/>
            </w:r>
          </w:hyperlink>
        </w:p>
        <w:p w14:paraId="1FE94998" w14:textId="7314C496" w:rsidR="007E3004" w:rsidRDefault="007E3004">
          <w:pPr>
            <w:pStyle w:val="TOC2"/>
            <w:rPr>
              <w:rFonts w:asciiTheme="minorHAnsi" w:hAnsiTheme="minorHAnsi"/>
              <w:kern w:val="2"/>
              <w:sz w:val="24"/>
              <w:szCs w:val="24"/>
              <w:lang w:bidi="ar-SA"/>
              <w14:ligatures w14:val="standardContextual"/>
            </w:rPr>
          </w:pPr>
          <w:hyperlink w:anchor="_Toc238867334" w:history="1">
            <w:r w:rsidRPr="0090244A">
              <w:rPr>
                <w:rStyle w:val="Hyperlink"/>
              </w:rPr>
              <w:t>Summary</w:t>
            </w:r>
            <w:r>
              <w:rPr>
                <w:webHidden/>
              </w:rPr>
              <w:tab/>
            </w:r>
            <w:r>
              <w:rPr>
                <w:webHidden/>
              </w:rPr>
              <w:fldChar w:fldCharType="begin"/>
            </w:r>
            <w:r>
              <w:rPr>
                <w:webHidden/>
              </w:rPr>
              <w:instrText xml:space="preserve"> PAGEREF _Toc238867334 \h </w:instrText>
            </w:r>
            <w:r>
              <w:rPr>
                <w:webHidden/>
              </w:rPr>
            </w:r>
            <w:r>
              <w:rPr>
                <w:webHidden/>
              </w:rPr>
              <w:fldChar w:fldCharType="separate"/>
            </w:r>
            <w:r w:rsidR="00493733">
              <w:rPr>
                <w:webHidden/>
              </w:rPr>
              <w:t>73</w:t>
            </w:r>
            <w:r>
              <w:rPr>
                <w:webHidden/>
              </w:rPr>
              <w:fldChar w:fldCharType="end"/>
            </w:r>
          </w:hyperlink>
        </w:p>
        <w:p w14:paraId="53B91652" w14:textId="2585074B" w:rsidR="007E3004" w:rsidRDefault="007E3004">
          <w:pPr>
            <w:pStyle w:val="TOC1"/>
            <w:rPr>
              <w:rFonts w:asciiTheme="minorHAnsi" w:hAnsiTheme="minorHAnsi"/>
              <w:b w:val="0"/>
              <w:noProof/>
              <w:kern w:val="2"/>
              <w:sz w:val="24"/>
              <w:szCs w:val="24"/>
              <w:lang w:bidi="ar-SA"/>
              <w14:ligatures w14:val="standardContextual"/>
            </w:rPr>
          </w:pPr>
          <w:hyperlink w:anchor="_Toc238867335" w:history="1">
            <w:r w:rsidRPr="0090244A">
              <w:rPr>
                <w:rStyle w:val="Hyperlink"/>
                <w:noProof/>
              </w:rPr>
              <w:t>The Housing Bubble</w:t>
            </w:r>
            <w:r>
              <w:rPr>
                <w:noProof/>
                <w:webHidden/>
              </w:rPr>
              <w:tab/>
            </w:r>
            <w:r>
              <w:rPr>
                <w:noProof/>
                <w:webHidden/>
              </w:rPr>
              <w:fldChar w:fldCharType="begin"/>
            </w:r>
            <w:r>
              <w:rPr>
                <w:noProof/>
                <w:webHidden/>
              </w:rPr>
              <w:instrText xml:space="preserve"> PAGEREF _Toc238867335 \h </w:instrText>
            </w:r>
            <w:r>
              <w:rPr>
                <w:noProof/>
                <w:webHidden/>
              </w:rPr>
            </w:r>
            <w:r>
              <w:rPr>
                <w:noProof/>
                <w:webHidden/>
              </w:rPr>
              <w:fldChar w:fldCharType="separate"/>
            </w:r>
            <w:r w:rsidR="00493733">
              <w:rPr>
                <w:noProof/>
                <w:webHidden/>
              </w:rPr>
              <w:t>75</w:t>
            </w:r>
            <w:r>
              <w:rPr>
                <w:noProof/>
                <w:webHidden/>
              </w:rPr>
              <w:fldChar w:fldCharType="end"/>
            </w:r>
          </w:hyperlink>
        </w:p>
        <w:p w14:paraId="7E9A3A47" w14:textId="6A03413B" w:rsidR="007E3004" w:rsidRDefault="007E3004">
          <w:pPr>
            <w:pStyle w:val="TOC2"/>
            <w:rPr>
              <w:rFonts w:asciiTheme="minorHAnsi" w:hAnsiTheme="minorHAnsi"/>
              <w:kern w:val="2"/>
              <w:sz w:val="24"/>
              <w:szCs w:val="24"/>
              <w:lang w:bidi="ar-SA"/>
              <w14:ligatures w14:val="standardContextual"/>
            </w:rPr>
          </w:pPr>
          <w:hyperlink w:anchor="_Toc238867336" w:history="1">
            <w:r w:rsidRPr="0090244A">
              <w:rPr>
                <w:rStyle w:val="Hyperlink"/>
              </w:rPr>
              <w:t>Price Measurements</w:t>
            </w:r>
            <w:r>
              <w:rPr>
                <w:webHidden/>
              </w:rPr>
              <w:tab/>
            </w:r>
            <w:r>
              <w:rPr>
                <w:webHidden/>
              </w:rPr>
              <w:fldChar w:fldCharType="begin"/>
            </w:r>
            <w:r>
              <w:rPr>
                <w:webHidden/>
              </w:rPr>
              <w:instrText xml:space="preserve"> PAGEREF _Toc238867336 \h </w:instrText>
            </w:r>
            <w:r>
              <w:rPr>
                <w:webHidden/>
              </w:rPr>
            </w:r>
            <w:r>
              <w:rPr>
                <w:webHidden/>
              </w:rPr>
              <w:fldChar w:fldCharType="separate"/>
            </w:r>
            <w:r w:rsidR="00493733">
              <w:rPr>
                <w:webHidden/>
              </w:rPr>
              <w:t>76</w:t>
            </w:r>
            <w:r>
              <w:rPr>
                <w:webHidden/>
              </w:rPr>
              <w:fldChar w:fldCharType="end"/>
            </w:r>
          </w:hyperlink>
        </w:p>
        <w:p w14:paraId="7DBAA49C" w14:textId="522D6706" w:rsidR="007E3004" w:rsidRDefault="007E3004">
          <w:pPr>
            <w:pStyle w:val="TOC2"/>
            <w:rPr>
              <w:rFonts w:asciiTheme="minorHAnsi" w:hAnsiTheme="minorHAnsi"/>
              <w:kern w:val="2"/>
              <w:sz w:val="24"/>
              <w:szCs w:val="24"/>
              <w:lang w:bidi="ar-SA"/>
              <w14:ligatures w14:val="standardContextual"/>
            </w:rPr>
          </w:pPr>
          <w:hyperlink w:anchor="_Toc238867337" w:history="1">
            <w:r w:rsidRPr="0090244A">
              <w:rPr>
                <w:rStyle w:val="Hyperlink"/>
              </w:rPr>
              <w:t>Price-To-Income Ratios</w:t>
            </w:r>
            <w:r>
              <w:rPr>
                <w:webHidden/>
              </w:rPr>
              <w:tab/>
            </w:r>
            <w:r>
              <w:rPr>
                <w:webHidden/>
              </w:rPr>
              <w:fldChar w:fldCharType="begin"/>
            </w:r>
            <w:r>
              <w:rPr>
                <w:webHidden/>
              </w:rPr>
              <w:instrText xml:space="preserve"> PAGEREF _Toc238867337 \h </w:instrText>
            </w:r>
            <w:r>
              <w:rPr>
                <w:webHidden/>
              </w:rPr>
            </w:r>
            <w:r>
              <w:rPr>
                <w:webHidden/>
              </w:rPr>
              <w:fldChar w:fldCharType="separate"/>
            </w:r>
            <w:r w:rsidR="00493733">
              <w:rPr>
                <w:webHidden/>
              </w:rPr>
              <w:t>79</w:t>
            </w:r>
            <w:r>
              <w:rPr>
                <w:webHidden/>
              </w:rPr>
              <w:fldChar w:fldCharType="end"/>
            </w:r>
          </w:hyperlink>
        </w:p>
        <w:p w14:paraId="7C49E762" w14:textId="5FAFD44B" w:rsidR="007E3004" w:rsidRDefault="007E3004">
          <w:pPr>
            <w:pStyle w:val="TOC2"/>
            <w:rPr>
              <w:rFonts w:asciiTheme="minorHAnsi" w:hAnsiTheme="minorHAnsi"/>
              <w:kern w:val="2"/>
              <w:sz w:val="24"/>
              <w:szCs w:val="24"/>
              <w:lang w:bidi="ar-SA"/>
              <w14:ligatures w14:val="standardContextual"/>
            </w:rPr>
          </w:pPr>
          <w:hyperlink w:anchor="_Toc238867338" w:history="1">
            <w:r w:rsidRPr="0090244A">
              <w:rPr>
                <w:rStyle w:val="Hyperlink"/>
              </w:rPr>
              <w:t>Price-To-Rent Ratios</w:t>
            </w:r>
            <w:r>
              <w:rPr>
                <w:webHidden/>
              </w:rPr>
              <w:tab/>
            </w:r>
            <w:r>
              <w:rPr>
                <w:webHidden/>
              </w:rPr>
              <w:fldChar w:fldCharType="begin"/>
            </w:r>
            <w:r>
              <w:rPr>
                <w:webHidden/>
              </w:rPr>
              <w:instrText xml:space="preserve"> PAGEREF _Toc238867338 \h </w:instrText>
            </w:r>
            <w:r>
              <w:rPr>
                <w:webHidden/>
              </w:rPr>
            </w:r>
            <w:r>
              <w:rPr>
                <w:webHidden/>
              </w:rPr>
              <w:fldChar w:fldCharType="separate"/>
            </w:r>
            <w:r w:rsidR="00493733">
              <w:rPr>
                <w:webHidden/>
              </w:rPr>
              <w:t>81</w:t>
            </w:r>
            <w:r>
              <w:rPr>
                <w:webHidden/>
              </w:rPr>
              <w:fldChar w:fldCharType="end"/>
            </w:r>
          </w:hyperlink>
        </w:p>
        <w:p w14:paraId="3A3E9E67" w14:textId="261346E7" w:rsidR="007E3004" w:rsidRDefault="007E3004">
          <w:pPr>
            <w:pStyle w:val="TOC2"/>
            <w:rPr>
              <w:rFonts w:asciiTheme="minorHAnsi" w:hAnsiTheme="minorHAnsi"/>
              <w:kern w:val="2"/>
              <w:sz w:val="24"/>
              <w:szCs w:val="24"/>
              <w:lang w:bidi="ar-SA"/>
              <w14:ligatures w14:val="standardContextual"/>
            </w:rPr>
          </w:pPr>
          <w:hyperlink w:anchor="_Toc238867339" w:history="1">
            <w:r w:rsidRPr="0090244A">
              <w:rPr>
                <w:rStyle w:val="Hyperlink"/>
              </w:rPr>
              <w:t>Debt-To-Income Ratios</w:t>
            </w:r>
            <w:r>
              <w:rPr>
                <w:webHidden/>
              </w:rPr>
              <w:tab/>
            </w:r>
            <w:r>
              <w:rPr>
                <w:webHidden/>
              </w:rPr>
              <w:fldChar w:fldCharType="begin"/>
            </w:r>
            <w:r>
              <w:rPr>
                <w:webHidden/>
              </w:rPr>
              <w:instrText xml:space="preserve"> PAGEREF _Toc238867339 \h </w:instrText>
            </w:r>
            <w:r>
              <w:rPr>
                <w:webHidden/>
              </w:rPr>
            </w:r>
            <w:r>
              <w:rPr>
                <w:webHidden/>
              </w:rPr>
              <w:fldChar w:fldCharType="separate"/>
            </w:r>
            <w:r w:rsidR="00493733">
              <w:rPr>
                <w:webHidden/>
              </w:rPr>
              <w:t>82</w:t>
            </w:r>
            <w:r>
              <w:rPr>
                <w:webHidden/>
              </w:rPr>
              <w:fldChar w:fldCharType="end"/>
            </w:r>
          </w:hyperlink>
        </w:p>
        <w:p w14:paraId="0F4F9C61" w14:textId="5EB46E3C" w:rsidR="007E3004" w:rsidRDefault="007E3004">
          <w:pPr>
            <w:pStyle w:val="TOC2"/>
            <w:rPr>
              <w:rFonts w:asciiTheme="minorHAnsi" w:hAnsiTheme="minorHAnsi"/>
              <w:kern w:val="2"/>
              <w:sz w:val="24"/>
              <w:szCs w:val="24"/>
              <w:lang w:bidi="ar-SA"/>
              <w14:ligatures w14:val="standardContextual"/>
            </w:rPr>
          </w:pPr>
          <w:hyperlink w:anchor="_Toc238867340" w:history="1">
            <w:r w:rsidRPr="0090244A">
              <w:rPr>
                <w:rStyle w:val="Hyperlink"/>
              </w:rPr>
              <w:t>Affordability Limits</w:t>
            </w:r>
            <w:r>
              <w:rPr>
                <w:webHidden/>
              </w:rPr>
              <w:tab/>
            </w:r>
            <w:r>
              <w:rPr>
                <w:webHidden/>
              </w:rPr>
              <w:fldChar w:fldCharType="begin"/>
            </w:r>
            <w:r>
              <w:rPr>
                <w:webHidden/>
              </w:rPr>
              <w:instrText xml:space="preserve"> PAGEREF _Toc238867340 \h </w:instrText>
            </w:r>
            <w:r>
              <w:rPr>
                <w:webHidden/>
              </w:rPr>
            </w:r>
            <w:r>
              <w:rPr>
                <w:webHidden/>
              </w:rPr>
              <w:fldChar w:fldCharType="separate"/>
            </w:r>
            <w:r w:rsidR="00493733">
              <w:rPr>
                <w:webHidden/>
              </w:rPr>
              <w:t>85</w:t>
            </w:r>
            <w:r>
              <w:rPr>
                <w:webHidden/>
              </w:rPr>
              <w:fldChar w:fldCharType="end"/>
            </w:r>
          </w:hyperlink>
        </w:p>
        <w:p w14:paraId="7C2EE93C" w14:textId="57A1810D" w:rsidR="007E3004" w:rsidRDefault="007E3004">
          <w:pPr>
            <w:pStyle w:val="TOC2"/>
            <w:rPr>
              <w:rFonts w:asciiTheme="minorHAnsi" w:hAnsiTheme="minorHAnsi"/>
              <w:kern w:val="2"/>
              <w:sz w:val="24"/>
              <w:szCs w:val="24"/>
              <w:lang w:bidi="ar-SA"/>
              <w14:ligatures w14:val="standardContextual"/>
            </w:rPr>
          </w:pPr>
          <w:hyperlink w:anchor="_Toc238867341" w:history="1">
            <w:r w:rsidRPr="0090244A">
              <w:rPr>
                <w:rStyle w:val="Hyperlink"/>
              </w:rPr>
              <w:t>The Bubble Bursts</w:t>
            </w:r>
            <w:r>
              <w:rPr>
                <w:webHidden/>
              </w:rPr>
              <w:tab/>
            </w:r>
            <w:r>
              <w:rPr>
                <w:webHidden/>
              </w:rPr>
              <w:fldChar w:fldCharType="begin"/>
            </w:r>
            <w:r>
              <w:rPr>
                <w:webHidden/>
              </w:rPr>
              <w:instrText xml:space="preserve"> PAGEREF _Toc238867341 \h </w:instrText>
            </w:r>
            <w:r>
              <w:rPr>
                <w:webHidden/>
              </w:rPr>
            </w:r>
            <w:r>
              <w:rPr>
                <w:webHidden/>
              </w:rPr>
              <w:fldChar w:fldCharType="separate"/>
            </w:r>
            <w:r w:rsidR="00493733">
              <w:rPr>
                <w:webHidden/>
              </w:rPr>
              <w:t>91</w:t>
            </w:r>
            <w:r>
              <w:rPr>
                <w:webHidden/>
              </w:rPr>
              <w:fldChar w:fldCharType="end"/>
            </w:r>
          </w:hyperlink>
        </w:p>
        <w:p w14:paraId="2EB6A540" w14:textId="6D5F6DC1" w:rsidR="007E3004" w:rsidRDefault="007E3004">
          <w:pPr>
            <w:pStyle w:val="TOC2"/>
            <w:rPr>
              <w:rFonts w:asciiTheme="minorHAnsi" w:hAnsiTheme="minorHAnsi"/>
              <w:kern w:val="2"/>
              <w:sz w:val="24"/>
              <w:szCs w:val="24"/>
              <w:lang w:bidi="ar-SA"/>
              <w14:ligatures w14:val="standardContextual"/>
            </w:rPr>
          </w:pPr>
          <w:hyperlink w:anchor="_Toc238867342" w:history="1">
            <w:r w:rsidRPr="0090244A">
              <w:rPr>
                <w:rStyle w:val="Hyperlink"/>
              </w:rPr>
              <w:t>The Credit Crunch</w:t>
            </w:r>
            <w:r>
              <w:rPr>
                <w:webHidden/>
              </w:rPr>
              <w:tab/>
            </w:r>
            <w:r>
              <w:rPr>
                <w:webHidden/>
              </w:rPr>
              <w:fldChar w:fldCharType="begin"/>
            </w:r>
            <w:r>
              <w:rPr>
                <w:webHidden/>
              </w:rPr>
              <w:instrText xml:space="preserve"> PAGEREF _Toc238867342 \h </w:instrText>
            </w:r>
            <w:r>
              <w:rPr>
                <w:webHidden/>
              </w:rPr>
            </w:r>
            <w:r>
              <w:rPr>
                <w:webHidden/>
              </w:rPr>
              <w:fldChar w:fldCharType="separate"/>
            </w:r>
            <w:r w:rsidR="00493733">
              <w:rPr>
                <w:webHidden/>
              </w:rPr>
              <w:t>97</w:t>
            </w:r>
            <w:r>
              <w:rPr>
                <w:webHidden/>
              </w:rPr>
              <w:fldChar w:fldCharType="end"/>
            </w:r>
          </w:hyperlink>
        </w:p>
        <w:p w14:paraId="2FEE44DE" w14:textId="5717D950" w:rsidR="007E3004" w:rsidRDefault="007E3004">
          <w:pPr>
            <w:pStyle w:val="TOC3"/>
            <w:rPr>
              <w:rFonts w:asciiTheme="minorHAnsi" w:hAnsiTheme="minorHAnsi"/>
              <w:noProof/>
              <w:kern w:val="2"/>
              <w:sz w:val="24"/>
              <w:szCs w:val="24"/>
              <w:lang w:bidi="ar-SA"/>
              <w14:ligatures w14:val="standardContextual"/>
            </w:rPr>
          </w:pPr>
          <w:hyperlink w:anchor="_Toc238867343" w:history="1">
            <w:r w:rsidRPr="0090244A">
              <w:rPr>
                <w:rStyle w:val="Hyperlink"/>
                <w:noProof/>
              </w:rPr>
              <w:t>100% Financing</w:t>
            </w:r>
            <w:r>
              <w:rPr>
                <w:noProof/>
                <w:webHidden/>
              </w:rPr>
              <w:tab/>
            </w:r>
            <w:r>
              <w:rPr>
                <w:noProof/>
                <w:webHidden/>
              </w:rPr>
              <w:fldChar w:fldCharType="begin"/>
            </w:r>
            <w:r>
              <w:rPr>
                <w:noProof/>
                <w:webHidden/>
              </w:rPr>
              <w:instrText xml:space="preserve"> PAGEREF _Toc238867343 \h </w:instrText>
            </w:r>
            <w:r>
              <w:rPr>
                <w:noProof/>
                <w:webHidden/>
              </w:rPr>
            </w:r>
            <w:r>
              <w:rPr>
                <w:noProof/>
                <w:webHidden/>
              </w:rPr>
              <w:fldChar w:fldCharType="separate"/>
            </w:r>
            <w:r w:rsidR="00493733">
              <w:rPr>
                <w:noProof/>
                <w:webHidden/>
              </w:rPr>
              <w:t>99</w:t>
            </w:r>
            <w:r>
              <w:rPr>
                <w:noProof/>
                <w:webHidden/>
              </w:rPr>
              <w:fldChar w:fldCharType="end"/>
            </w:r>
          </w:hyperlink>
        </w:p>
        <w:p w14:paraId="62D4D076" w14:textId="074C3588" w:rsidR="007E3004" w:rsidRDefault="007E3004">
          <w:pPr>
            <w:pStyle w:val="TOC3"/>
            <w:rPr>
              <w:rFonts w:asciiTheme="minorHAnsi" w:hAnsiTheme="minorHAnsi"/>
              <w:noProof/>
              <w:kern w:val="2"/>
              <w:sz w:val="24"/>
              <w:szCs w:val="24"/>
              <w:lang w:bidi="ar-SA"/>
              <w14:ligatures w14:val="standardContextual"/>
            </w:rPr>
          </w:pPr>
          <w:hyperlink w:anchor="_Toc238867344" w:history="1">
            <w:r w:rsidRPr="0090244A">
              <w:rPr>
                <w:rStyle w:val="Hyperlink"/>
                <w:noProof/>
              </w:rPr>
              <w:t>Rising Interest Rates</w:t>
            </w:r>
            <w:r>
              <w:rPr>
                <w:noProof/>
                <w:webHidden/>
              </w:rPr>
              <w:tab/>
            </w:r>
            <w:r>
              <w:rPr>
                <w:noProof/>
                <w:webHidden/>
              </w:rPr>
              <w:fldChar w:fldCharType="begin"/>
            </w:r>
            <w:r>
              <w:rPr>
                <w:noProof/>
                <w:webHidden/>
              </w:rPr>
              <w:instrText xml:space="preserve"> PAGEREF _Toc238867344 \h </w:instrText>
            </w:r>
            <w:r>
              <w:rPr>
                <w:noProof/>
                <w:webHidden/>
              </w:rPr>
            </w:r>
            <w:r>
              <w:rPr>
                <w:noProof/>
                <w:webHidden/>
              </w:rPr>
              <w:fldChar w:fldCharType="separate"/>
            </w:r>
            <w:r w:rsidR="00493733">
              <w:rPr>
                <w:noProof/>
                <w:webHidden/>
              </w:rPr>
              <w:t>100</w:t>
            </w:r>
            <w:r>
              <w:rPr>
                <w:noProof/>
                <w:webHidden/>
              </w:rPr>
              <w:fldChar w:fldCharType="end"/>
            </w:r>
          </w:hyperlink>
        </w:p>
        <w:p w14:paraId="194E3A94" w14:textId="683E4F7A" w:rsidR="007E3004" w:rsidRDefault="007E3004">
          <w:pPr>
            <w:pStyle w:val="TOC2"/>
            <w:rPr>
              <w:rFonts w:asciiTheme="minorHAnsi" w:hAnsiTheme="minorHAnsi"/>
              <w:kern w:val="2"/>
              <w:sz w:val="24"/>
              <w:szCs w:val="24"/>
              <w:lang w:bidi="ar-SA"/>
              <w14:ligatures w14:val="standardContextual"/>
            </w:rPr>
          </w:pPr>
          <w:hyperlink w:anchor="_Toc238867345" w:history="1">
            <w:r w:rsidRPr="0090244A">
              <w:rPr>
                <w:rStyle w:val="Hyperlink"/>
              </w:rPr>
              <w:t>Summary</w:t>
            </w:r>
            <w:r>
              <w:rPr>
                <w:webHidden/>
              </w:rPr>
              <w:tab/>
            </w:r>
            <w:r>
              <w:rPr>
                <w:webHidden/>
              </w:rPr>
              <w:fldChar w:fldCharType="begin"/>
            </w:r>
            <w:r>
              <w:rPr>
                <w:webHidden/>
              </w:rPr>
              <w:instrText xml:space="preserve"> PAGEREF _Toc238867345 \h </w:instrText>
            </w:r>
            <w:r>
              <w:rPr>
                <w:webHidden/>
              </w:rPr>
            </w:r>
            <w:r>
              <w:rPr>
                <w:webHidden/>
              </w:rPr>
              <w:fldChar w:fldCharType="separate"/>
            </w:r>
            <w:r w:rsidR="00493733">
              <w:rPr>
                <w:webHidden/>
              </w:rPr>
              <w:t>101</w:t>
            </w:r>
            <w:r>
              <w:rPr>
                <w:webHidden/>
              </w:rPr>
              <w:fldChar w:fldCharType="end"/>
            </w:r>
          </w:hyperlink>
        </w:p>
        <w:p w14:paraId="6929EEF8" w14:textId="63EE9B0A" w:rsidR="007E3004" w:rsidRDefault="007E3004">
          <w:pPr>
            <w:pStyle w:val="TOC1"/>
            <w:rPr>
              <w:rFonts w:asciiTheme="minorHAnsi" w:hAnsiTheme="minorHAnsi"/>
              <w:b w:val="0"/>
              <w:noProof/>
              <w:kern w:val="2"/>
              <w:sz w:val="24"/>
              <w:szCs w:val="24"/>
              <w:lang w:bidi="ar-SA"/>
              <w14:ligatures w14:val="standardContextual"/>
            </w:rPr>
          </w:pPr>
          <w:hyperlink w:anchor="_Toc238867346" w:history="1">
            <w:r w:rsidRPr="0090244A">
              <w:rPr>
                <w:rStyle w:val="Hyperlink"/>
                <w:noProof/>
              </w:rPr>
              <w:t>Bubble Market Psychology</w:t>
            </w:r>
            <w:r>
              <w:rPr>
                <w:noProof/>
                <w:webHidden/>
              </w:rPr>
              <w:tab/>
            </w:r>
            <w:r>
              <w:rPr>
                <w:noProof/>
                <w:webHidden/>
              </w:rPr>
              <w:fldChar w:fldCharType="begin"/>
            </w:r>
            <w:r>
              <w:rPr>
                <w:noProof/>
                <w:webHidden/>
              </w:rPr>
              <w:instrText xml:space="preserve"> PAGEREF _Toc238867346 \h </w:instrText>
            </w:r>
            <w:r>
              <w:rPr>
                <w:noProof/>
                <w:webHidden/>
              </w:rPr>
            </w:r>
            <w:r>
              <w:rPr>
                <w:noProof/>
                <w:webHidden/>
              </w:rPr>
              <w:fldChar w:fldCharType="separate"/>
            </w:r>
            <w:r w:rsidR="00493733">
              <w:rPr>
                <w:noProof/>
                <w:webHidden/>
              </w:rPr>
              <w:t>103</w:t>
            </w:r>
            <w:r>
              <w:rPr>
                <w:noProof/>
                <w:webHidden/>
              </w:rPr>
              <w:fldChar w:fldCharType="end"/>
            </w:r>
          </w:hyperlink>
        </w:p>
        <w:p w14:paraId="08C18A92" w14:textId="586E0C4B" w:rsidR="007E3004" w:rsidRDefault="007E3004">
          <w:pPr>
            <w:pStyle w:val="TOC2"/>
            <w:rPr>
              <w:rFonts w:asciiTheme="minorHAnsi" w:hAnsiTheme="minorHAnsi"/>
              <w:kern w:val="2"/>
              <w:sz w:val="24"/>
              <w:szCs w:val="24"/>
              <w:lang w:bidi="ar-SA"/>
              <w14:ligatures w14:val="standardContextual"/>
            </w:rPr>
          </w:pPr>
          <w:hyperlink w:anchor="_Toc238867347" w:history="1">
            <w:r w:rsidRPr="0090244A">
              <w:rPr>
                <w:rStyle w:val="Hyperlink"/>
              </w:rPr>
              <w:t>Speculation or Investment?</w:t>
            </w:r>
            <w:r>
              <w:rPr>
                <w:webHidden/>
              </w:rPr>
              <w:tab/>
            </w:r>
            <w:r>
              <w:rPr>
                <w:webHidden/>
              </w:rPr>
              <w:fldChar w:fldCharType="begin"/>
            </w:r>
            <w:r>
              <w:rPr>
                <w:webHidden/>
              </w:rPr>
              <w:instrText xml:space="preserve"> PAGEREF _Toc238867347 \h </w:instrText>
            </w:r>
            <w:r>
              <w:rPr>
                <w:webHidden/>
              </w:rPr>
            </w:r>
            <w:r>
              <w:rPr>
                <w:webHidden/>
              </w:rPr>
              <w:fldChar w:fldCharType="separate"/>
            </w:r>
            <w:r w:rsidR="00493733">
              <w:rPr>
                <w:webHidden/>
              </w:rPr>
              <w:t>104</w:t>
            </w:r>
            <w:r>
              <w:rPr>
                <w:webHidden/>
              </w:rPr>
              <w:fldChar w:fldCharType="end"/>
            </w:r>
          </w:hyperlink>
        </w:p>
        <w:p w14:paraId="03EDBACA" w14:textId="2B5AB82D" w:rsidR="007E3004" w:rsidRDefault="007E3004">
          <w:pPr>
            <w:pStyle w:val="TOC3"/>
            <w:rPr>
              <w:rFonts w:asciiTheme="minorHAnsi" w:hAnsiTheme="minorHAnsi"/>
              <w:noProof/>
              <w:kern w:val="2"/>
              <w:sz w:val="24"/>
              <w:szCs w:val="24"/>
              <w:lang w:bidi="ar-SA"/>
              <w14:ligatures w14:val="standardContextual"/>
            </w:rPr>
          </w:pPr>
          <w:hyperlink w:anchor="_Toc238867348" w:history="1">
            <w:r w:rsidRPr="0090244A">
              <w:rPr>
                <w:rStyle w:val="Hyperlink"/>
                <w:noProof/>
              </w:rPr>
              <w:t>Leverage and Debt</w:t>
            </w:r>
            <w:r>
              <w:rPr>
                <w:noProof/>
                <w:webHidden/>
              </w:rPr>
              <w:tab/>
            </w:r>
            <w:r>
              <w:rPr>
                <w:noProof/>
                <w:webHidden/>
              </w:rPr>
              <w:fldChar w:fldCharType="begin"/>
            </w:r>
            <w:r>
              <w:rPr>
                <w:noProof/>
                <w:webHidden/>
              </w:rPr>
              <w:instrText xml:space="preserve"> PAGEREF _Toc238867348 \h </w:instrText>
            </w:r>
            <w:r>
              <w:rPr>
                <w:noProof/>
                <w:webHidden/>
              </w:rPr>
            </w:r>
            <w:r>
              <w:rPr>
                <w:noProof/>
                <w:webHidden/>
              </w:rPr>
              <w:fldChar w:fldCharType="separate"/>
            </w:r>
            <w:r w:rsidR="00493733">
              <w:rPr>
                <w:noProof/>
                <w:webHidden/>
              </w:rPr>
              <w:t>105</w:t>
            </w:r>
            <w:r>
              <w:rPr>
                <w:noProof/>
                <w:webHidden/>
              </w:rPr>
              <w:fldChar w:fldCharType="end"/>
            </w:r>
          </w:hyperlink>
        </w:p>
        <w:p w14:paraId="52239041" w14:textId="260870C9" w:rsidR="007E3004" w:rsidRDefault="007E3004">
          <w:pPr>
            <w:pStyle w:val="TOC3"/>
            <w:rPr>
              <w:rFonts w:asciiTheme="minorHAnsi" w:hAnsiTheme="minorHAnsi"/>
              <w:noProof/>
              <w:kern w:val="2"/>
              <w:sz w:val="24"/>
              <w:szCs w:val="24"/>
              <w:lang w:bidi="ar-SA"/>
              <w14:ligatures w14:val="standardContextual"/>
            </w:rPr>
          </w:pPr>
          <w:hyperlink w:anchor="_Toc238867349" w:history="1">
            <w:r w:rsidRPr="0090244A">
              <w:rPr>
                <w:rStyle w:val="Hyperlink"/>
                <w:noProof/>
              </w:rPr>
              <w:t>Why Speculators Fail</w:t>
            </w:r>
            <w:r>
              <w:rPr>
                <w:noProof/>
                <w:webHidden/>
              </w:rPr>
              <w:tab/>
            </w:r>
            <w:r>
              <w:rPr>
                <w:noProof/>
                <w:webHidden/>
              </w:rPr>
              <w:fldChar w:fldCharType="begin"/>
            </w:r>
            <w:r>
              <w:rPr>
                <w:noProof/>
                <w:webHidden/>
              </w:rPr>
              <w:instrText xml:space="preserve"> PAGEREF _Toc238867349 \h </w:instrText>
            </w:r>
            <w:r>
              <w:rPr>
                <w:noProof/>
                <w:webHidden/>
              </w:rPr>
            </w:r>
            <w:r>
              <w:rPr>
                <w:noProof/>
                <w:webHidden/>
              </w:rPr>
              <w:fldChar w:fldCharType="separate"/>
            </w:r>
            <w:r w:rsidR="00493733">
              <w:rPr>
                <w:noProof/>
                <w:webHidden/>
              </w:rPr>
              <w:t>105</w:t>
            </w:r>
            <w:r>
              <w:rPr>
                <w:noProof/>
                <w:webHidden/>
              </w:rPr>
              <w:fldChar w:fldCharType="end"/>
            </w:r>
          </w:hyperlink>
        </w:p>
        <w:p w14:paraId="3961E248" w14:textId="7C7A902F" w:rsidR="007E3004" w:rsidRDefault="007E3004">
          <w:pPr>
            <w:pStyle w:val="TOC3"/>
            <w:rPr>
              <w:rFonts w:asciiTheme="minorHAnsi" w:hAnsiTheme="minorHAnsi"/>
              <w:noProof/>
              <w:kern w:val="2"/>
              <w:sz w:val="24"/>
              <w:szCs w:val="24"/>
              <w:lang w:bidi="ar-SA"/>
              <w14:ligatures w14:val="standardContextual"/>
            </w:rPr>
          </w:pPr>
          <w:hyperlink w:anchor="_Toc238867350" w:history="1">
            <w:r w:rsidRPr="0090244A">
              <w:rPr>
                <w:rStyle w:val="Hyperlink"/>
                <w:noProof/>
              </w:rPr>
              <w:t>Two Kinds of Real Estate Investors</w:t>
            </w:r>
            <w:r>
              <w:rPr>
                <w:noProof/>
                <w:webHidden/>
              </w:rPr>
              <w:tab/>
            </w:r>
            <w:r>
              <w:rPr>
                <w:noProof/>
                <w:webHidden/>
              </w:rPr>
              <w:fldChar w:fldCharType="begin"/>
            </w:r>
            <w:r>
              <w:rPr>
                <w:noProof/>
                <w:webHidden/>
              </w:rPr>
              <w:instrText xml:space="preserve"> PAGEREF _Toc238867350 \h </w:instrText>
            </w:r>
            <w:r>
              <w:rPr>
                <w:noProof/>
                <w:webHidden/>
              </w:rPr>
            </w:r>
            <w:r>
              <w:rPr>
                <w:noProof/>
                <w:webHidden/>
              </w:rPr>
              <w:fldChar w:fldCharType="separate"/>
            </w:r>
            <w:r w:rsidR="00493733">
              <w:rPr>
                <w:noProof/>
                <w:webHidden/>
              </w:rPr>
              <w:t>106</w:t>
            </w:r>
            <w:r>
              <w:rPr>
                <w:noProof/>
                <w:webHidden/>
              </w:rPr>
              <w:fldChar w:fldCharType="end"/>
            </w:r>
          </w:hyperlink>
        </w:p>
        <w:p w14:paraId="7B32C7BC" w14:textId="136FC5D6" w:rsidR="007E3004" w:rsidRDefault="007E3004">
          <w:pPr>
            <w:pStyle w:val="TOC3"/>
            <w:rPr>
              <w:rFonts w:asciiTheme="minorHAnsi" w:hAnsiTheme="minorHAnsi"/>
              <w:noProof/>
              <w:kern w:val="2"/>
              <w:sz w:val="24"/>
              <w:szCs w:val="24"/>
              <w:lang w:bidi="ar-SA"/>
              <w14:ligatures w14:val="standardContextual"/>
            </w:rPr>
          </w:pPr>
          <w:hyperlink w:anchor="_Toc238867351" w:history="1">
            <w:r w:rsidRPr="0090244A">
              <w:rPr>
                <w:rStyle w:val="Hyperlink"/>
                <w:noProof/>
              </w:rPr>
              <w:t>Buyer Support Levels</w:t>
            </w:r>
            <w:r>
              <w:rPr>
                <w:noProof/>
                <w:webHidden/>
              </w:rPr>
              <w:tab/>
            </w:r>
            <w:r>
              <w:rPr>
                <w:noProof/>
                <w:webHidden/>
              </w:rPr>
              <w:fldChar w:fldCharType="begin"/>
            </w:r>
            <w:r>
              <w:rPr>
                <w:noProof/>
                <w:webHidden/>
              </w:rPr>
              <w:instrText xml:space="preserve"> PAGEREF _Toc238867351 \h </w:instrText>
            </w:r>
            <w:r>
              <w:rPr>
                <w:noProof/>
                <w:webHidden/>
              </w:rPr>
            </w:r>
            <w:r>
              <w:rPr>
                <w:noProof/>
                <w:webHidden/>
              </w:rPr>
              <w:fldChar w:fldCharType="separate"/>
            </w:r>
            <w:r w:rsidR="00493733">
              <w:rPr>
                <w:noProof/>
                <w:webHidden/>
              </w:rPr>
              <w:t>107</w:t>
            </w:r>
            <w:r>
              <w:rPr>
                <w:noProof/>
                <w:webHidden/>
              </w:rPr>
              <w:fldChar w:fldCharType="end"/>
            </w:r>
          </w:hyperlink>
        </w:p>
        <w:p w14:paraId="6625607F" w14:textId="6330C3D9" w:rsidR="007E3004" w:rsidRDefault="007E3004">
          <w:pPr>
            <w:pStyle w:val="TOC2"/>
            <w:rPr>
              <w:rFonts w:asciiTheme="minorHAnsi" w:hAnsiTheme="minorHAnsi"/>
              <w:kern w:val="2"/>
              <w:sz w:val="24"/>
              <w:szCs w:val="24"/>
              <w:lang w:bidi="ar-SA"/>
              <w14:ligatures w14:val="standardContextual"/>
            </w:rPr>
          </w:pPr>
          <w:hyperlink w:anchor="_Toc238867352" w:history="1">
            <w:r w:rsidRPr="0090244A">
              <w:rPr>
                <w:rStyle w:val="Hyperlink"/>
              </w:rPr>
              <w:t>Trading Houses</w:t>
            </w:r>
            <w:r>
              <w:rPr>
                <w:webHidden/>
              </w:rPr>
              <w:tab/>
            </w:r>
            <w:r>
              <w:rPr>
                <w:webHidden/>
              </w:rPr>
              <w:fldChar w:fldCharType="begin"/>
            </w:r>
            <w:r>
              <w:rPr>
                <w:webHidden/>
              </w:rPr>
              <w:instrText xml:space="preserve"> PAGEREF _Toc238867352 \h </w:instrText>
            </w:r>
            <w:r>
              <w:rPr>
                <w:webHidden/>
              </w:rPr>
            </w:r>
            <w:r>
              <w:rPr>
                <w:webHidden/>
              </w:rPr>
              <w:fldChar w:fldCharType="separate"/>
            </w:r>
            <w:r w:rsidR="00493733">
              <w:rPr>
                <w:webHidden/>
              </w:rPr>
              <w:t>108</w:t>
            </w:r>
            <w:r>
              <w:rPr>
                <w:webHidden/>
              </w:rPr>
              <w:fldChar w:fldCharType="end"/>
            </w:r>
          </w:hyperlink>
        </w:p>
        <w:p w14:paraId="42F3C2E0" w14:textId="180ED40B" w:rsidR="007E3004" w:rsidRDefault="007E3004">
          <w:pPr>
            <w:pStyle w:val="TOC3"/>
            <w:rPr>
              <w:rFonts w:asciiTheme="minorHAnsi" w:hAnsiTheme="minorHAnsi"/>
              <w:noProof/>
              <w:kern w:val="2"/>
              <w:sz w:val="24"/>
              <w:szCs w:val="24"/>
              <w:lang w:bidi="ar-SA"/>
              <w14:ligatures w14:val="standardContextual"/>
            </w:rPr>
          </w:pPr>
          <w:hyperlink w:anchor="_Toc238867353" w:history="1">
            <w:r w:rsidRPr="0090244A">
              <w:rPr>
                <w:rStyle w:val="Hyperlink"/>
                <w:noProof/>
              </w:rPr>
              <w:t>Houses as Commodities</w:t>
            </w:r>
            <w:r>
              <w:rPr>
                <w:noProof/>
                <w:webHidden/>
              </w:rPr>
              <w:tab/>
            </w:r>
            <w:r>
              <w:rPr>
                <w:noProof/>
                <w:webHidden/>
              </w:rPr>
              <w:fldChar w:fldCharType="begin"/>
            </w:r>
            <w:r>
              <w:rPr>
                <w:noProof/>
                <w:webHidden/>
              </w:rPr>
              <w:instrText xml:space="preserve"> PAGEREF _Toc238867353 \h </w:instrText>
            </w:r>
            <w:r>
              <w:rPr>
                <w:noProof/>
                <w:webHidden/>
              </w:rPr>
            </w:r>
            <w:r>
              <w:rPr>
                <w:noProof/>
                <w:webHidden/>
              </w:rPr>
              <w:fldChar w:fldCharType="separate"/>
            </w:r>
            <w:r w:rsidR="00493733">
              <w:rPr>
                <w:noProof/>
                <w:webHidden/>
              </w:rPr>
              <w:t>110</w:t>
            </w:r>
            <w:r>
              <w:rPr>
                <w:noProof/>
                <w:webHidden/>
              </w:rPr>
              <w:fldChar w:fldCharType="end"/>
            </w:r>
          </w:hyperlink>
        </w:p>
        <w:p w14:paraId="1C87E3F1" w14:textId="139C9228" w:rsidR="007E3004" w:rsidRDefault="007E3004">
          <w:pPr>
            <w:pStyle w:val="TOC3"/>
            <w:rPr>
              <w:rFonts w:asciiTheme="minorHAnsi" w:hAnsiTheme="minorHAnsi"/>
              <w:noProof/>
              <w:kern w:val="2"/>
              <w:sz w:val="24"/>
              <w:szCs w:val="24"/>
              <w:lang w:bidi="ar-SA"/>
              <w14:ligatures w14:val="standardContextual"/>
            </w:rPr>
          </w:pPr>
          <w:hyperlink w:anchor="_Toc238867354" w:history="1">
            <w:r w:rsidRPr="0090244A">
              <w:rPr>
                <w:rStyle w:val="Hyperlink"/>
                <w:noProof/>
              </w:rPr>
              <w:t>Mortgages as Options</w:t>
            </w:r>
            <w:r>
              <w:rPr>
                <w:noProof/>
                <w:webHidden/>
              </w:rPr>
              <w:tab/>
            </w:r>
            <w:r>
              <w:rPr>
                <w:noProof/>
                <w:webHidden/>
              </w:rPr>
              <w:fldChar w:fldCharType="begin"/>
            </w:r>
            <w:r>
              <w:rPr>
                <w:noProof/>
                <w:webHidden/>
              </w:rPr>
              <w:instrText xml:space="preserve"> PAGEREF _Toc238867354 \h </w:instrText>
            </w:r>
            <w:r>
              <w:rPr>
                <w:noProof/>
                <w:webHidden/>
              </w:rPr>
            </w:r>
            <w:r>
              <w:rPr>
                <w:noProof/>
                <w:webHidden/>
              </w:rPr>
              <w:fldChar w:fldCharType="separate"/>
            </w:r>
            <w:r w:rsidR="00493733">
              <w:rPr>
                <w:noProof/>
                <w:webHidden/>
              </w:rPr>
              <w:t>111</w:t>
            </w:r>
            <w:r>
              <w:rPr>
                <w:noProof/>
                <w:webHidden/>
              </w:rPr>
              <w:fldChar w:fldCharType="end"/>
            </w:r>
          </w:hyperlink>
        </w:p>
        <w:p w14:paraId="244062DA" w14:textId="24A2F764" w:rsidR="007E3004" w:rsidRDefault="007E3004">
          <w:pPr>
            <w:pStyle w:val="TOC2"/>
            <w:rPr>
              <w:rFonts w:asciiTheme="minorHAnsi" w:hAnsiTheme="minorHAnsi"/>
              <w:kern w:val="2"/>
              <w:sz w:val="24"/>
              <w:szCs w:val="24"/>
              <w:lang w:bidi="ar-SA"/>
              <w14:ligatures w14:val="standardContextual"/>
            </w:rPr>
          </w:pPr>
          <w:hyperlink w:anchor="_Toc238867355" w:history="1">
            <w:r w:rsidRPr="0090244A">
              <w:rPr>
                <w:rStyle w:val="Hyperlink"/>
              </w:rPr>
              <w:t>The Stages of Grief</w:t>
            </w:r>
            <w:r>
              <w:rPr>
                <w:webHidden/>
              </w:rPr>
              <w:tab/>
            </w:r>
            <w:r>
              <w:rPr>
                <w:webHidden/>
              </w:rPr>
              <w:fldChar w:fldCharType="begin"/>
            </w:r>
            <w:r>
              <w:rPr>
                <w:webHidden/>
              </w:rPr>
              <w:instrText xml:space="preserve"> PAGEREF _Toc238867355 \h </w:instrText>
            </w:r>
            <w:r>
              <w:rPr>
                <w:webHidden/>
              </w:rPr>
            </w:r>
            <w:r>
              <w:rPr>
                <w:webHidden/>
              </w:rPr>
              <w:fldChar w:fldCharType="separate"/>
            </w:r>
            <w:r w:rsidR="00493733">
              <w:rPr>
                <w:webHidden/>
              </w:rPr>
              <w:t>112</w:t>
            </w:r>
            <w:r>
              <w:rPr>
                <w:webHidden/>
              </w:rPr>
              <w:fldChar w:fldCharType="end"/>
            </w:r>
          </w:hyperlink>
        </w:p>
        <w:p w14:paraId="551D17EA" w14:textId="6EA86550" w:rsidR="007E3004" w:rsidRDefault="007E3004">
          <w:pPr>
            <w:pStyle w:val="TOC2"/>
            <w:rPr>
              <w:rFonts w:asciiTheme="minorHAnsi" w:hAnsiTheme="minorHAnsi"/>
              <w:kern w:val="2"/>
              <w:sz w:val="24"/>
              <w:szCs w:val="24"/>
              <w:lang w:bidi="ar-SA"/>
              <w14:ligatures w14:val="standardContextual"/>
            </w:rPr>
          </w:pPr>
          <w:hyperlink w:anchor="_Toc238867356" w:history="1">
            <w:r w:rsidRPr="0090244A">
              <w:rPr>
                <w:rStyle w:val="Hyperlink"/>
              </w:rPr>
              <w:t>Efficient Markets Theory</w:t>
            </w:r>
            <w:r>
              <w:rPr>
                <w:webHidden/>
              </w:rPr>
              <w:tab/>
            </w:r>
            <w:r>
              <w:rPr>
                <w:webHidden/>
              </w:rPr>
              <w:fldChar w:fldCharType="begin"/>
            </w:r>
            <w:r>
              <w:rPr>
                <w:webHidden/>
              </w:rPr>
              <w:instrText xml:space="preserve"> PAGEREF _Toc238867356 \h </w:instrText>
            </w:r>
            <w:r>
              <w:rPr>
                <w:webHidden/>
              </w:rPr>
            </w:r>
            <w:r>
              <w:rPr>
                <w:webHidden/>
              </w:rPr>
              <w:fldChar w:fldCharType="separate"/>
            </w:r>
            <w:r w:rsidR="00493733">
              <w:rPr>
                <w:webHidden/>
              </w:rPr>
              <w:t>113</w:t>
            </w:r>
            <w:r>
              <w:rPr>
                <w:webHidden/>
              </w:rPr>
              <w:fldChar w:fldCharType="end"/>
            </w:r>
          </w:hyperlink>
        </w:p>
        <w:p w14:paraId="582B5A3A" w14:textId="38AF3662" w:rsidR="007E3004" w:rsidRDefault="007E3004">
          <w:pPr>
            <w:pStyle w:val="TOC2"/>
            <w:rPr>
              <w:rFonts w:asciiTheme="minorHAnsi" w:hAnsiTheme="minorHAnsi"/>
              <w:kern w:val="2"/>
              <w:sz w:val="24"/>
              <w:szCs w:val="24"/>
              <w:lang w:bidi="ar-SA"/>
              <w14:ligatures w14:val="standardContextual"/>
            </w:rPr>
          </w:pPr>
          <w:hyperlink w:anchor="_Toc238867357" w:history="1">
            <w:r w:rsidRPr="0090244A">
              <w:rPr>
                <w:rStyle w:val="Hyperlink"/>
              </w:rPr>
              <w:t>Behavioral Finance Theory</w:t>
            </w:r>
            <w:r>
              <w:rPr>
                <w:webHidden/>
              </w:rPr>
              <w:tab/>
            </w:r>
            <w:r>
              <w:rPr>
                <w:webHidden/>
              </w:rPr>
              <w:fldChar w:fldCharType="begin"/>
            </w:r>
            <w:r>
              <w:rPr>
                <w:webHidden/>
              </w:rPr>
              <w:instrText xml:space="preserve"> PAGEREF _Toc238867357 \h </w:instrText>
            </w:r>
            <w:r>
              <w:rPr>
                <w:webHidden/>
              </w:rPr>
            </w:r>
            <w:r>
              <w:rPr>
                <w:webHidden/>
              </w:rPr>
              <w:fldChar w:fldCharType="separate"/>
            </w:r>
            <w:r w:rsidR="00493733">
              <w:rPr>
                <w:webHidden/>
              </w:rPr>
              <w:t>114</w:t>
            </w:r>
            <w:r>
              <w:rPr>
                <w:webHidden/>
              </w:rPr>
              <w:fldChar w:fldCharType="end"/>
            </w:r>
          </w:hyperlink>
        </w:p>
        <w:p w14:paraId="12314455" w14:textId="2DBC3011" w:rsidR="007E3004" w:rsidRDefault="007E3004">
          <w:pPr>
            <w:pStyle w:val="TOC2"/>
            <w:rPr>
              <w:rFonts w:asciiTheme="minorHAnsi" w:hAnsiTheme="minorHAnsi"/>
              <w:kern w:val="2"/>
              <w:sz w:val="24"/>
              <w:szCs w:val="24"/>
              <w:lang w:bidi="ar-SA"/>
              <w14:ligatures w14:val="standardContextual"/>
            </w:rPr>
          </w:pPr>
          <w:hyperlink w:anchor="_Toc238867358" w:history="1">
            <w:r w:rsidRPr="0090244A">
              <w:rPr>
                <w:rStyle w:val="Hyperlink"/>
              </w:rPr>
              <w:t>Psychological Stages of a Bubble</w:t>
            </w:r>
            <w:r>
              <w:rPr>
                <w:webHidden/>
              </w:rPr>
              <w:tab/>
            </w:r>
            <w:r>
              <w:rPr>
                <w:webHidden/>
              </w:rPr>
              <w:fldChar w:fldCharType="begin"/>
            </w:r>
            <w:r>
              <w:rPr>
                <w:webHidden/>
              </w:rPr>
              <w:instrText xml:space="preserve"> PAGEREF _Toc238867358 \h </w:instrText>
            </w:r>
            <w:r>
              <w:rPr>
                <w:webHidden/>
              </w:rPr>
            </w:r>
            <w:r>
              <w:rPr>
                <w:webHidden/>
              </w:rPr>
              <w:fldChar w:fldCharType="separate"/>
            </w:r>
            <w:r w:rsidR="00493733">
              <w:rPr>
                <w:webHidden/>
              </w:rPr>
              <w:t>115</w:t>
            </w:r>
            <w:r>
              <w:rPr>
                <w:webHidden/>
              </w:rPr>
              <w:fldChar w:fldCharType="end"/>
            </w:r>
          </w:hyperlink>
        </w:p>
        <w:p w14:paraId="07171B84" w14:textId="5C3B3FD4" w:rsidR="007E3004" w:rsidRDefault="007E3004">
          <w:pPr>
            <w:pStyle w:val="TOC3"/>
            <w:rPr>
              <w:rFonts w:asciiTheme="minorHAnsi" w:hAnsiTheme="minorHAnsi"/>
              <w:noProof/>
              <w:kern w:val="2"/>
              <w:sz w:val="24"/>
              <w:szCs w:val="24"/>
              <w:lang w:bidi="ar-SA"/>
              <w14:ligatures w14:val="standardContextual"/>
            </w:rPr>
          </w:pPr>
          <w:hyperlink w:anchor="_Toc238867359" w:history="1">
            <w:r w:rsidRPr="0090244A">
              <w:rPr>
                <w:rStyle w:val="Hyperlink"/>
                <w:noProof/>
              </w:rPr>
              <w:t>Precipitating Factor</w:t>
            </w:r>
            <w:r>
              <w:rPr>
                <w:noProof/>
                <w:webHidden/>
              </w:rPr>
              <w:tab/>
            </w:r>
            <w:r>
              <w:rPr>
                <w:noProof/>
                <w:webHidden/>
              </w:rPr>
              <w:fldChar w:fldCharType="begin"/>
            </w:r>
            <w:r>
              <w:rPr>
                <w:noProof/>
                <w:webHidden/>
              </w:rPr>
              <w:instrText xml:space="preserve"> PAGEREF _Toc238867359 \h </w:instrText>
            </w:r>
            <w:r>
              <w:rPr>
                <w:noProof/>
                <w:webHidden/>
              </w:rPr>
            </w:r>
            <w:r>
              <w:rPr>
                <w:noProof/>
                <w:webHidden/>
              </w:rPr>
              <w:fldChar w:fldCharType="separate"/>
            </w:r>
            <w:r w:rsidR="00493733">
              <w:rPr>
                <w:noProof/>
                <w:webHidden/>
              </w:rPr>
              <w:t>115</w:t>
            </w:r>
            <w:r>
              <w:rPr>
                <w:noProof/>
                <w:webHidden/>
              </w:rPr>
              <w:fldChar w:fldCharType="end"/>
            </w:r>
          </w:hyperlink>
        </w:p>
        <w:p w14:paraId="1C8757FE" w14:textId="455403E8" w:rsidR="007E3004" w:rsidRDefault="007E3004">
          <w:pPr>
            <w:pStyle w:val="TOC3"/>
            <w:rPr>
              <w:rFonts w:asciiTheme="minorHAnsi" w:hAnsiTheme="minorHAnsi"/>
              <w:noProof/>
              <w:kern w:val="2"/>
              <w:sz w:val="24"/>
              <w:szCs w:val="24"/>
              <w:lang w:bidi="ar-SA"/>
              <w14:ligatures w14:val="standardContextual"/>
            </w:rPr>
          </w:pPr>
          <w:hyperlink w:anchor="_Toc238867360" w:history="1">
            <w:r w:rsidRPr="0090244A">
              <w:rPr>
                <w:rStyle w:val="Hyperlink"/>
                <w:noProof/>
              </w:rPr>
              <w:t>Enthusiasm Stage</w:t>
            </w:r>
            <w:r>
              <w:rPr>
                <w:noProof/>
                <w:webHidden/>
              </w:rPr>
              <w:tab/>
            </w:r>
            <w:r>
              <w:rPr>
                <w:noProof/>
                <w:webHidden/>
              </w:rPr>
              <w:fldChar w:fldCharType="begin"/>
            </w:r>
            <w:r>
              <w:rPr>
                <w:noProof/>
                <w:webHidden/>
              </w:rPr>
              <w:instrText xml:space="preserve"> PAGEREF _Toc238867360 \h </w:instrText>
            </w:r>
            <w:r>
              <w:rPr>
                <w:noProof/>
                <w:webHidden/>
              </w:rPr>
            </w:r>
            <w:r>
              <w:rPr>
                <w:noProof/>
                <w:webHidden/>
              </w:rPr>
              <w:fldChar w:fldCharType="separate"/>
            </w:r>
            <w:r w:rsidR="00493733">
              <w:rPr>
                <w:noProof/>
                <w:webHidden/>
              </w:rPr>
              <w:t>116</w:t>
            </w:r>
            <w:r>
              <w:rPr>
                <w:noProof/>
                <w:webHidden/>
              </w:rPr>
              <w:fldChar w:fldCharType="end"/>
            </w:r>
          </w:hyperlink>
        </w:p>
        <w:p w14:paraId="0F47783A" w14:textId="41A87949" w:rsidR="007E3004" w:rsidRDefault="007E3004">
          <w:pPr>
            <w:pStyle w:val="TOC3"/>
            <w:rPr>
              <w:rFonts w:asciiTheme="minorHAnsi" w:hAnsiTheme="minorHAnsi"/>
              <w:noProof/>
              <w:kern w:val="2"/>
              <w:sz w:val="24"/>
              <w:szCs w:val="24"/>
              <w:lang w:bidi="ar-SA"/>
              <w14:ligatures w14:val="standardContextual"/>
            </w:rPr>
          </w:pPr>
          <w:hyperlink w:anchor="_Toc238867361" w:history="1">
            <w:r w:rsidRPr="0090244A">
              <w:rPr>
                <w:rStyle w:val="Hyperlink"/>
                <w:noProof/>
              </w:rPr>
              <w:t>Greed Stage</w:t>
            </w:r>
            <w:r>
              <w:rPr>
                <w:noProof/>
                <w:webHidden/>
              </w:rPr>
              <w:tab/>
            </w:r>
            <w:r>
              <w:rPr>
                <w:noProof/>
                <w:webHidden/>
              </w:rPr>
              <w:fldChar w:fldCharType="begin"/>
            </w:r>
            <w:r>
              <w:rPr>
                <w:noProof/>
                <w:webHidden/>
              </w:rPr>
              <w:instrText xml:space="preserve"> PAGEREF _Toc238867361 \h </w:instrText>
            </w:r>
            <w:r>
              <w:rPr>
                <w:noProof/>
                <w:webHidden/>
              </w:rPr>
            </w:r>
            <w:r>
              <w:rPr>
                <w:noProof/>
                <w:webHidden/>
              </w:rPr>
              <w:fldChar w:fldCharType="separate"/>
            </w:r>
            <w:r w:rsidR="00493733">
              <w:rPr>
                <w:noProof/>
                <w:webHidden/>
              </w:rPr>
              <w:t>117</w:t>
            </w:r>
            <w:r>
              <w:rPr>
                <w:noProof/>
                <w:webHidden/>
              </w:rPr>
              <w:fldChar w:fldCharType="end"/>
            </w:r>
          </w:hyperlink>
        </w:p>
        <w:p w14:paraId="43DC1173" w14:textId="2DA23D43" w:rsidR="007E3004" w:rsidRDefault="007E3004">
          <w:pPr>
            <w:pStyle w:val="TOC3"/>
            <w:rPr>
              <w:rFonts w:asciiTheme="minorHAnsi" w:hAnsiTheme="minorHAnsi"/>
              <w:noProof/>
              <w:kern w:val="2"/>
              <w:sz w:val="24"/>
              <w:szCs w:val="24"/>
              <w:lang w:bidi="ar-SA"/>
              <w14:ligatures w14:val="standardContextual"/>
            </w:rPr>
          </w:pPr>
          <w:hyperlink w:anchor="_Toc238867362" w:history="1">
            <w:r w:rsidRPr="0090244A">
              <w:rPr>
                <w:rStyle w:val="Hyperlink"/>
                <w:noProof/>
              </w:rPr>
              <w:t>Denial Stage</w:t>
            </w:r>
            <w:r>
              <w:rPr>
                <w:noProof/>
                <w:webHidden/>
              </w:rPr>
              <w:tab/>
            </w:r>
            <w:r>
              <w:rPr>
                <w:noProof/>
                <w:webHidden/>
              </w:rPr>
              <w:fldChar w:fldCharType="begin"/>
            </w:r>
            <w:r>
              <w:rPr>
                <w:noProof/>
                <w:webHidden/>
              </w:rPr>
              <w:instrText xml:space="preserve"> PAGEREF _Toc238867362 \h </w:instrText>
            </w:r>
            <w:r>
              <w:rPr>
                <w:noProof/>
                <w:webHidden/>
              </w:rPr>
            </w:r>
            <w:r>
              <w:rPr>
                <w:noProof/>
                <w:webHidden/>
              </w:rPr>
              <w:fldChar w:fldCharType="separate"/>
            </w:r>
            <w:r w:rsidR="00493733">
              <w:rPr>
                <w:noProof/>
                <w:webHidden/>
              </w:rPr>
              <w:t>117</w:t>
            </w:r>
            <w:r>
              <w:rPr>
                <w:noProof/>
                <w:webHidden/>
              </w:rPr>
              <w:fldChar w:fldCharType="end"/>
            </w:r>
          </w:hyperlink>
        </w:p>
        <w:p w14:paraId="6C965472" w14:textId="75F53766" w:rsidR="007E3004" w:rsidRDefault="007E3004">
          <w:pPr>
            <w:pStyle w:val="TOC3"/>
            <w:rPr>
              <w:rFonts w:asciiTheme="minorHAnsi" w:hAnsiTheme="minorHAnsi"/>
              <w:noProof/>
              <w:kern w:val="2"/>
              <w:sz w:val="24"/>
              <w:szCs w:val="24"/>
              <w:lang w:bidi="ar-SA"/>
              <w14:ligatures w14:val="standardContextual"/>
            </w:rPr>
          </w:pPr>
          <w:hyperlink w:anchor="_Toc238867363" w:history="1">
            <w:r w:rsidRPr="0090244A">
              <w:rPr>
                <w:rStyle w:val="Hyperlink"/>
                <w:noProof/>
              </w:rPr>
              <w:t>Fear Stage</w:t>
            </w:r>
            <w:r>
              <w:rPr>
                <w:noProof/>
                <w:webHidden/>
              </w:rPr>
              <w:tab/>
            </w:r>
            <w:r>
              <w:rPr>
                <w:noProof/>
                <w:webHidden/>
              </w:rPr>
              <w:fldChar w:fldCharType="begin"/>
            </w:r>
            <w:r>
              <w:rPr>
                <w:noProof/>
                <w:webHidden/>
              </w:rPr>
              <w:instrText xml:space="preserve"> PAGEREF _Toc238867363 \h </w:instrText>
            </w:r>
            <w:r>
              <w:rPr>
                <w:noProof/>
                <w:webHidden/>
              </w:rPr>
            </w:r>
            <w:r>
              <w:rPr>
                <w:noProof/>
                <w:webHidden/>
              </w:rPr>
              <w:fldChar w:fldCharType="separate"/>
            </w:r>
            <w:r w:rsidR="00493733">
              <w:rPr>
                <w:noProof/>
                <w:webHidden/>
              </w:rPr>
              <w:t>118</w:t>
            </w:r>
            <w:r>
              <w:rPr>
                <w:noProof/>
                <w:webHidden/>
              </w:rPr>
              <w:fldChar w:fldCharType="end"/>
            </w:r>
          </w:hyperlink>
        </w:p>
        <w:p w14:paraId="5E329A4A" w14:textId="55510100" w:rsidR="007E3004" w:rsidRDefault="007E3004">
          <w:pPr>
            <w:pStyle w:val="TOC3"/>
            <w:rPr>
              <w:rFonts w:asciiTheme="minorHAnsi" w:hAnsiTheme="minorHAnsi"/>
              <w:noProof/>
              <w:kern w:val="2"/>
              <w:sz w:val="24"/>
              <w:szCs w:val="24"/>
              <w:lang w:bidi="ar-SA"/>
              <w14:ligatures w14:val="standardContextual"/>
            </w:rPr>
          </w:pPr>
          <w:hyperlink w:anchor="_Toc238867364" w:history="1">
            <w:r w:rsidRPr="0090244A">
              <w:rPr>
                <w:rStyle w:val="Hyperlink"/>
                <w:noProof/>
              </w:rPr>
              <w:t>Capitulation Stage</w:t>
            </w:r>
            <w:r>
              <w:rPr>
                <w:noProof/>
                <w:webHidden/>
              </w:rPr>
              <w:tab/>
            </w:r>
            <w:r>
              <w:rPr>
                <w:noProof/>
                <w:webHidden/>
              </w:rPr>
              <w:fldChar w:fldCharType="begin"/>
            </w:r>
            <w:r>
              <w:rPr>
                <w:noProof/>
                <w:webHidden/>
              </w:rPr>
              <w:instrText xml:space="preserve"> PAGEREF _Toc238867364 \h </w:instrText>
            </w:r>
            <w:r>
              <w:rPr>
                <w:noProof/>
                <w:webHidden/>
              </w:rPr>
            </w:r>
            <w:r>
              <w:rPr>
                <w:noProof/>
                <w:webHidden/>
              </w:rPr>
              <w:fldChar w:fldCharType="separate"/>
            </w:r>
            <w:r w:rsidR="00493733">
              <w:rPr>
                <w:noProof/>
                <w:webHidden/>
              </w:rPr>
              <w:t>120</w:t>
            </w:r>
            <w:r>
              <w:rPr>
                <w:noProof/>
                <w:webHidden/>
              </w:rPr>
              <w:fldChar w:fldCharType="end"/>
            </w:r>
          </w:hyperlink>
        </w:p>
        <w:p w14:paraId="5655F2E8" w14:textId="634D2648" w:rsidR="007E3004" w:rsidRDefault="007E3004">
          <w:pPr>
            <w:pStyle w:val="TOC3"/>
            <w:rPr>
              <w:rFonts w:asciiTheme="minorHAnsi" w:hAnsiTheme="minorHAnsi"/>
              <w:noProof/>
              <w:kern w:val="2"/>
              <w:sz w:val="24"/>
              <w:szCs w:val="24"/>
              <w:lang w:bidi="ar-SA"/>
              <w14:ligatures w14:val="standardContextual"/>
            </w:rPr>
          </w:pPr>
          <w:hyperlink w:anchor="_Toc238867365" w:history="1">
            <w:r w:rsidRPr="0090244A">
              <w:rPr>
                <w:rStyle w:val="Hyperlink"/>
                <w:noProof/>
              </w:rPr>
              <w:t>Despair Stage</w:t>
            </w:r>
            <w:r>
              <w:rPr>
                <w:noProof/>
                <w:webHidden/>
              </w:rPr>
              <w:tab/>
            </w:r>
            <w:r>
              <w:rPr>
                <w:noProof/>
                <w:webHidden/>
              </w:rPr>
              <w:fldChar w:fldCharType="begin"/>
            </w:r>
            <w:r>
              <w:rPr>
                <w:noProof/>
                <w:webHidden/>
              </w:rPr>
              <w:instrText xml:space="preserve"> PAGEREF _Toc238867365 \h </w:instrText>
            </w:r>
            <w:r>
              <w:rPr>
                <w:noProof/>
                <w:webHidden/>
              </w:rPr>
            </w:r>
            <w:r>
              <w:rPr>
                <w:noProof/>
                <w:webHidden/>
              </w:rPr>
              <w:fldChar w:fldCharType="separate"/>
            </w:r>
            <w:r w:rsidR="00493733">
              <w:rPr>
                <w:noProof/>
                <w:webHidden/>
              </w:rPr>
              <w:t>120</w:t>
            </w:r>
            <w:r>
              <w:rPr>
                <w:noProof/>
                <w:webHidden/>
              </w:rPr>
              <w:fldChar w:fldCharType="end"/>
            </w:r>
          </w:hyperlink>
        </w:p>
        <w:p w14:paraId="3A5488F2" w14:textId="3C906A51" w:rsidR="007E3004" w:rsidRDefault="007E3004">
          <w:pPr>
            <w:pStyle w:val="TOC2"/>
            <w:rPr>
              <w:rFonts w:asciiTheme="minorHAnsi" w:hAnsiTheme="minorHAnsi"/>
              <w:kern w:val="2"/>
              <w:sz w:val="24"/>
              <w:szCs w:val="24"/>
              <w:lang w:bidi="ar-SA"/>
              <w14:ligatures w14:val="standardContextual"/>
            </w:rPr>
          </w:pPr>
          <w:hyperlink w:anchor="_Toc238867366" w:history="1">
            <w:r w:rsidRPr="0090244A">
              <w:rPr>
                <w:rStyle w:val="Hyperlink"/>
              </w:rPr>
              <w:t>Bubbles as Cultural Pathology</w:t>
            </w:r>
            <w:r>
              <w:rPr>
                <w:webHidden/>
              </w:rPr>
              <w:tab/>
            </w:r>
            <w:r>
              <w:rPr>
                <w:webHidden/>
              </w:rPr>
              <w:fldChar w:fldCharType="begin"/>
            </w:r>
            <w:r>
              <w:rPr>
                <w:webHidden/>
              </w:rPr>
              <w:instrText xml:space="preserve"> PAGEREF _Toc238867366 \h </w:instrText>
            </w:r>
            <w:r>
              <w:rPr>
                <w:webHidden/>
              </w:rPr>
            </w:r>
            <w:r>
              <w:rPr>
                <w:webHidden/>
              </w:rPr>
              <w:fldChar w:fldCharType="separate"/>
            </w:r>
            <w:r w:rsidR="00493733">
              <w:rPr>
                <w:webHidden/>
              </w:rPr>
              <w:t>121</w:t>
            </w:r>
            <w:r>
              <w:rPr>
                <w:webHidden/>
              </w:rPr>
              <w:fldChar w:fldCharType="end"/>
            </w:r>
          </w:hyperlink>
        </w:p>
        <w:p w14:paraId="58167D83" w14:textId="698C4ED0" w:rsidR="007E3004" w:rsidRDefault="007E3004">
          <w:pPr>
            <w:pStyle w:val="TOC3"/>
            <w:rPr>
              <w:rFonts w:asciiTheme="minorHAnsi" w:hAnsiTheme="minorHAnsi"/>
              <w:noProof/>
              <w:kern w:val="2"/>
              <w:sz w:val="24"/>
              <w:szCs w:val="24"/>
              <w:lang w:bidi="ar-SA"/>
              <w14:ligatures w14:val="standardContextual"/>
            </w:rPr>
          </w:pPr>
          <w:hyperlink w:anchor="_Toc238867367" w:history="1">
            <w:r w:rsidRPr="0090244A">
              <w:rPr>
                <w:rStyle w:val="Hyperlink"/>
                <w:noProof/>
              </w:rPr>
              <w:t>Appreciation is Income</w:t>
            </w:r>
            <w:r>
              <w:rPr>
                <w:noProof/>
                <w:webHidden/>
              </w:rPr>
              <w:tab/>
            </w:r>
            <w:r>
              <w:rPr>
                <w:noProof/>
                <w:webHidden/>
              </w:rPr>
              <w:fldChar w:fldCharType="begin"/>
            </w:r>
            <w:r>
              <w:rPr>
                <w:noProof/>
                <w:webHidden/>
              </w:rPr>
              <w:instrText xml:space="preserve"> PAGEREF _Toc238867367 \h </w:instrText>
            </w:r>
            <w:r>
              <w:rPr>
                <w:noProof/>
                <w:webHidden/>
              </w:rPr>
            </w:r>
            <w:r>
              <w:rPr>
                <w:noProof/>
                <w:webHidden/>
              </w:rPr>
              <w:fldChar w:fldCharType="separate"/>
            </w:r>
            <w:r w:rsidR="00493733">
              <w:rPr>
                <w:noProof/>
                <w:webHidden/>
              </w:rPr>
              <w:t>122</w:t>
            </w:r>
            <w:r>
              <w:rPr>
                <w:noProof/>
                <w:webHidden/>
              </w:rPr>
              <w:fldChar w:fldCharType="end"/>
            </w:r>
          </w:hyperlink>
        </w:p>
        <w:p w14:paraId="71D9DD02" w14:textId="2E5CF921" w:rsidR="007E3004" w:rsidRDefault="007E3004">
          <w:pPr>
            <w:pStyle w:val="TOC3"/>
            <w:rPr>
              <w:rFonts w:asciiTheme="minorHAnsi" w:hAnsiTheme="minorHAnsi"/>
              <w:noProof/>
              <w:kern w:val="2"/>
              <w:sz w:val="24"/>
              <w:szCs w:val="24"/>
              <w:lang w:bidi="ar-SA"/>
              <w14:ligatures w14:val="standardContextual"/>
            </w:rPr>
          </w:pPr>
          <w:hyperlink w:anchor="_Toc238867368" w:history="1">
            <w:r w:rsidRPr="0090244A">
              <w:rPr>
                <w:rStyle w:val="Hyperlink"/>
                <w:noProof/>
              </w:rPr>
              <w:t>Credit is Savings</w:t>
            </w:r>
            <w:r>
              <w:rPr>
                <w:noProof/>
                <w:webHidden/>
              </w:rPr>
              <w:tab/>
            </w:r>
            <w:r>
              <w:rPr>
                <w:noProof/>
                <w:webHidden/>
              </w:rPr>
              <w:fldChar w:fldCharType="begin"/>
            </w:r>
            <w:r>
              <w:rPr>
                <w:noProof/>
                <w:webHidden/>
              </w:rPr>
              <w:instrText xml:space="preserve"> PAGEREF _Toc238867368 \h </w:instrText>
            </w:r>
            <w:r>
              <w:rPr>
                <w:noProof/>
                <w:webHidden/>
              </w:rPr>
            </w:r>
            <w:r>
              <w:rPr>
                <w:noProof/>
                <w:webHidden/>
              </w:rPr>
              <w:fldChar w:fldCharType="separate"/>
            </w:r>
            <w:r w:rsidR="00493733">
              <w:rPr>
                <w:noProof/>
                <w:webHidden/>
              </w:rPr>
              <w:t>123</w:t>
            </w:r>
            <w:r>
              <w:rPr>
                <w:noProof/>
                <w:webHidden/>
              </w:rPr>
              <w:fldChar w:fldCharType="end"/>
            </w:r>
          </w:hyperlink>
        </w:p>
        <w:p w14:paraId="4E008E6F" w14:textId="62C5A2C9" w:rsidR="007E3004" w:rsidRDefault="007E3004">
          <w:pPr>
            <w:pStyle w:val="TOC3"/>
            <w:rPr>
              <w:rFonts w:asciiTheme="minorHAnsi" w:hAnsiTheme="minorHAnsi"/>
              <w:noProof/>
              <w:kern w:val="2"/>
              <w:sz w:val="24"/>
              <w:szCs w:val="24"/>
              <w:lang w:bidi="ar-SA"/>
              <w14:ligatures w14:val="standardContextual"/>
            </w:rPr>
          </w:pPr>
          <w:hyperlink w:anchor="_Toc238867369" w:history="1">
            <w:r w:rsidRPr="0090244A">
              <w:rPr>
                <w:rStyle w:val="Hyperlink"/>
                <w:noProof/>
              </w:rPr>
              <w:t>Debt is Wealth</w:t>
            </w:r>
            <w:r>
              <w:rPr>
                <w:noProof/>
                <w:webHidden/>
              </w:rPr>
              <w:tab/>
            </w:r>
            <w:r>
              <w:rPr>
                <w:noProof/>
                <w:webHidden/>
              </w:rPr>
              <w:fldChar w:fldCharType="begin"/>
            </w:r>
            <w:r>
              <w:rPr>
                <w:noProof/>
                <w:webHidden/>
              </w:rPr>
              <w:instrText xml:space="preserve"> PAGEREF _Toc238867369 \h </w:instrText>
            </w:r>
            <w:r>
              <w:rPr>
                <w:noProof/>
                <w:webHidden/>
              </w:rPr>
            </w:r>
            <w:r>
              <w:rPr>
                <w:noProof/>
                <w:webHidden/>
              </w:rPr>
              <w:fldChar w:fldCharType="separate"/>
            </w:r>
            <w:r w:rsidR="00493733">
              <w:rPr>
                <w:noProof/>
                <w:webHidden/>
              </w:rPr>
              <w:t>123</w:t>
            </w:r>
            <w:r>
              <w:rPr>
                <w:noProof/>
                <w:webHidden/>
              </w:rPr>
              <w:fldChar w:fldCharType="end"/>
            </w:r>
          </w:hyperlink>
        </w:p>
        <w:p w14:paraId="06652A25" w14:textId="31EF4A99" w:rsidR="007E3004" w:rsidRDefault="007E3004">
          <w:pPr>
            <w:pStyle w:val="TOC3"/>
            <w:rPr>
              <w:rFonts w:asciiTheme="minorHAnsi" w:hAnsiTheme="minorHAnsi"/>
              <w:noProof/>
              <w:kern w:val="2"/>
              <w:sz w:val="24"/>
              <w:szCs w:val="24"/>
              <w:lang w:bidi="ar-SA"/>
              <w14:ligatures w14:val="standardContextual"/>
            </w:rPr>
          </w:pPr>
          <w:hyperlink w:anchor="_Toc238867370" w:history="1">
            <w:r w:rsidRPr="0090244A">
              <w:rPr>
                <w:rStyle w:val="Hyperlink"/>
                <w:noProof/>
              </w:rPr>
              <w:t>It’s a California Thing</w:t>
            </w:r>
            <w:r>
              <w:rPr>
                <w:noProof/>
                <w:webHidden/>
              </w:rPr>
              <w:tab/>
            </w:r>
            <w:r>
              <w:rPr>
                <w:noProof/>
                <w:webHidden/>
              </w:rPr>
              <w:fldChar w:fldCharType="begin"/>
            </w:r>
            <w:r>
              <w:rPr>
                <w:noProof/>
                <w:webHidden/>
              </w:rPr>
              <w:instrText xml:space="preserve"> PAGEREF _Toc238867370 \h </w:instrText>
            </w:r>
            <w:r>
              <w:rPr>
                <w:noProof/>
                <w:webHidden/>
              </w:rPr>
            </w:r>
            <w:r>
              <w:rPr>
                <w:noProof/>
                <w:webHidden/>
              </w:rPr>
              <w:fldChar w:fldCharType="separate"/>
            </w:r>
            <w:r w:rsidR="00493733">
              <w:rPr>
                <w:noProof/>
                <w:webHidden/>
              </w:rPr>
              <w:t>123</w:t>
            </w:r>
            <w:r>
              <w:rPr>
                <w:noProof/>
                <w:webHidden/>
              </w:rPr>
              <w:fldChar w:fldCharType="end"/>
            </w:r>
          </w:hyperlink>
        </w:p>
        <w:p w14:paraId="720E7D8B" w14:textId="5ACA8A2C" w:rsidR="007E3004" w:rsidRDefault="007E3004">
          <w:pPr>
            <w:pStyle w:val="TOC3"/>
            <w:rPr>
              <w:rFonts w:asciiTheme="minorHAnsi" w:hAnsiTheme="minorHAnsi"/>
              <w:noProof/>
              <w:kern w:val="2"/>
              <w:sz w:val="24"/>
              <w:szCs w:val="24"/>
              <w:lang w:bidi="ar-SA"/>
              <w14:ligatures w14:val="standardContextual"/>
            </w:rPr>
          </w:pPr>
          <w:hyperlink w:anchor="_Toc238867371" w:history="1">
            <w:r w:rsidRPr="0090244A">
              <w:rPr>
                <w:rStyle w:val="Hyperlink"/>
                <w:noProof/>
              </w:rPr>
              <w:t>The California Social Contract</w:t>
            </w:r>
            <w:r>
              <w:rPr>
                <w:noProof/>
                <w:webHidden/>
              </w:rPr>
              <w:tab/>
            </w:r>
            <w:r>
              <w:rPr>
                <w:noProof/>
                <w:webHidden/>
              </w:rPr>
              <w:fldChar w:fldCharType="begin"/>
            </w:r>
            <w:r>
              <w:rPr>
                <w:noProof/>
                <w:webHidden/>
              </w:rPr>
              <w:instrText xml:space="preserve"> PAGEREF _Toc238867371 \h </w:instrText>
            </w:r>
            <w:r>
              <w:rPr>
                <w:noProof/>
                <w:webHidden/>
              </w:rPr>
            </w:r>
            <w:r>
              <w:rPr>
                <w:noProof/>
                <w:webHidden/>
              </w:rPr>
              <w:fldChar w:fldCharType="separate"/>
            </w:r>
            <w:r w:rsidR="00493733">
              <w:rPr>
                <w:noProof/>
                <w:webHidden/>
              </w:rPr>
              <w:t>124</w:t>
            </w:r>
            <w:r>
              <w:rPr>
                <w:noProof/>
                <w:webHidden/>
              </w:rPr>
              <w:fldChar w:fldCharType="end"/>
            </w:r>
          </w:hyperlink>
        </w:p>
        <w:p w14:paraId="30F32EDD" w14:textId="1DFB9405" w:rsidR="007E3004" w:rsidRDefault="007E3004">
          <w:pPr>
            <w:pStyle w:val="TOC2"/>
            <w:rPr>
              <w:rFonts w:asciiTheme="minorHAnsi" w:hAnsiTheme="minorHAnsi"/>
              <w:kern w:val="2"/>
              <w:sz w:val="24"/>
              <w:szCs w:val="24"/>
              <w:lang w:bidi="ar-SA"/>
              <w14:ligatures w14:val="standardContextual"/>
            </w:rPr>
          </w:pPr>
          <w:hyperlink w:anchor="_Toc238867372" w:history="1">
            <w:r w:rsidRPr="0090244A">
              <w:rPr>
                <w:rStyle w:val="Hyperlink"/>
              </w:rPr>
              <w:t>Bailouts and False Hopes</w:t>
            </w:r>
            <w:r>
              <w:rPr>
                <w:webHidden/>
              </w:rPr>
              <w:tab/>
            </w:r>
            <w:r>
              <w:rPr>
                <w:webHidden/>
              </w:rPr>
              <w:fldChar w:fldCharType="begin"/>
            </w:r>
            <w:r>
              <w:rPr>
                <w:webHidden/>
              </w:rPr>
              <w:instrText xml:space="preserve"> PAGEREF _Toc238867372 \h </w:instrText>
            </w:r>
            <w:r>
              <w:rPr>
                <w:webHidden/>
              </w:rPr>
            </w:r>
            <w:r>
              <w:rPr>
                <w:webHidden/>
              </w:rPr>
              <w:fldChar w:fldCharType="separate"/>
            </w:r>
            <w:r w:rsidR="00493733">
              <w:rPr>
                <w:webHidden/>
              </w:rPr>
              <w:t>126</w:t>
            </w:r>
            <w:r>
              <w:rPr>
                <w:webHidden/>
              </w:rPr>
              <w:fldChar w:fldCharType="end"/>
            </w:r>
          </w:hyperlink>
        </w:p>
        <w:p w14:paraId="7C59A761" w14:textId="24A67E14" w:rsidR="007E3004" w:rsidRDefault="007E3004">
          <w:pPr>
            <w:pStyle w:val="TOC3"/>
            <w:rPr>
              <w:rFonts w:asciiTheme="minorHAnsi" w:hAnsiTheme="minorHAnsi"/>
              <w:noProof/>
              <w:kern w:val="2"/>
              <w:sz w:val="24"/>
              <w:szCs w:val="24"/>
              <w:lang w:bidi="ar-SA"/>
              <w14:ligatures w14:val="standardContextual"/>
            </w:rPr>
          </w:pPr>
          <w:hyperlink w:anchor="_Toc238867373" w:history="1">
            <w:r w:rsidRPr="0090244A">
              <w:rPr>
                <w:rStyle w:val="Hyperlink"/>
                <w:noProof/>
              </w:rPr>
              <w:t>Hope Now?</w:t>
            </w:r>
            <w:r>
              <w:rPr>
                <w:noProof/>
                <w:webHidden/>
              </w:rPr>
              <w:tab/>
            </w:r>
            <w:r>
              <w:rPr>
                <w:noProof/>
                <w:webHidden/>
              </w:rPr>
              <w:fldChar w:fldCharType="begin"/>
            </w:r>
            <w:r>
              <w:rPr>
                <w:noProof/>
                <w:webHidden/>
              </w:rPr>
              <w:instrText xml:space="preserve"> PAGEREF _Toc238867373 \h </w:instrText>
            </w:r>
            <w:r>
              <w:rPr>
                <w:noProof/>
                <w:webHidden/>
              </w:rPr>
            </w:r>
            <w:r>
              <w:rPr>
                <w:noProof/>
                <w:webHidden/>
              </w:rPr>
              <w:fldChar w:fldCharType="separate"/>
            </w:r>
            <w:r w:rsidR="00493733">
              <w:rPr>
                <w:noProof/>
                <w:webHidden/>
              </w:rPr>
              <w:t>127</w:t>
            </w:r>
            <w:r>
              <w:rPr>
                <w:noProof/>
                <w:webHidden/>
              </w:rPr>
              <w:fldChar w:fldCharType="end"/>
            </w:r>
          </w:hyperlink>
        </w:p>
        <w:p w14:paraId="16771EF0" w14:textId="7B521CCD" w:rsidR="007E3004" w:rsidRDefault="007E3004">
          <w:pPr>
            <w:pStyle w:val="TOC3"/>
            <w:rPr>
              <w:rFonts w:asciiTheme="minorHAnsi" w:hAnsiTheme="minorHAnsi"/>
              <w:noProof/>
              <w:kern w:val="2"/>
              <w:sz w:val="24"/>
              <w:szCs w:val="24"/>
              <w:lang w:bidi="ar-SA"/>
              <w14:ligatures w14:val="standardContextual"/>
            </w:rPr>
          </w:pPr>
          <w:hyperlink w:anchor="_Toc238867374" w:history="1">
            <w:r w:rsidRPr="0090244A">
              <w:rPr>
                <w:rStyle w:val="Hyperlink"/>
                <w:noProof/>
              </w:rPr>
              <w:t>Forgiveness of Debt</w:t>
            </w:r>
            <w:r>
              <w:rPr>
                <w:noProof/>
                <w:webHidden/>
              </w:rPr>
              <w:tab/>
            </w:r>
            <w:r>
              <w:rPr>
                <w:noProof/>
                <w:webHidden/>
              </w:rPr>
              <w:fldChar w:fldCharType="begin"/>
            </w:r>
            <w:r>
              <w:rPr>
                <w:noProof/>
                <w:webHidden/>
              </w:rPr>
              <w:instrText xml:space="preserve"> PAGEREF _Toc238867374 \h </w:instrText>
            </w:r>
            <w:r>
              <w:rPr>
                <w:noProof/>
                <w:webHidden/>
              </w:rPr>
            </w:r>
            <w:r>
              <w:rPr>
                <w:noProof/>
                <w:webHidden/>
              </w:rPr>
              <w:fldChar w:fldCharType="separate"/>
            </w:r>
            <w:r w:rsidR="00493733">
              <w:rPr>
                <w:noProof/>
                <w:webHidden/>
              </w:rPr>
              <w:t>128</w:t>
            </w:r>
            <w:r>
              <w:rPr>
                <w:noProof/>
                <w:webHidden/>
              </w:rPr>
              <w:fldChar w:fldCharType="end"/>
            </w:r>
          </w:hyperlink>
        </w:p>
        <w:p w14:paraId="72EAA9D6" w14:textId="4AB0D2B9" w:rsidR="007E3004" w:rsidRDefault="007E3004">
          <w:pPr>
            <w:pStyle w:val="TOC3"/>
            <w:rPr>
              <w:rFonts w:asciiTheme="minorHAnsi" w:hAnsiTheme="minorHAnsi"/>
              <w:noProof/>
              <w:kern w:val="2"/>
              <w:sz w:val="24"/>
              <w:szCs w:val="24"/>
              <w:lang w:bidi="ar-SA"/>
              <w14:ligatures w14:val="standardContextual"/>
            </w:rPr>
          </w:pPr>
          <w:hyperlink w:anchor="_Toc238867375" w:history="1">
            <w:r w:rsidRPr="0090244A">
              <w:rPr>
                <w:rStyle w:val="Hyperlink"/>
                <w:noProof/>
              </w:rPr>
              <w:t>Housing and Economic Recovery Act of 2008</w:t>
            </w:r>
            <w:r>
              <w:rPr>
                <w:noProof/>
                <w:webHidden/>
              </w:rPr>
              <w:tab/>
            </w:r>
            <w:r>
              <w:rPr>
                <w:noProof/>
                <w:webHidden/>
              </w:rPr>
              <w:fldChar w:fldCharType="begin"/>
            </w:r>
            <w:r>
              <w:rPr>
                <w:noProof/>
                <w:webHidden/>
              </w:rPr>
              <w:instrText xml:space="preserve"> PAGEREF _Toc238867375 \h </w:instrText>
            </w:r>
            <w:r>
              <w:rPr>
                <w:noProof/>
                <w:webHidden/>
              </w:rPr>
            </w:r>
            <w:r>
              <w:rPr>
                <w:noProof/>
                <w:webHidden/>
              </w:rPr>
              <w:fldChar w:fldCharType="separate"/>
            </w:r>
            <w:r w:rsidR="00493733">
              <w:rPr>
                <w:noProof/>
                <w:webHidden/>
              </w:rPr>
              <w:t>128</w:t>
            </w:r>
            <w:r>
              <w:rPr>
                <w:noProof/>
                <w:webHidden/>
              </w:rPr>
              <w:fldChar w:fldCharType="end"/>
            </w:r>
          </w:hyperlink>
        </w:p>
        <w:p w14:paraId="2F826FFA" w14:textId="5AF8D87D" w:rsidR="007E3004" w:rsidRDefault="007E3004">
          <w:pPr>
            <w:pStyle w:val="TOC3"/>
            <w:rPr>
              <w:rFonts w:asciiTheme="minorHAnsi" w:hAnsiTheme="minorHAnsi"/>
              <w:noProof/>
              <w:kern w:val="2"/>
              <w:sz w:val="24"/>
              <w:szCs w:val="24"/>
              <w:lang w:bidi="ar-SA"/>
              <w14:ligatures w14:val="standardContextual"/>
            </w:rPr>
          </w:pPr>
          <w:hyperlink w:anchor="_Toc238867376" w:history="1">
            <w:r w:rsidRPr="0090244A">
              <w:rPr>
                <w:rStyle w:val="Hyperlink"/>
                <w:noProof/>
              </w:rPr>
              <w:t>Emergency Economic Stabilization Act of 2008</w:t>
            </w:r>
            <w:r>
              <w:rPr>
                <w:noProof/>
                <w:webHidden/>
              </w:rPr>
              <w:tab/>
            </w:r>
            <w:r>
              <w:rPr>
                <w:noProof/>
                <w:webHidden/>
              </w:rPr>
              <w:fldChar w:fldCharType="begin"/>
            </w:r>
            <w:r>
              <w:rPr>
                <w:noProof/>
                <w:webHidden/>
              </w:rPr>
              <w:instrText xml:space="preserve"> PAGEREF _Toc238867376 \h </w:instrText>
            </w:r>
            <w:r>
              <w:rPr>
                <w:noProof/>
                <w:webHidden/>
              </w:rPr>
            </w:r>
            <w:r>
              <w:rPr>
                <w:noProof/>
                <w:webHidden/>
              </w:rPr>
              <w:fldChar w:fldCharType="separate"/>
            </w:r>
            <w:r w:rsidR="00493733">
              <w:rPr>
                <w:noProof/>
                <w:webHidden/>
              </w:rPr>
              <w:t>129</w:t>
            </w:r>
            <w:r>
              <w:rPr>
                <w:noProof/>
                <w:webHidden/>
              </w:rPr>
              <w:fldChar w:fldCharType="end"/>
            </w:r>
          </w:hyperlink>
        </w:p>
        <w:p w14:paraId="3A0E9F9D" w14:textId="755B8154" w:rsidR="007E3004" w:rsidRDefault="007E3004">
          <w:pPr>
            <w:pStyle w:val="TOC3"/>
            <w:rPr>
              <w:rFonts w:asciiTheme="minorHAnsi" w:hAnsiTheme="minorHAnsi"/>
              <w:noProof/>
              <w:kern w:val="2"/>
              <w:sz w:val="24"/>
              <w:szCs w:val="24"/>
              <w:lang w:bidi="ar-SA"/>
              <w14:ligatures w14:val="standardContextual"/>
            </w:rPr>
          </w:pPr>
          <w:hyperlink w:anchor="_Toc238867377" w:history="1">
            <w:r w:rsidRPr="0090244A">
              <w:rPr>
                <w:rStyle w:val="Hyperlink"/>
                <w:noProof/>
              </w:rPr>
              <w:t>Zero Coupon Notes</w:t>
            </w:r>
            <w:r>
              <w:rPr>
                <w:noProof/>
                <w:webHidden/>
              </w:rPr>
              <w:tab/>
            </w:r>
            <w:r>
              <w:rPr>
                <w:noProof/>
                <w:webHidden/>
              </w:rPr>
              <w:fldChar w:fldCharType="begin"/>
            </w:r>
            <w:r>
              <w:rPr>
                <w:noProof/>
                <w:webHidden/>
              </w:rPr>
              <w:instrText xml:space="preserve"> PAGEREF _Toc238867377 \h </w:instrText>
            </w:r>
            <w:r>
              <w:rPr>
                <w:noProof/>
                <w:webHidden/>
              </w:rPr>
            </w:r>
            <w:r>
              <w:rPr>
                <w:noProof/>
                <w:webHidden/>
              </w:rPr>
              <w:fldChar w:fldCharType="separate"/>
            </w:r>
            <w:r w:rsidR="00493733">
              <w:rPr>
                <w:noProof/>
                <w:webHidden/>
              </w:rPr>
              <w:t>130</w:t>
            </w:r>
            <w:r>
              <w:rPr>
                <w:noProof/>
                <w:webHidden/>
              </w:rPr>
              <w:fldChar w:fldCharType="end"/>
            </w:r>
          </w:hyperlink>
        </w:p>
        <w:p w14:paraId="5E0E230C" w14:textId="31547106" w:rsidR="007E3004" w:rsidRDefault="007E3004">
          <w:pPr>
            <w:pStyle w:val="TOC3"/>
            <w:rPr>
              <w:rFonts w:asciiTheme="minorHAnsi" w:hAnsiTheme="minorHAnsi"/>
              <w:noProof/>
              <w:kern w:val="2"/>
              <w:sz w:val="24"/>
              <w:szCs w:val="24"/>
              <w:lang w:bidi="ar-SA"/>
              <w14:ligatures w14:val="standardContextual"/>
            </w:rPr>
          </w:pPr>
          <w:hyperlink w:anchor="_Toc238867378" w:history="1">
            <w:r w:rsidRPr="0090244A">
              <w:rPr>
                <w:rStyle w:val="Hyperlink"/>
                <w:noProof/>
              </w:rPr>
              <w:t>Let Markets Work</w:t>
            </w:r>
            <w:r>
              <w:rPr>
                <w:noProof/>
                <w:webHidden/>
              </w:rPr>
              <w:tab/>
            </w:r>
            <w:r>
              <w:rPr>
                <w:noProof/>
                <w:webHidden/>
              </w:rPr>
              <w:fldChar w:fldCharType="begin"/>
            </w:r>
            <w:r>
              <w:rPr>
                <w:noProof/>
                <w:webHidden/>
              </w:rPr>
              <w:instrText xml:space="preserve"> PAGEREF _Toc238867378 \h </w:instrText>
            </w:r>
            <w:r>
              <w:rPr>
                <w:noProof/>
                <w:webHidden/>
              </w:rPr>
            </w:r>
            <w:r>
              <w:rPr>
                <w:noProof/>
                <w:webHidden/>
              </w:rPr>
              <w:fldChar w:fldCharType="separate"/>
            </w:r>
            <w:r w:rsidR="00493733">
              <w:rPr>
                <w:noProof/>
                <w:webHidden/>
              </w:rPr>
              <w:t>132</w:t>
            </w:r>
            <w:r>
              <w:rPr>
                <w:noProof/>
                <w:webHidden/>
              </w:rPr>
              <w:fldChar w:fldCharType="end"/>
            </w:r>
          </w:hyperlink>
        </w:p>
        <w:p w14:paraId="5F637B78" w14:textId="59717F91" w:rsidR="007E3004" w:rsidRDefault="007E3004">
          <w:pPr>
            <w:pStyle w:val="TOC2"/>
            <w:rPr>
              <w:rFonts w:asciiTheme="minorHAnsi" w:hAnsiTheme="minorHAnsi"/>
              <w:kern w:val="2"/>
              <w:sz w:val="24"/>
              <w:szCs w:val="24"/>
              <w:lang w:bidi="ar-SA"/>
              <w14:ligatures w14:val="standardContextual"/>
            </w:rPr>
          </w:pPr>
          <w:hyperlink w:anchor="_Toc238867379" w:history="1">
            <w:r w:rsidRPr="0090244A">
              <w:rPr>
                <w:rStyle w:val="Hyperlink"/>
              </w:rPr>
              <w:t>Summary</w:t>
            </w:r>
            <w:r>
              <w:rPr>
                <w:webHidden/>
              </w:rPr>
              <w:tab/>
            </w:r>
            <w:r>
              <w:rPr>
                <w:webHidden/>
              </w:rPr>
              <w:fldChar w:fldCharType="begin"/>
            </w:r>
            <w:r>
              <w:rPr>
                <w:webHidden/>
              </w:rPr>
              <w:instrText xml:space="preserve"> PAGEREF _Toc238867379 \h </w:instrText>
            </w:r>
            <w:r>
              <w:rPr>
                <w:webHidden/>
              </w:rPr>
            </w:r>
            <w:r>
              <w:rPr>
                <w:webHidden/>
              </w:rPr>
              <w:fldChar w:fldCharType="separate"/>
            </w:r>
            <w:r w:rsidR="00493733">
              <w:rPr>
                <w:webHidden/>
              </w:rPr>
              <w:t>133</w:t>
            </w:r>
            <w:r>
              <w:rPr>
                <w:webHidden/>
              </w:rPr>
              <w:fldChar w:fldCharType="end"/>
            </w:r>
          </w:hyperlink>
        </w:p>
        <w:p w14:paraId="06848AF5" w14:textId="616513A5" w:rsidR="007E3004" w:rsidRDefault="007E3004">
          <w:pPr>
            <w:pStyle w:val="TOC1"/>
            <w:rPr>
              <w:rFonts w:asciiTheme="minorHAnsi" w:hAnsiTheme="minorHAnsi"/>
              <w:b w:val="0"/>
              <w:noProof/>
              <w:kern w:val="2"/>
              <w:sz w:val="24"/>
              <w:szCs w:val="24"/>
              <w:lang w:bidi="ar-SA"/>
              <w14:ligatures w14:val="standardContextual"/>
            </w:rPr>
          </w:pPr>
          <w:hyperlink w:anchor="_Toc238867380" w:history="1">
            <w:r w:rsidRPr="0090244A">
              <w:rPr>
                <w:rStyle w:val="Hyperlink"/>
                <w:noProof/>
              </w:rPr>
              <w:t>Future House Prices</w:t>
            </w:r>
            <w:r>
              <w:rPr>
                <w:noProof/>
                <w:webHidden/>
              </w:rPr>
              <w:tab/>
            </w:r>
            <w:r>
              <w:rPr>
                <w:noProof/>
                <w:webHidden/>
              </w:rPr>
              <w:fldChar w:fldCharType="begin"/>
            </w:r>
            <w:r>
              <w:rPr>
                <w:noProof/>
                <w:webHidden/>
              </w:rPr>
              <w:instrText xml:space="preserve"> PAGEREF _Toc238867380 \h </w:instrText>
            </w:r>
            <w:r>
              <w:rPr>
                <w:noProof/>
                <w:webHidden/>
              </w:rPr>
            </w:r>
            <w:r>
              <w:rPr>
                <w:noProof/>
                <w:webHidden/>
              </w:rPr>
              <w:fldChar w:fldCharType="separate"/>
            </w:r>
            <w:r w:rsidR="00493733">
              <w:rPr>
                <w:noProof/>
                <w:webHidden/>
              </w:rPr>
              <w:t>135</w:t>
            </w:r>
            <w:r>
              <w:rPr>
                <w:noProof/>
                <w:webHidden/>
              </w:rPr>
              <w:fldChar w:fldCharType="end"/>
            </w:r>
          </w:hyperlink>
        </w:p>
        <w:p w14:paraId="25D37CBF" w14:textId="5375B4C1" w:rsidR="007E3004" w:rsidRDefault="007E3004">
          <w:pPr>
            <w:pStyle w:val="TOC2"/>
            <w:rPr>
              <w:rFonts w:asciiTheme="minorHAnsi" w:hAnsiTheme="minorHAnsi"/>
              <w:kern w:val="2"/>
              <w:sz w:val="24"/>
              <w:szCs w:val="24"/>
              <w:lang w:bidi="ar-SA"/>
              <w14:ligatures w14:val="standardContextual"/>
            </w:rPr>
          </w:pPr>
          <w:hyperlink w:anchor="_Toc238867381" w:history="1">
            <w:r w:rsidRPr="0090244A">
              <w:rPr>
                <w:rStyle w:val="Hyperlink"/>
              </w:rPr>
              <w:t>How Far to Fall</w:t>
            </w:r>
            <w:r>
              <w:rPr>
                <w:webHidden/>
              </w:rPr>
              <w:tab/>
            </w:r>
            <w:r>
              <w:rPr>
                <w:webHidden/>
              </w:rPr>
              <w:fldChar w:fldCharType="begin"/>
            </w:r>
            <w:r>
              <w:rPr>
                <w:webHidden/>
              </w:rPr>
              <w:instrText xml:space="preserve"> PAGEREF _Toc238867381 \h </w:instrText>
            </w:r>
            <w:r>
              <w:rPr>
                <w:webHidden/>
              </w:rPr>
            </w:r>
            <w:r>
              <w:rPr>
                <w:webHidden/>
              </w:rPr>
              <w:fldChar w:fldCharType="separate"/>
            </w:r>
            <w:r w:rsidR="00493733">
              <w:rPr>
                <w:webHidden/>
              </w:rPr>
              <w:t>136</w:t>
            </w:r>
            <w:r>
              <w:rPr>
                <w:webHidden/>
              </w:rPr>
              <w:fldChar w:fldCharType="end"/>
            </w:r>
          </w:hyperlink>
        </w:p>
        <w:p w14:paraId="3D657784" w14:textId="6696BF8D" w:rsidR="007E3004" w:rsidRDefault="007E3004">
          <w:pPr>
            <w:pStyle w:val="TOC3"/>
            <w:rPr>
              <w:rFonts w:asciiTheme="minorHAnsi" w:hAnsiTheme="minorHAnsi"/>
              <w:noProof/>
              <w:kern w:val="2"/>
              <w:sz w:val="24"/>
              <w:szCs w:val="24"/>
              <w:lang w:bidi="ar-SA"/>
              <w14:ligatures w14:val="standardContextual"/>
            </w:rPr>
          </w:pPr>
          <w:hyperlink w:anchor="_Toc238867382" w:history="1">
            <w:r w:rsidRPr="0090244A">
              <w:rPr>
                <w:rStyle w:val="Hyperlink"/>
                <w:noProof/>
              </w:rPr>
              <w:t>Price Action</w:t>
            </w:r>
            <w:r>
              <w:rPr>
                <w:noProof/>
                <w:webHidden/>
              </w:rPr>
              <w:tab/>
            </w:r>
            <w:r>
              <w:rPr>
                <w:noProof/>
                <w:webHidden/>
              </w:rPr>
              <w:fldChar w:fldCharType="begin"/>
            </w:r>
            <w:r>
              <w:rPr>
                <w:noProof/>
                <w:webHidden/>
              </w:rPr>
              <w:instrText xml:space="preserve"> PAGEREF _Toc238867382 \h </w:instrText>
            </w:r>
            <w:r>
              <w:rPr>
                <w:noProof/>
                <w:webHidden/>
              </w:rPr>
            </w:r>
            <w:r>
              <w:rPr>
                <w:noProof/>
                <w:webHidden/>
              </w:rPr>
              <w:fldChar w:fldCharType="separate"/>
            </w:r>
            <w:r w:rsidR="00493733">
              <w:rPr>
                <w:noProof/>
                <w:webHidden/>
              </w:rPr>
              <w:t>137</w:t>
            </w:r>
            <w:r>
              <w:rPr>
                <w:noProof/>
                <w:webHidden/>
              </w:rPr>
              <w:fldChar w:fldCharType="end"/>
            </w:r>
          </w:hyperlink>
        </w:p>
        <w:p w14:paraId="78A6CB68" w14:textId="5D277988" w:rsidR="007E3004" w:rsidRDefault="007E3004">
          <w:pPr>
            <w:pStyle w:val="TOC3"/>
            <w:rPr>
              <w:rFonts w:asciiTheme="minorHAnsi" w:hAnsiTheme="minorHAnsi"/>
              <w:noProof/>
              <w:kern w:val="2"/>
              <w:sz w:val="24"/>
              <w:szCs w:val="24"/>
              <w:lang w:bidi="ar-SA"/>
              <w14:ligatures w14:val="standardContextual"/>
            </w:rPr>
          </w:pPr>
          <w:hyperlink w:anchor="_Toc238867383" w:history="1">
            <w:r w:rsidRPr="0090244A">
              <w:rPr>
                <w:rStyle w:val="Hyperlink"/>
                <w:noProof/>
              </w:rPr>
              <w:t>Price-to-Rent Ratio</w:t>
            </w:r>
            <w:r>
              <w:rPr>
                <w:noProof/>
                <w:webHidden/>
              </w:rPr>
              <w:tab/>
            </w:r>
            <w:r>
              <w:rPr>
                <w:noProof/>
                <w:webHidden/>
              </w:rPr>
              <w:fldChar w:fldCharType="begin"/>
            </w:r>
            <w:r>
              <w:rPr>
                <w:noProof/>
                <w:webHidden/>
              </w:rPr>
              <w:instrText xml:space="preserve"> PAGEREF _Toc238867383 \h </w:instrText>
            </w:r>
            <w:r>
              <w:rPr>
                <w:noProof/>
                <w:webHidden/>
              </w:rPr>
            </w:r>
            <w:r>
              <w:rPr>
                <w:noProof/>
                <w:webHidden/>
              </w:rPr>
              <w:fldChar w:fldCharType="separate"/>
            </w:r>
            <w:r w:rsidR="00493733">
              <w:rPr>
                <w:noProof/>
                <w:webHidden/>
              </w:rPr>
              <w:t>142</w:t>
            </w:r>
            <w:r>
              <w:rPr>
                <w:noProof/>
                <w:webHidden/>
              </w:rPr>
              <w:fldChar w:fldCharType="end"/>
            </w:r>
          </w:hyperlink>
        </w:p>
        <w:p w14:paraId="31D6476C" w14:textId="74F5AA47" w:rsidR="007E3004" w:rsidRDefault="007E3004">
          <w:pPr>
            <w:pStyle w:val="TOC3"/>
            <w:rPr>
              <w:rFonts w:asciiTheme="minorHAnsi" w:hAnsiTheme="minorHAnsi"/>
              <w:noProof/>
              <w:kern w:val="2"/>
              <w:sz w:val="24"/>
              <w:szCs w:val="24"/>
              <w:lang w:bidi="ar-SA"/>
              <w14:ligatures w14:val="standardContextual"/>
            </w:rPr>
          </w:pPr>
          <w:hyperlink w:anchor="_Toc238867384" w:history="1">
            <w:r w:rsidRPr="0090244A">
              <w:rPr>
                <w:rStyle w:val="Hyperlink"/>
                <w:noProof/>
              </w:rPr>
              <w:t>Price-to-Income Ratio</w:t>
            </w:r>
            <w:r>
              <w:rPr>
                <w:noProof/>
                <w:webHidden/>
              </w:rPr>
              <w:tab/>
            </w:r>
            <w:r>
              <w:rPr>
                <w:noProof/>
                <w:webHidden/>
              </w:rPr>
              <w:fldChar w:fldCharType="begin"/>
            </w:r>
            <w:r>
              <w:rPr>
                <w:noProof/>
                <w:webHidden/>
              </w:rPr>
              <w:instrText xml:space="preserve"> PAGEREF _Toc238867384 \h </w:instrText>
            </w:r>
            <w:r>
              <w:rPr>
                <w:noProof/>
                <w:webHidden/>
              </w:rPr>
            </w:r>
            <w:r>
              <w:rPr>
                <w:noProof/>
                <w:webHidden/>
              </w:rPr>
              <w:fldChar w:fldCharType="separate"/>
            </w:r>
            <w:r w:rsidR="00493733">
              <w:rPr>
                <w:noProof/>
                <w:webHidden/>
              </w:rPr>
              <w:t>145</w:t>
            </w:r>
            <w:r>
              <w:rPr>
                <w:noProof/>
                <w:webHidden/>
              </w:rPr>
              <w:fldChar w:fldCharType="end"/>
            </w:r>
          </w:hyperlink>
        </w:p>
        <w:p w14:paraId="047ED0A1" w14:textId="7F0671E1" w:rsidR="007E3004" w:rsidRDefault="007E3004">
          <w:pPr>
            <w:pStyle w:val="TOC3"/>
            <w:rPr>
              <w:rFonts w:asciiTheme="minorHAnsi" w:hAnsiTheme="minorHAnsi"/>
              <w:noProof/>
              <w:kern w:val="2"/>
              <w:sz w:val="24"/>
              <w:szCs w:val="24"/>
              <w:lang w:bidi="ar-SA"/>
              <w14:ligatures w14:val="standardContextual"/>
            </w:rPr>
          </w:pPr>
          <w:hyperlink w:anchor="_Toc238867385" w:history="1">
            <w:r w:rsidRPr="0090244A">
              <w:rPr>
                <w:rStyle w:val="Hyperlink"/>
                <w:noProof/>
              </w:rPr>
              <w:t>Hyperinflation</w:t>
            </w:r>
            <w:r>
              <w:rPr>
                <w:noProof/>
                <w:webHidden/>
              </w:rPr>
              <w:tab/>
            </w:r>
            <w:r>
              <w:rPr>
                <w:noProof/>
                <w:webHidden/>
              </w:rPr>
              <w:fldChar w:fldCharType="begin"/>
            </w:r>
            <w:r>
              <w:rPr>
                <w:noProof/>
                <w:webHidden/>
              </w:rPr>
              <w:instrText xml:space="preserve"> PAGEREF _Toc238867385 \h </w:instrText>
            </w:r>
            <w:r>
              <w:rPr>
                <w:noProof/>
                <w:webHidden/>
              </w:rPr>
            </w:r>
            <w:r>
              <w:rPr>
                <w:noProof/>
                <w:webHidden/>
              </w:rPr>
              <w:fldChar w:fldCharType="separate"/>
            </w:r>
            <w:r w:rsidR="00493733">
              <w:rPr>
                <w:noProof/>
                <w:webHidden/>
              </w:rPr>
              <w:t>148</w:t>
            </w:r>
            <w:r>
              <w:rPr>
                <w:noProof/>
                <w:webHidden/>
              </w:rPr>
              <w:fldChar w:fldCharType="end"/>
            </w:r>
          </w:hyperlink>
        </w:p>
        <w:p w14:paraId="10167487" w14:textId="3676073C" w:rsidR="007E3004" w:rsidRDefault="007E3004">
          <w:pPr>
            <w:pStyle w:val="TOC3"/>
            <w:rPr>
              <w:rFonts w:asciiTheme="minorHAnsi" w:hAnsiTheme="minorHAnsi"/>
              <w:noProof/>
              <w:kern w:val="2"/>
              <w:sz w:val="24"/>
              <w:szCs w:val="24"/>
              <w:lang w:bidi="ar-SA"/>
              <w14:ligatures w14:val="standardContextual"/>
            </w:rPr>
          </w:pPr>
          <w:hyperlink w:anchor="_Toc238867386" w:history="1">
            <w:r w:rsidRPr="0090244A">
              <w:rPr>
                <w:rStyle w:val="Hyperlink"/>
                <w:noProof/>
              </w:rPr>
              <w:t>An Educated Guess</w:t>
            </w:r>
            <w:r>
              <w:rPr>
                <w:noProof/>
                <w:webHidden/>
              </w:rPr>
              <w:tab/>
            </w:r>
            <w:r>
              <w:rPr>
                <w:noProof/>
                <w:webHidden/>
              </w:rPr>
              <w:fldChar w:fldCharType="begin"/>
            </w:r>
            <w:r>
              <w:rPr>
                <w:noProof/>
                <w:webHidden/>
              </w:rPr>
              <w:instrText xml:space="preserve"> PAGEREF _Toc238867386 \h </w:instrText>
            </w:r>
            <w:r>
              <w:rPr>
                <w:noProof/>
                <w:webHidden/>
              </w:rPr>
            </w:r>
            <w:r>
              <w:rPr>
                <w:noProof/>
                <w:webHidden/>
              </w:rPr>
              <w:fldChar w:fldCharType="separate"/>
            </w:r>
            <w:r w:rsidR="00493733">
              <w:rPr>
                <w:noProof/>
                <w:webHidden/>
              </w:rPr>
              <w:t>150</w:t>
            </w:r>
            <w:r>
              <w:rPr>
                <w:noProof/>
                <w:webHidden/>
              </w:rPr>
              <w:fldChar w:fldCharType="end"/>
            </w:r>
          </w:hyperlink>
        </w:p>
        <w:p w14:paraId="48810FD2" w14:textId="4AE9A605" w:rsidR="007E3004" w:rsidRDefault="007E3004">
          <w:pPr>
            <w:pStyle w:val="TOC2"/>
            <w:rPr>
              <w:rFonts w:asciiTheme="minorHAnsi" w:hAnsiTheme="minorHAnsi"/>
              <w:kern w:val="2"/>
              <w:sz w:val="24"/>
              <w:szCs w:val="24"/>
              <w:lang w:bidi="ar-SA"/>
              <w14:ligatures w14:val="standardContextual"/>
            </w:rPr>
          </w:pPr>
          <w:hyperlink w:anchor="_Toc238867387" w:history="1">
            <w:r w:rsidRPr="0090244A">
              <w:rPr>
                <w:rStyle w:val="Hyperlink"/>
              </w:rPr>
              <w:t>Price Decline Influences</w:t>
            </w:r>
            <w:r>
              <w:rPr>
                <w:webHidden/>
              </w:rPr>
              <w:tab/>
            </w:r>
            <w:r>
              <w:rPr>
                <w:webHidden/>
              </w:rPr>
              <w:fldChar w:fldCharType="begin"/>
            </w:r>
            <w:r>
              <w:rPr>
                <w:webHidden/>
              </w:rPr>
              <w:instrText xml:space="preserve"> PAGEREF _Toc238867387 \h </w:instrText>
            </w:r>
            <w:r>
              <w:rPr>
                <w:webHidden/>
              </w:rPr>
            </w:r>
            <w:r>
              <w:rPr>
                <w:webHidden/>
              </w:rPr>
              <w:fldChar w:fldCharType="separate"/>
            </w:r>
            <w:r w:rsidR="00493733">
              <w:rPr>
                <w:webHidden/>
              </w:rPr>
              <w:t>153</w:t>
            </w:r>
            <w:r>
              <w:rPr>
                <w:webHidden/>
              </w:rPr>
              <w:fldChar w:fldCharType="end"/>
            </w:r>
          </w:hyperlink>
        </w:p>
        <w:p w14:paraId="1A48CEA6" w14:textId="218E2A05" w:rsidR="007E3004" w:rsidRDefault="007E3004">
          <w:pPr>
            <w:pStyle w:val="TOC3"/>
            <w:rPr>
              <w:rFonts w:asciiTheme="minorHAnsi" w:hAnsiTheme="minorHAnsi"/>
              <w:noProof/>
              <w:kern w:val="2"/>
              <w:sz w:val="24"/>
              <w:szCs w:val="24"/>
              <w:lang w:bidi="ar-SA"/>
              <w14:ligatures w14:val="standardContextual"/>
            </w:rPr>
          </w:pPr>
          <w:hyperlink w:anchor="_Toc238867388" w:history="1">
            <w:r w:rsidRPr="0090244A">
              <w:rPr>
                <w:rStyle w:val="Hyperlink"/>
                <w:noProof/>
              </w:rPr>
              <w:t>Debt-to-Income Ratios</w:t>
            </w:r>
            <w:r>
              <w:rPr>
                <w:noProof/>
                <w:webHidden/>
              </w:rPr>
              <w:tab/>
            </w:r>
            <w:r>
              <w:rPr>
                <w:noProof/>
                <w:webHidden/>
              </w:rPr>
              <w:fldChar w:fldCharType="begin"/>
            </w:r>
            <w:r>
              <w:rPr>
                <w:noProof/>
                <w:webHidden/>
              </w:rPr>
              <w:instrText xml:space="preserve"> PAGEREF _Toc238867388 \h </w:instrText>
            </w:r>
            <w:r>
              <w:rPr>
                <w:noProof/>
                <w:webHidden/>
              </w:rPr>
            </w:r>
            <w:r>
              <w:rPr>
                <w:noProof/>
                <w:webHidden/>
              </w:rPr>
              <w:fldChar w:fldCharType="separate"/>
            </w:r>
            <w:r w:rsidR="00493733">
              <w:rPr>
                <w:noProof/>
                <w:webHidden/>
              </w:rPr>
              <w:t>153</w:t>
            </w:r>
            <w:r>
              <w:rPr>
                <w:noProof/>
                <w:webHidden/>
              </w:rPr>
              <w:fldChar w:fldCharType="end"/>
            </w:r>
          </w:hyperlink>
        </w:p>
        <w:p w14:paraId="762C643C" w14:textId="1587CF10" w:rsidR="007E3004" w:rsidRDefault="007E3004">
          <w:pPr>
            <w:pStyle w:val="TOC3"/>
            <w:rPr>
              <w:rFonts w:asciiTheme="minorHAnsi" w:hAnsiTheme="minorHAnsi"/>
              <w:noProof/>
              <w:kern w:val="2"/>
              <w:sz w:val="24"/>
              <w:szCs w:val="24"/>
              <w:lang w:bidi="ar-SA"/>
              <w14:ligatures w14:val="standardContextual"/>
            </w:rPr>
          </w:pPr>
          <w:hyperlink w:anchor="_Toc238867389" w:history="1">
            <w:r w:rsidRPr="0090244A">
              <w:rPr>
                <w:rStyle w:val="Hyperlink"/>
                <w:noProof/>
              </w:rPr>
              <w:t>Higher Interest Rates</w:t>
            </w:r>
            <w:r>
              <w:rPr>
                <w:noProof/>
                <w:webHidden/>
              </w:rPr>
              <w:tab/>
            </w:r>
            <w:r>
              <w:rPr>
                <w:noProof/>
                <w:webHidden/>
              </w:rPr>
              <w:fldChar w:fldCharType="begin"/>
            </w:r>
            <w:r>
              <w:rPr>
                <w:noProof/>
                <w:webHidden/>
              </w:rPr>
              <w:instrText xml:space="preserve"> PAGEREF _Toc238867389 \h </w:instrText>
            </w:r>
            <w:r>
              <w:rPr>
                <w:noProof/>
                <w:webHidden/>
              </w:rPr>
            </w:r>
            <w:r>
              <w:rPr>
                <w:noProof/>
                <w:webHidden/>
              </w:rPr>
              <w:fldChar w:fldCharType="separate"/>
            </w:r>
            <w:r w:rsidR="00493733">
              <w:rPr>
                <w:noProof/>
                <w:webHidden/>
              </w:rPr>
              <w:t>155</w:t>
            </w:r>
            <w:r>
              <w:rPr>
                <w:noProof/>
                <w:webHidden/>
              </w:rPr>
              <w:fldChar w:fldCharType="end"/>
            </w:r>
          </w:hyperlink>
        </w:p>
        <w:p w14:paraId="200E38E7" w14:textId="4CC3C1C4" w:rsidR="007E3004" w:rsidRDefault="007E3004">
          <w:pPr>
            <w:pStyle w:val="TOC3"/>
            <w:rPr>
              <w:rFonts w:asciiTheme="minorHAnsi" w:hAnsiTheme="minorHAnsi"/>
              <w:noProof/>
              <w:kern w:val="2"/>
              <w:sz w:val="24"/>
              <w:szCs w:val="24"/>
              <w:lang w:bidi="ar-SA"/>
              <w14:ligatures w14:val="standardContextual"/>
            </w:rPr>
          </w:pPr>
          <w:hyperlink w:anchor="_Toc238867390" w:history="1">
            <w:r w:rsidRPr="0090244A">
              <w:rPr>
                <w:rStyle w:val="Hyperlink"/>
                <w:noProof/>
              </w:rPr>
              <w:t>Future Loan Terms</w:t>
            </w:r>
            <w:r>
              <w:rPr>
                <w:noProof/>
                <w:webHidden/>
              </w:rPr>
              <w:tab/>
            </w:r>
            <w:r>
              <w:rPr>
                <w:noProof/>
                <w:webHidden/>
              </w:rPr>
              <w:fldChar w:fldCharType="begin"/>
            </w:r>
            <w:r>
              <w:rPr>
                <w:noProof/>
                <w:webHidden/>
              </w:rPr>
              <w:instrText xml:space="preserve"> PAGEREF _Toc238867390 \h </w:instrText>
            </w:r>
            <w:r>
              <w:rPr>
                <w:noProof/>
                <w:webHidden/>
              </w:rPr>
            </w:r>
            <w:r>
              <w:rPr>
                <w:noProof/>
                <w:webHidden/>
              </w:rPr>
              <w:fldChar w:fldCharType="separate"/>
            </w:r>
            <w:r w:rsidR="00493733">
              <w:rPr>
                <w:noProof/>
                <w:webHidden/>
              </w:rPr>
              <w:t>158</w:t>
            </w:r>
            <w:r>
              <w:rPr>
                <w:noProof/>
                <w:webHidden/>
              </w:rPr>
              <w:fldChar w:fldCharType="end"/>
            </w:r>
          </w:hyperlink>
        </w:p>
        <w:p w14:paraId="5CA9A6FF" w14:textId="0891CF98" w:rsidR="007E3004" w:rsidRDefault="007E3004">
          <w:pPr>
            <w:pStyle w:val="TOC3"/>
            <w:rPr>
              <w:rFonts w:asciiTheme="minorHAnsi" w:hAnsiTheme="minorHAnsi"/>
              <w:noProof/>
              <w:kern w:val="2"/>
              <w:sz w:val="24"/>
              <w:szCs w:val="24"/>
              <w:lang w:bidi="ar-SA"/>
              <w14:ligatures w14:val="standardContextual"/>
            </w:rPr>
          </w:pPr>
          <w:hyperlink w:anchor="_Toc238867391" w:history="1">
            <w:r w:rsidRPr="0090244A">
              <w:rPr>
                <w:rStyle w:val="Hyperlink"/>
                <w:noProof/>
              </w:rPr>
              <w:t>Unemployment</w:t>
            </w:r>
            <w:r>
              <w:rPr>
                <w:noProof/>
                <w:webHidden/>
              </w:rPr>
              <w:tab/>
            </w:r>
            <w:r>
              <w:rPr>
                <w:noProof/>
                <w:webHidden/>
              </w:rPr>
              <w:fldChar w:fldCharType="begin"/>
            </w:r>
            <w:r>
              <w:rPr>
                <w:noProof/>
                <w:webHidden/>
              </w:rPr>
              <w:instrText xml:space="preserve"> PAGEREF _Toc238867391 \h </w:instrText>
            </w:r>
            <w:r>
              <w:rPr>
                <w:noProof/>
                <w:webHidden/>
              </w:rPr>
            </w:r>
            <w:r>
              <w:rPr>
                <w:noProof/>
                <w:webHidden/>
              </w:rPr>
              <w:fldChar w:fldCharType="separate"/>
            </w:r>
            <w:r w:rsidR="00493733">
              <w:rPr>
                <w:noProof/>
                <w:webHidden/>
              </w:rPr>
              <w:t>159</w:t>
            </w:r>
            <w:r>
              <w:rPr>
                <w:noProof/>
                <w:webHidden/>
              </w:rPr>
              <w:fldChar w:fldCharType="end"/>
            </w:r>
          </w:hyperlink>
        </w:p>
        <w:p w14:paraId="73785D80" w14:textId="0C1C3B59" w:rsidR="007E3004" w:rsidRDefault="007E3004">
          <w:pPr>
            <w:pStyle w:val="TOC3"/>
            <w:rPr>
              <w:rFonts w:asciiTheme="minorHAnsi" w:hAnsiTheme="minorHAnsi"/>
              <w:noProof/>
              <w:kern w:val="2"/>
              <w:sz w:val="24"/>
              <w:szCs w:val="24"/>
              <w:lang w:bidi="ar-SA"/>
              <w14:ligatures w14:val="standardContextual"/>
            </w:rPr>
          </w:pPr>
          <w:hyperlink w:anchor="_Toc238867392" w:history="1">
            <w:r w:rsidRPr="0090244A">
              <w:rPr>
                <w:rStyle w:val="Hyperlink"/>
                <w:noProof/>
              </w:rPr>
              <w:t>Foreclosures</w:t>
            </w:r>
            <w:r>
              <w:rPr>
                <w:noProof/>
                <w:webHidden/>
              </w:rPr>
              <w:tab/>
            </w:r>
            <w:r>
              <w:rPr>
                <w:noProof/>
                <w:webHidden/>
              </w:rPr>
              <w:fldChar w:fldCharType="begin"/>
            </w:r>
            <w:r>
              <w:rPr>
                <w:noProof/>
                <w:webHidden/>
              </w:rPr>
              <w:instrText xml:space="preserve"> PAGEREF _Toc238867392 \h </w:instrText>
            </w:r>
            <w:r>
              <w:rPr>
                <w:noProof/>
                <w:webHidden/>
              </w:rPr>
            </w:r>
            <w:r>
              <w:rPr>
                <w:noProof/>
                <w:webHidden/>
              </w:rPr>
              <w:fldChar w:fldCharType="separate"/>
            </w:r>
            <w:r w:rsidR="00493733">
              <w:rPr>
                <w:noProof/>
                <w:webHidden/>
              </w:rPr>
              <w:t>161</w:t>
            </w:r>
            <w:r>
              <w:rPr>
                <w:noProof/>
                <w:webHidden/>
              </w:rPr>
              <w:fldChar w:fldCharType="end"/>
            </w:r>
          </w:hyperlink>
        </w:p>
        <w:p w14:paraId="6BA7E1AC" w14:textId="3184F9CB" w:rsidR="007E3004" w:rsidRDefault="007E3004">
          <w:pPr>
            <w:pStyle w:val="TOC3"/>
            <w:rPr>
              <w:rFonts w:asciiTheme="minorHAnsi" w:hAnsiTheme="minorHAnsi"/>
              <w:noProof/>
              <w:kern w:val="2"/>
              <w:sz w:val="24"/>
              <w:szCs w:val="24"/>
              <w:lang w:bidi="ar-SA"/>
              <w14:ligatures w14:val="standardContextual"/>
            </w:rPr>
          </w:pPr>
          <w:hyperlink w:anchor="_Toc238867393" w:history="1">
            <w:r w:rsidRPr="0090244A">
              <w:rPr>
                <w:rStyle w:val="Hyperlink"/>
                <w:noProof/>
              </w:rPr>
              <w:t>Decrease in Home Ownership Rates</w:t>
            </w:r>
            <w:r>
              <w:rPr>
                <w:noProof/>
                <w:webHidden/>
              </w:rPr>
              <w:tab/>
            </w:r>
            <w:r>
              <w:rPr>
                <w:noProof/>
                <w:webHidden/>
              </w:rPr>
              <w:fldChar w:fldCharType="begin"/>
            </w:r>
            <w:r>
              <w:rPr>
                <w:noProof/>
                <w:webHidden/>
              </w:rPr>
              <w:instrText xml:space="preserve"> PAGEREF _Toc238867393 \h </w:instrText>
            </w:r>
            <w:r>
              <w:rPr>
                <w:noProof/>
                <w:webHidden/>
              </w:rPr>
            </w:r>
            <w:r>
              <w:rPr>
                <w:noProof/>
                <w:webHidden/>
              </w:rPr>
              <w:fldChar w:fldCharType="separate"/>
            </w:r>
            <w:r w:rsidR="00493733">
              <w:rPr>
                <w:noProof/>
                <w:webHidden/>
              </w:rPr>
              <w:t>163</w:t>
            </w:r>
            <w:r>
              <w:rPr>
                <w:noProof/>
                <w:webHidden/>
              </w:rPr>
              <w:fldChar w:fldCharType="end"/>
            </w:r>
          </w:hyperlink>
        </w:p>
        <w:p w14:paraId="22896C29" w14:textId="375660B2" w:rsidR="007E3004" w:rsidRDefault="007E3004">
          <w:pPr>
            <w:pStyle w:val="TOC2"/>
            <w:rPr>
              <w:rFonts w:asciiTheme="minorHAnsi" w:hAnsiTheme="minorHAnsi"/>
              <w:kern w:val="2"/>
              <w:sz w:val="24"/>
              <w:szCs w:val="24"/>
              <w:lang w:bidi="ar-SA"/>
              <w14:ligatures w14:val="standardContextual"/>
            </w:rPr>
          </w:pPr>
          <w:hyperlink w:anchor="_Toc238867394" w:history="1">
            <w:r w:rsidRPr="0090244A">
              <w:rPr>
                <w:rStyle w:val="Hyperlink"/>
              </w:rPr>
              <w:t>Doomsday Scenario</w:t>
            </w:r>
            <w:r>
              <w:rPr>
                <w:webHidden/>
              </w:rPr>
              <w:tab/>
            </w:r>
            <w:r>
              <w:rPr>
                <w:webHidden/>
              </w:rPr>
              <w:fldChar w:fldCharType="begin"/>
            </w:r>
            <w:r>
              <w:rPr>
                <w:webHidden/>
              </w:rPr>
              <w:instrText xml:space="preserve"> PAGEREF _Toc238867394 \h </w:instrText>
            </w:r>
            <w:r>
              <w:rPr>
                <w:webHidden/>
              </w:rPr>
            </w:r>
            <w:r>
              <w:rPr>
                <w:webHidden/>
              </w:rPr>
              <w:fldChar w:fldCharType="separate"/>
            </w:r>
            <w:r w:rsidR="00493733">
              <w:rPr>
                <w:webHidden/>
              </w:rPr>
              <w:t>164</w:t>
            </w:r>
            <w:r>
              <w:rPr>
                <w:webHidden/>
              </w:rPr>
              <w:fldChar w:fldCharType="end"/>
            </w:r>
          </w:hyperlink>
        </w:p>
        <w:p w14:paraId="0D07314C" w14:textId="2C2B6A65" w:rsidR="007E3004" w:rsidRDefault="007E3004">
          <w:pPr>
            <w:pStyle w:val="TOC2"/>
            <w:rPr>
              <w:rFonts w:asciiTheme="minorHAnsi" w:hAnsiTheme="minorHAnsi"/>
              <w:kern w:val="2"/>
              <w:sz w:val="24"/>
              <w:szCs w:val="24"/>
              <w:lang w:bidi="ar-SA"/>
              <w14:ligatures w14:val="standardContextual"/>
            </w:rPr>
          </w:pPr>
          <w:hyperlink w:anchor="_Toc238867395" w:history="1">
            <w:r w:rsidRPr="0090244A">
              <w:rPr>
                <w:rStyle w:val="Hyperlink"/>
              </w:rPr>
              <w:t>Lingering Problems</w:t>
            </w:r>
            <w:r>
              <w:rPr>
                <w:webHidden/>
              </w:rPr>
              <w:tab/>
            </w:r>
            <w:r>
              <w:rPr>
                <w:webHidden/>
              </w:rPr>
              <w:fldChar w:fldCharType="begin"/>
            </w:r>
            <w:r>
              <w:rPr>
                <w:webHidden/>
              </w:rPr>
              <w:instrText xml:space="preserve"> PAGEREF _Toc238867395 \h </w:instrText>
            </w:r>
            <w:r>
              <w:rPr>
                <w:webHidden/>
              </w:rPr>
            </w:r>
            <w:r>
              <w:rPr>
                <w:webHidden/>
              </w:rPr>
              <w:fldChar w:fldCharType="separate"/>
            </w:r>
            <w:r w:rsidR="00493733">
              <w:rPr>
                <w:webHidden/>
              </w:rPr>
              <w:t>166</w:t>
            </w:r>
            <w:r>
              <w:rPr>
                <w:webHidden/>
              </w:rPr>
              <w:fldChar w:fldCharType="end"/>
            </w:r>
          </w:hyperlink>
        </w:p>
        <w:p w14:paraId="67FAE043" w14:textId="681E11DA" w:rsidR="007E3004" w:rsidRDefault="007E3004">
          <w:pPr>
            <w:pStyle w:val="TOC2"/>
            <w:rPr>
              <w:rFonts w:asciiTheme="minorHAnsi" w:hAnsiTheme="minorHAnsi"/>
              <w:kern w:val="2"/>
              <w:sz w:val="24"/>
              <w:szCs w:val="24"/>
              <w:lang w:bidi="ar-SA"/>
              <w14:ligatures w14:val="standardContextual"/>
            </w:rPr>
          </w:pPr>
          <w:hyperlink w:anchor="_Toc238867396" w:history="1">
            <w:r w:rsidRPr="0090244A">
              <w:rPr>
                <w:rStyle w:val="Hyperlink"/>
              </w:rPr>
              <w:t>Summary</w:t>
            </w:r>
            <w:r>
              <w:rPr>
                <w:webHidden/>
              </w:rPr>
              <w:tab/>
            </w:r>
            <w:r>
              <w:rPr>
                <w:webHidden/>
              </w:rPr>
              <w:fldChar w:fldCharType="begin"/>
            </w:r>
            <w:r>
              <w:rPr>
                <w:webHidden/>
              </w:rPr>
              <w:instrText xml:space="preserve"> PAGEREF _Toc238867396 \h </w:instrText>
            </w:r>
            <w:r>
              <w:rPr>
                <w:webHidden/>
              </w:rPr>
            </w:r>
            <w:r>
              <w:rPr>
                <w:webHidden/>
              </w:rPr>
              <w:fldChar w:fldCharType="separate"/>
            </w:r>
            <w:r w:rsidR="00493733">
              <w:rPr>
                <w:webHidden/>
              </w:rPr>
              <w:t>167</w:t>
            </w:r>
            <w:r>
              <w:rPr>
                <w:webHidden/>
              </w:rPr>
              <w:fldChar w:fldCharType="end"/>
            </w:r>
          </w:hyperlink>
        </w:p>
        <w:p w14:paraId="1E7A5843" w14:textId="5E556B3E" w:rsidR="007E3004" w:rsidRDefault="007E3004">
          <w:pPr>
            <w:pStyle w:val="TOC1"/>
            <w:rPr>
              <w:rFonts w:asciiTheme="minorHAnsi" w:hAnsiTheme="minorHAnsi"/>
              <w:b w:val="0"/>
              <w:noProof/>
              <w:kern w:val="2"/>
              <w:sz w:val="24"/>
              <w:szCs w:val="24"/>
              <w:lang w:bidi="ar-SA"/>
              <w14:ligatures w14:val="standardContextual"/>
            </w:rPr>
          </w:pPr>
          <w:hyperlink w:anchor="_Toc238867397" w:history="1">
            <w:r w:rsidRPr="0090244A">
              <w:rPr>
                <w:rStyle w:val="Hyperlink"/>
                <w:noProof/>
              </w:rPr>
              <w:t>Buying and Selling During a Decline</w:t>
            </w:r>
            <w:r>
              <w:rPr>
                <w:noProof/>
                <w:webHidden/>
              </w:rPr>
              <w:tab/>
            </w:r>
            <w:r>
              <w:rPr>
                <w:noProof/>
                <w:webHidden/>
              </w:rPr>
              <w:fldChar w:fldCharType="begin"/>
            </w:r>
            <w:r>
              <w:rPr>
                <w:noProof/>
                <w:webHidden/>
              </w:rPr>
              <w:instrText xml:space="preserve"> PAGEREF _Toc238867397 \h </w:instrText>
            </w:r>
            <w:r>
              <w:rPr>
                <w:noProof/>
                <w:webHidden/>
              </w:rPr>
            </w:r>
            <w:r>
              <w:rPr>
                <w:noProof/>
                <w:webHidden/>
              </w:rPr>
              <w:fldChar w:fldCharType="separate"/>
            </w:r>
            <w:r w:rsidR="00493733">
              <w:rPr>
                <w:noProof/>
                <w:webHidden/>
              </w:rPr>
              <w:t>169</w:t>
            </w:r>
            <w:r>
              <w:rPr>
                <w:noProof/>
                <w:webHidden/>
              </w:rPr>
              <w:fldChar w:fldCharType="end"/>
            </w:r>
          </w:hyperlink>
        </w:p>
        <w:p w14:paraId="5698C7B9" w14:textId="31293CFC" w:rsidR="007E3004" w:rsidRDefault="007E3004">
          <w:pPr>
            <w:pStyle w:val="TOC2"/>
            <w:rPr>
              <w:rFonts w:asciiTheme="minorHAnsi" w:hAnsiTheme="minorHAnsi"/>
              <w:kern w:val="2"/>
              <w:sz w:val="24"/>
              <w:szCs w:val="24"/>
              <w:lang w:bidi="ar-SA"/>
              <w14:ligatures w14:val="standardContextual"/>
            </w:rPr>
          </w:pPr>
          <w:hyperlink w:anchor="_Toc238867398" w:history="1">
            <w:r w:rsidRPr="0090244A">
              <w:rPr>
                <w:rStyle w:val="Hyperlink"/>
              </w:rPr>
              <w:t>Selling for Less</w:t>
            </w:r>
            <w:r>
              <w:rPr>
                <w:webHidden/>
              </w:rPr>
              <w:tab/>
            </w:r>
            <w:r>
              <w:rPr>
                <w:webHidden/>
              </w:rPr>
              <w:fldChar w:fldCharType="begin"/>
            </w:r>
            <w:r>
              <w:rPr>
                <w:webHidden/>
              </w:rPr>
              <w:instrText xml:space="preserve"> PAGEREF _Toc238867398 \h </w:instrText>
            </w:r>
            <w:r>
              <w:rPr>
                <w:webHidden/>
              </w:rPr>
            </w:r>
            <w:r>
              <w:rPr>
                <w:webHidden/>
              </w:rPr>
              <w:fldChar w:fldCharType="separate"/>
            </w:r>
            <w:r w:rsidR="00493733">
              <w:rPr>
                <w:webHidden/>
              </w:rPr>
              <w:t>170</w:t>
            </w:r>
            <w:r>
              <w:rPr>
                <w:webHidden/>
              </w:rPr>
              <w:fldChar w:fldCharType="end"/>
            </w:r>
          </w:hyperlink>
        </w:p>
        <w:p w14:paraId="3E32E5B0" w14:textId="4D05FD52" w:rsidR="007E3004" w:rsidRDefault="007E3004">
          <w:pPr>
            <w:pStyle w:val="TOC3"/>
            <w:rPr>
              <w:rFonts w:asciiTheme="minorHAnsi" w:hAnsiTheme="minorHAnsi"/>
              <w:noProof/>
              <w:kern w:val="2"/>
              <w:sz w:val="24"/>
              <w:szCs w:val="24"/>
              <w:lang w:bidi="ar-SA"/>
              <w14:ligatures w14:val="standardContextual"/>
            </w:rPr>
          </w:pPr>
          <w:hyperlink w:anchor="_Toc238867399" w:history="1">
            <w:r w:rsidRPr="0090244A">
              <w:rPr>
                <w:rStyle w:val="Hyperlink"/>
                <w:noProof/>
              </w:rPr>
              <w:t>Paying off a Mortgage</w:t>
            </w:r>
            <w:r>
              <w:rPr>
                <w:noProof/>
                <w:webHidden/>
              </w:rPr>
              <w:tab/>
            </w:r>
            <w:r>
              <w:rPr>
                <w:noProof/>
                <w:webHidden/>
              </w:rPr>
              <w:fldChar w:fldCharType="begin"/>
            </w:r>
            <w:r>
              <w:rPr>
                <w:noProof/>
                <w:webHidden/>
              </w:rPr>
              <w:instrText xml:space="preserve"> PAGEREF _Toc238867399 \h </w:instrText>
            </w:r>
            <w:r>
              <w:rPr>
                <w:noProof/>
                <w:webHidden/>
              </w:rPr>
            </w:r>
            <w:r>
              <w:rPr>
                <w:noProof/>
                <w:webHidden/>
              </w:rPr>
              <w:fldChar w:fldCharType="separate"/>
            </w:r>
            <w:r w:rsidR="00493733">
              <w:rPr>
                <w:noProof/>
                <w:webHidden/>
              </w:rPr>
              <w:t>170</w:t>
            </w:r>
            <w:r>
              <w:rPr>
                <w:noProof/>
                <w:webHidden/>
              </w:rPr>
              <w:fldChar w:fldCharType="end"/>
            </w:r>
          </w:hyperlink>
        </w:p>
        <w:p w14:paraId="41A276D7" w14:textId="56123860" w:rsidR="007E3004" w:rsidRDefault="007E3004">
          <w:pPr>
            <w:pStyle w:val="TOC3"/>
            <w:rPr>
              <w:rFonts w:asciiTheme="minorHAnsi" w:hAnsiTheme="minorHAnsi"/>
              <w:noProof/>
              <w:kern w:val="2"/>
              <w:sz w:val="24"/>
              <w:szCs w:val="24"/>
              <w:lang w:bidi="ar-SA"/>
              <w14:ligatures w14:val="standardContextual"/>
            </w:rPr>
          </w:pPr>
          <w:hyperlink w:anchor="_Toc238867400" w:history="1">
            <w:r w:rsidRPr="0090244A">
              <w:rPr>
                <w:rStyle w:val="Hyperlink"/>
                <w:noProof/>
              </w:rPr>
              <w:t>Short Sale</w:t>
            </w:r>
            <w:r>
              <w:rPr>
                <w:noProof/>
                <w:webHidden/>
              </w:rPr>
              <w:tab/>
            </w:r>
            <w:r>
              <w:rPr>
                <w:noProof/>
                <w:webHidden/>
              </w:rPr>
              <w:fldChar w:fldCharType="begin"/>
            </w:r>
            <w:r>
              <w:rPr>
                <w:noProof/>
                <w:webHidden/>
              </w:rPr>
              <w:instrText xml:space="preserve"> PAGEREF _Toc238867400 \h </w:instrText>
            </w:r>
            <w:r>
              <w:rPr>
                <w:noProof/>
                <w:webHidden/>
              </w:rPr>
            </w:r>
            <w:r>
              <w:rPr>
                <w:noProof/>
                <w:webHidden/>
              </w:rPr>
              <w:fldChar w:fldCharType="separate"/>
            </w:r>
            <w:r w:rsidR="00493733">
              <w:rPr>
                <w:noProof/>
                <w:webHidden/>
              </w:rPr>
              <w:t>172</w:t>
            </w:r>
            <w:r>
              <w:rPr>
                <w:noProof/>
                <w:webHidden/>
              </w:rPr>
              <w:fldChar w:fldCharType="end"/>
            </w:r>
          </w:hyperlink>
        </w:p>
        <w:p w14:paraId="10B5F126" w14:textId="51586299" w:rsidR="007E3004" w:rsidRDefault="007E3004">
          <w:pPr>
            <w:pStyle w:val="TOC3"/>
            <w:rPr>
              <w:rFonts w:asciiTheme="minorHAnsi" w:hAnsiTheme="minorHAnsi"/>
              <w:noProof/>
              <w:kern w:val="2"/>
              <w:sz w:val="24"/>
              <w:szCs w:val="24"/>
              <w:lang w:bidi="ar-SA"/>
              <w14:ligatures w14:val="standardContextual"/>
            </w:rPr>
          </w:pPr>
          <w:hyperlink w:anchor="_Toc238867401" w:history="1">
            <w:r w:rsidRPr="0090244A">
              <w:rPr>
                <w:rStyle w:val="Hyperlink"/>
                <w:noProof/>
              </w:rPr>
              <w:t>Foreclosure</w:t>
            </w:r>
            <w:r>
              <w:rPr>
                <w:noProof/>
                <w:webHidden/>
              </w:rPr>
              <w:tab/>
            </w:r>
            <w:r>
              <w:rPr>
                <w:noProof/>
                <w:webHidden/>
              </w:rPr>
              <w:fldChar w:fldCharType="begin"/>
            </w:r>
            <w:r>
              <w:rPr>
                <w:noProof/>
                <w:webHidden/>
              </w:rPr>
              <w:instrText xml:space="preserve"> PAGEREF _Toc238867401 \h </w:instrText>
            </w:r>
            <w:r>
              <w:rPr>
                <w:noProof/>
                <w:webHidden/>
              </w:rPr>
            </w:r>
            <w:r>
              <w:rPr>
                <w:noProof/>
                <w:webHidden/>
              </w:rPr>
              <w:fldChar w:fldCharType="separate"/>
            </w:r>
            <w:r w:rsidR="00493733">
              <w:rPr>
                <w:noProof/>
                <w:webHidden/>
              </w:rPr>
              <w:t>173</w:t>
            </w:r>
            <w:r>
              <w:rPr>
                <w:noProof/>
                <w:webHidden/>
              </w:rPr>
              <w:fldChar w:fldCharType="end"/>
            </w:r>
          </w:hyperlink>
        </w:p>
        <w:p w14:paraId="2EF0E685" w14:textId="021D8CA7" w:rsidR="007E3004" w:rsidRDefault="007E3004">
          <w:pPr>
            <w:pStyle w:val="TOC3"/>
            <w:rPr>
              <w:rFonts w:asciiTheme="minorHAnsi" w:hAnsiTheme="minorHAnsi"/>
              <w:noProof/>
              <w:kern w:val="2"/>
              <w:sz w:val="24"/>
              <w:szCs w:val="24"/>
              <w:lang w:bidi="ar-SA"/>
              <w14:ligatures w14:val="standardContextual"/>
            </w:rPr>
          </w:pPr>
          <w:hyperlink w:anchor="_Toc238867402" w:history="1">
            <w:r w:rsidRPr="0090244A">
              <w:rPr>
                <w:rStyle w:val="Hyperlink"/>
                <w:noProof/>
              </w:rPr>
              <w:t>Recourse vs. Non-Recourse Loans</w:t>
            </w:r>
            <w:r>
              <w:rPr>
                <w:noProof/>
                <w:webHidden/>
              </w:rPr>
              <w:tab/>
            </w:r>
            <w:r>
              <w:rPr>
                <w:noProof/>
                <w:webHidden/>
              </w:rPr>
              <w:fldChar w:fldCharType="begin"/>
            </w:r>
            <w:r>
              <w:rPr>
                <w:noProof/>
                <w:webHidden/>
              </w:rPr>
              <w:instrText xml:space="preserve"> PAGEREF _Toc238867402 \h </w:instrText>
            </w:r>
            <w:r>
              <w:rPr>
                <w:noProof/>
                <w:webHidden/>
              </w:rPr>
            </w:r>
            <w:r>
              <w:rPr>
                <w:noProof/>
                <w:webHidden/>
              </w:rPr>
              <w:fldChar w:fldCharType="separate"/>
            </w:r>
            <w:r w:rsidR="00493733">
              <w:rPr>
                <w:noProof/>
                <w:webHidden/>
              </w:rPr>
              <w:t>173</w:t>
            </w:r>
            <w:r>
              <w:rPr>
                <w:noProof/>
                <w:webHidden/>
              </w:rPr>
              <w:fldChar w:fldCharType="end"/>
            </w:r>
          </w:hyperlink>
        </w:p>
        <w:p w14:paraId="6AC83A21" w14:textId="004ACB9A" w:rsidR="007E3004" w:rsidRDefault="007E3004">
          <w:pPr>
            <w:pStyle w:val="TOC3"/>
            <w:rPr>
              <w:rFonts w:asciiTheme="minorHAnsi" w:hAnsiTheme="minorHAnsi"/>
              <w:noProof/>
              <w:kern w:val="2"/>
              <w:sz w:val="24"/>
              <w:szCs w:val="24"/>
              <w:lang w:bidi="ar-SA"/>
              <w14:ligatures w14:val="standardContextual"/>
            </w:rPr>
          </w:pPr>
          <w:hyperlink w:anchor="_Toc238867403" w:history="1">
            <w:r w:rsidRPr="0090244A">
              <w:rPr>
                <w:rStyle w:val="Hyperlink"/>
                <w:noProof/>
              </w:rPr>
              <w:t>Judicial vs. Non-Judicial Foreclosure</w:t>
            </w:r>
            <w:r>
              <w:rPr>
                <w:noProof/>
                <w:webHidden/>
              </w:rPr>
              <w:tab/>
            </w:r>
            <w:r>
              <w:rPr>
                <w:noProof/>
                <w:webHidden/>
              </w:rPr>
              <w:fldChar w:fldCharType="begin"/>
            </w:r>
            <w:r>
              <w:rPr>
                <w:noProof/>
                <w:webHidden/>
              </w:rPr>
              <w:instrText xml:space="preserve"> PAGEREF _Toc238867403 \h </w:instrText>
            </w:r>
            <w:r>
              <w:rPr>
                <w:noProof/>
                <w:webHidden/>
              </w:rPr>
            </w:r>
            <w:r>
              <w:rPr>
                <w:noProof/>
                <w:webHidden/>
              </w:rPr>
              <w:fldChar w:fldCharType="separate"/>
            </w:r>
            <w:r w:rsidR="00493733">
              <w:rPr>
                <w:noProof/>
                <w:webHidden/>
              </w:rPr>
              <w:t>174</w:t>
            </w:r>
            <w:r>
              <w:rPr>
                <w:noProof/>
                <w:webHidden/>
              </w:rPr>
              <w:fldChar w:fldCharType="end"/>
            </w:r>
          </w:hyperlink>
        </w:p>
        <w:p w14:paraId="1E6AFE93" w14:textId="2C8122F4" w:rsidR="007E3004" w:rsidRDefault="007E3004">
          <w:pPr>
            <w:pStyle w:val="TOC3"/>
            <w:rPr>
              <w:rFonts w:asciiTheme="minorHAnsi" w:hAnsiTheme="minorHAnsi"/>
              <w:noProof/>
              <w:kern w:val="2"/>
              <w:sz w:val="24"/>
              <w:szCs w:val="24"/>
              <w:lang w:bidi="ar-SA"/>
              <w14:ligatures w14:val="standardContextual"/>
            </w:rPr>
          </w:pPr>
          <w:hyperlink w:anchor="_Toc238867404" w:history="1">
            <w:r w:rsidRPr="0090244A">
              <w:rPr>
                <w:rStyle w:val="Hyperlink"/>
                <w:noProof/>
              </w:rPr>
              <w:t>Tax Implications</w:t>
            </w:r>
            <w:r>
              <w:rPr>
                <w:noProof/>
                <w:webHidden/>
              </w:rPr>
              <w:tab/>
            </w:r>
            <w:r>
              <w:rPr>
                <w:noProof/>
                <w:webHidden/>
              </w:rPr>
              <w:fldChar w:fldCharType="begin"/>
            </w:r>
            <w:r>
              <w:rPr>
                <w:noProof/>
                <w:webHidden/>
              </w:rPr>
              <w:instrText xml:space="preserve"> PAGEREF _Toc238867404 \h </w:instrText>
            </w:r>
            <w:r>
              <w:rPr>
                <w:noProof/>
                <w:webHidden/>
              </w:rPr>
            </w:r>
            <w:r>
              <w:rPr>
                <w:noProof/>
                <w:webHidden/>
              </w:rPr>
              <w:fldChar w:fldCharType="separate"/>
            </w:r>
            <w:r w:rsidR="00493733">
              <w:rPr>
                <w:noProof/>
                <w:webHidden/>
              </w:rPr>
              <w:t>174</w:t>
            </w:r>
            <w:r>
              <w:rPr>
                <w:noProof/>
                <w:webHidden/>
              </w:rPr>
              <w:fldChar w:fldCharType="end"/>
            </w:r>
          </w:hyperlink>
        </w:p>
        <w:p w14:paraId="09B5072D" w14:textId="77609372" w:rsidR="007E3004" w:rsidRDefault="007E3004">
          <w:pPr>
            <w:pStyle w:val="TOC2"/>
            <w:rPr>
              <w:rFonts w:asciiTheme="minorHAnsi" w:hAnsiTheme="minorHAnsi"/>
              <w:kern w:val="2"/>
              <w:sz w:val="24"/>
              <w:szCs w:val="24"/>
              <w:lang w:bidi="ar-SA"/>
              <w14:ligatures w14:val="standardContextual"/>
            </w:rPr>
          </w:pPr>
          <w:hyperlink w:anchor="_Toc238867405" w:history="1">
            <w:r w:rsidRPr="0090244A">
              <w:rPr>
                <w:rStyle w:val="Hyperlink"/>
              </w:rPr>
              <w:t>A Buyer’s Market</w:t>
            </w:r>
            <w:r>
              <w:rPr>
                <w:webHidden/>
              </w:rPr>
              <w:tab/>
            </w:r>
            <w:r>
              <w:rPr>
                <w:webHidden/>
              </w:rPr>
              <w:fldChar w:fldCharType="begin"/>
            </w:r>
            <w:r>
              <w:rPr>
                <w:webHidden/>
              </w:rPr>
              <w:instrText xml:space="preserve"> PAGEREF _Toc238867405 \h </w:instrText>
            </w:r>
            <w:r>
              <w:rPr>
                <w:webHidden/>
              </w:rPr>
            </w:r>
            <w:r>
              <w:rPr>
                <w:webHidden/>
              </w:rPr>
              <w:fldChar w:fldCharType="separate"/>
            </w:r>
            <w:r w:rsidR="00493733">
              <w:rPr>
                <w:webHidden/>
              </w:rPr>
              <w:t>175</w:t>
            </w:r>
            <w:r>
              <w:rPr>
                <w:webHidden/>
              </w:rPr>
              <w:fldChar w:fldCharType="end"/>
            </w:r>
          </w:hyperlink>
        </w:p>
        <w:p w14:paraId="00E0FE8D" w14:textId="21E93B5F" w:rsidR="007E3004" w:rsidRDefault="007E3004">
          <w:pPr>
            <w:pStyle w:val="TOC3"/>
            <w:rPr>
              <w:rFonts w:asciiTheme="minorHAnsi" w:hAnsiTheme="minorHAnsi"/>
              <w:noProof/>
              <w:kern w:val="2"/>
              <w:sz w:val="24"/>
              <w:szCs w:val="24"/>
              <w:lang w:bidi="ar-SA"/>
              <w14:ligatures w14:val="standardContextual"/>
            </w:rPr>
          </w:pPr>
          <w:hyperlink w:anchor="_Toc238867406" w:history="1">
            <w:r w:rsidRPr="0090244A">
              <w:rPr>
                <w:rStyle w:val="Hyperlink"/>
                <w:noProof/>
              </w:rPr>
              <w:t>Pay the Lowest Possible Price</w:t>
            </w:r>
            <w:r>
              <w:rPr>
                <w:noProof/>
                <w:webHidden/>
              </w:rPr>
              <w:tab/>
            </w:r>
            <w:r>
              <w:rPr>
                <w:noProof/>
                <w:webHidden/>
              </w:rPr>
              <w:fldChar w:fldCharType="begin"/>
            </w:r>
            <w:r>
              <w:rPr>
                <w:noProof/>
                <w:webHidden/>
              </w:rPr>
              <w:instrText xml:space="preserve"> PAGEREF _Toc238867406 \h </w:instrText>
            </w:r>
            <w:r>
              <w:rPr>
                <w:noProof/>
                <w:webHidden/>
              </w:rPr>
            </w:r>
            <w:r>
              <w:rPr>
                <w:noProof/>
                <w:webHidden/>
              </w:rPr>
              <w:fldChar w:fldCharType="separate"/>
            </w:r>
            <w:r w:rsidR="00493733">
              <w:rPr>
                <w:noProof/>
                <w:webHidden/>
              </w:rPr>
              <w:t>175</w:t>
            </w:r>
            <w:r>
              <w:rPr>
                <w:noProof/>
                <w:webHidden/>
              </w:rPr>
              <w:fldChar w:fldCharType="end"/>
            </w:r>
          </w:hyperlink>
        </w:p>
        <w:p w14:paraId="52921959" w14:textId="4982BD50" w:rsidR="007E3004" w:rsidRDefault="007E3004">
          <w:pPr>
            <w:pStyle w:val="TOC3"/>
            <w:rPr>
              <w:rFonts w:asciiTheme="minorHAnsi" w:hAnsiTheme="minorHAnsi"/>
              <w:noProof/>
              <w:kern w:val="2"/>
              <w:sz w:val="24"/>
              <w:szCs w:val="24"/>
              <w:lang w:bidi="ar-SA"/>
              <w14:ligatures w14:val="standardContextual"/>
            </w:rPr>
          </w:pPr>
          <w:hyperlink w:anchor="_Toc238867407" w:history="1">
            <w:r w:rsidRPr="0090244A">
              <w:rPr>
                <w:rStyle w:val="Hyperlink"/>
                <w:noProof/>
              </w:rPr>
              <w:t>The First Offer is the Best Offer</w:t>
            </w:r>
            <w:r>
              <w:rPr>
                <w:noProof/>
                <w:webHidden/>
              </w:rPr>
              <w:tab/>
            </w:r>
            <w:r>
              <w:rPr>
                <w:noProof/>
                <w:webHidden/>
              </w:rPr>
              <w:fldChar w:fldCharType="begin"/>
            </w:r>
            <w:r>
              <w:rPr>
                <w:noProof/>
                <w:webHidden/>
              </w:rPr>
              <w:instrText xml:space="preserve"> PAGEREF _Toc238867407 \h </w:instrText>
            </w:r>
            <w:r>
              <w:rPr>
                <w:noProof/>
                <w:webHidden/>
              </w:rPr>
            </w:r>
            <w:r>
              <w:rPr>
                <w:noProof/>
                <w:webHidden/>
              </w:rPr>
              <w:fldChar w:fldCharType="separate"/>
            </w:r>
            <w:r w:rsidR="00493733">
              <w:rPr>
                <w:noProof/>
                <w:webHidden/>
              </w:rPr>
              <w:t>175</w:t>
            </w:r>
            <w:r>
              <w:rPr>
                <w:noProof/>
                <w:webHidden/>
              </w:rPr>
              <w:fldChar w:fldCharType="end"/>
            </w:r>
          </w:hyperlink>
        </w:p>
        <w:p w14:paraId="49E35907" w14:textId="65B5153B" w:rsidR="007E3004" w:rsidRDefault="007E3004">
          <w:pPr>
            <w:pStyle w:val="TOC3"/>
            <w:rPr>
              <w:rFonts w:asciiTheme="minorHAnsi" w:hAnsiTheme="minorHAnsi"/>
              <w:noProof/>
              <w:kern w:val="2"/>
              <w:sz w:val="24"/>
              <w:szCs w:val="24"/>
              <w:lang w:bidi="ar-SA"/>
              <w14:ligatures w14:val="standardContextual"/>
            </w:rPr>
          </w:pPr>
          <w:hyperlink w:anchor="_Toc238867408" w:history="1">
            <w:r w:rsidRPr="0090244A">
              <w:rPr>
                <w:rStyle w:val="Hyperlink"/>
                <w:noProof/>
              </w:rPr>
              <w:t>Closing the Deal</w:t>
            </w:r>
            <w:r>
              <w:rPr>
                <w:noProof/>
                <w:webHidden/>
              </w:rPr>
              <w:tab/>
            </w:r>
            <w:r>
              <w:rPr>
                <w:noProof/>
                <w:webHidden/>
              </w:rPr>
              <w:fldChar w:fldCharType="begin"/>
            </w:r>
            <w:r>
              <w:rPr>
                <w:noProof/>
                <w:webHidden/>
              </w:rPr>
              <w:instrText xml:space="preserve"> PAGEREF _Toc238867408 \h </w:instrText>
            </w:r>
            <w:r>
              <w:rPr>
                <w:noProof/>
                <w:webHidden/>
              </w:rPr>
            </w:r>
            <w:r>
              <w:rPr>
                <w:noProof/>
                <w:webHidden/>
              </w:rPr>
              <w:fldChar w:fldCharType="separate"/>
            </w:r>
            <w:r w:rsidR="00493733">
              <w:rPr>
                <w:noProof/>
                <w:webHidden/>
              </w:rPr>
              <w:t>177</w:t>
            </w:r>
            <w:r>
              <w:rPr>
                <w:noProof/>
                <w:webHidden/>
              </w:rPr>
              <w:fldChar w:fldCharType="end"/>
            </w:r>
          </w:hyperlink>
        </w:p>
        <w:p w14:paraId="31DB43DA" w14:textId="64655123" w:rsidR="007E3004" w:rsidRDefault="007E3004">
          <w:pPr>
            <w:pStyle w:val="TOC2"/>
            <w:rPr>
              <w:rFonts w:asciiTheme="minorHAnsi" w:hAnsiTheme="minorHAnsi"/>
              <w:kern w:val="2"/>
              <w:sz w:val="24"/>
              <w:szCs w:val="24"/>
              <w:lang w:bidi="ar-SA"/>
              <w14:ligatures w14:val="standardContextual"/>
            </w:rPr>
          </w:pPr>
          <w:hyperlink w:anchor="_Toc238867409" w:history="1">
            <w:r w:rsidRPr="0090244A">
              <w:rPr>
                <w:rStyle w:val="Hyperlink"/>
              </w:rPr>
              <w:t>Summary</w:t>
            </w:r>
            <w:r>
              <w:rPr>
                <w:webHidden/>
              </w:rPr>
              <w:tab/>
            </w:r>
            <w:r>
              <w:rPr>
                <w:webHidden/>
              </w:rPr>
              <w:fldChar w:fldCharType="begin"/>
            </w:r>
            <w:r>
              <w:rPr>
                <w:webHidden/>
              </w:rPr>
              <w:instrText xml:space="preserve"> PAGEREF _Toc238867409 \h </w:instrText>
            </w:r>
            <w:r>
              <w:rPr>
                <w:webHidden/>
              </w:rPr>
            </w:r>
            <w:r>
              <w:rPr>
                <w:webHidden/>
              </w:rPr>
              <w:fldChar w:fldCharType="separate"/>
            </w:r>
            <w:r w:rsidR="00493733">
              <w:rPr>
                <w:webHidden/>
              </w:rPr>
              <w:t>177</w:t>
            </w:r>
            <w:r>
              <w:rPr>
                <w:webHidden/>
              </w:rPr>
              <w:fldChar w:fldCharType="end"/>
            </w:r>
          </w:hyperlink>
        </w:p>
        <w:p w14:paraId="43C6C1A9" w14:textId="3433357E" w:rsidR="007E3004" w:rsidRDefault="007E3004">
          <w:pPr>
            <w:pStyle w:val="TOC1"/>
            <w:rPr>
              <w:rFonts w:asciiTheme="minorHAnsi" w:hAnsiTheme="minorHAnsi"/>
              <w:b w:val="0"/>
              <w:noProof/>
              <w:kern w:val="2"/>
              <w:sz w:val="24"/>
              <w:szCs w:val="24"/>
              <w:lang w:bidi="ar-SA"/>
              <w14:ligatures w14:val="standardContextual"/>
            </w:rPr>
          </w:pPr>
          <w:hyperlink w:anchor="_Toc238867410" w:history="1">
            <w:r w:rsidRPr="0090244A">
              <w:rPr>
                <w:rStyle w:val="Hyperlink"/>
                <w:noProof/>
              </w:rPr>
              <w:t>Preventing the Next Housing Bubble</w:t>
            </w:r>
            <w:r>
              <w:rPr>
                <w:noProof/>
                <w:webHidden/>
              </w:rPr>
              <w:tab/>
            </w:r>
            <w:r>
              <w:rPr>
                <w:noProof/>
                <w:webHidden/>
              </w:rPr>
              <w:fldChar w:fldCharType="begin"/>
            </w:r>
            <w:r>
              <w:rPr>
                <w:noProof/>
                <w:webHidden/>
              </w:rPr>
              <w:instrText xml:space="preserve"> PAGEREF _Toc238867410 \h </w:instrText>
            </w:r>
            <w:r>
              <w:rPr>
                <w:noProof/>
                <w:webHidden/>
              </w:rPr>
            </w:r>
            <w:r>
              <w:rPr>
                <w:noProof/>
                <w:webHidden/>
              </w:rPr>
              <w:fldChar w:fldCharType="separate"/>
            </w:r>
            <w:r w:rsidR="00493733">
              <w:rPr>
                <w:noProof/>
                <w:webHidden/>
              </w:rPr>
              <w:t>179</w:t>
            </w:r>
            <w:r>
              <w:rPr>
                <w:noProof/>
                <w:webHidden/>
              </w:rPr>
              <w:fldChar w:fldCharType="end"/>
            </w:r>
          </w:hyperlink>
        </w:p>
        <w:p w14:paraId="3B004477" w14:textId="01AE9A1B" w:rsidR="007E3004" w:rsidRDefault="007E3004">
          <w:pPr>
            <w:pStyle w:val="TOC2"/>
            <w:rPr>
              <w:rFonts w:asciiTheme="minorHAnsi" w:hAnsiTheme="minorHAnsi"/>
              <w:kern w:val="2"/>
              <w:sz w:val="24"/>
              <w:szCs w:val="24"/>
              <w:lang w:bidi="ar-SA"/>
              <w14:ligatures w14:val="standardContextual"/>
            </w:rPr>
          </w:pPr>
          <w:hyperlink w:anchor="_Toc238867411" w:history="1">
            <w:r w:rsidRPr="0090244A">
              <w:rPr>
                <w:rStyle w:val="Hyperlink"/>
              </w:rPr>
              <w:t>Necessary Intervention</w:t>
            </w:r>
            <w:r>
              <w:rPr>
                <w:webHidden/>
              </w:rPr>
              <w:tab/>
            </w:r>
            <w:r>
              <w:rPr>
                <w:webHidden/>
              </w:rPr>
              <w:fldChar w:fldCharType="begin"/>
            </w:r>
            <w:r>
              <w:rPr>
                <w:webHidden/>
              </w:rPr>
              <w:instrText xml:space="preserve"> PAGEREF _Toc238867411 \h </w:instrText>
            </w:r>
            <w:r>
              <w:rPr>
                <w:webHidden/>
              </w:rPr>
            </w:r>
            <w:r>
              <w:rPr>
                <w:webHidden/>
              </w:rPr>
              <w:fldChar w:fldCharType="separate"/>
            </w:r>
            <w:r w:rsidR="00493733">
              <w:rPr>
                <w:webHidden/>
              </w:rPr>
              <w:t>179</w:t>
            </w:r>
            <w:r>
              <w:rPr>
                <w:webHidden/>
              </w:rPr>
              <w:fldChar w:fldCharType="end"/>
            </w:r>
          </w:hyperlink>
        </w:p>
        <w:p w14:paraId="144F5B6E" w14:textId="0D58834D" w:rsidR="007E3004" w:rsidRDefault="007E3004">
          <w:pPr>
            <w:pStyle w:val="TOC3"/>
            <w:rPr>
              <w:rFonts w:asciiTheme="minorHAnsi" w:hAnsiTheme="minorHAnsi"/>
              <w:noProof/>
              <w:kern w:val="2"/>
              <w:sz w:val="24"/>
              <w:szCs w:val="24"/>
              <w:lang w:bidi="ar-SA"/>
              <w14:ligatures w14:val="standardContextual"/>
            </w:rPr>
          </w:pPr>
          <w:hyperlink w:anchor="_Toc238867412" w:history="1">
            <w:r w:rsidRPr="0090244A">
              <w:rPr>
                <w:rStyle w:val="Hyperlink"/>
                <w:noProof/>
              </w:rPr>
              <w:t>Economic Problems</w:t>
            </w:r>
            <w:r>
              <w:rPr>
                <w:noProof/>
                <w:webHidden/>
              </w:rPr>
              <w:tab/>
            </w:r>
            <w:r>
              <w:rPr>
                <w:noProof/>
                <w:webHidden/>
              </w:rPr>
              <w:fldChar w:fldCharType="begin"/>
            </w:r>
            <w:r>
              <w:rPr>
                <w:noProof/>
                <w:webHidden/>
              </w:rPr>
              <w:instrText xml:space="preserve"> PAGEREF _Toc238867412 \h </w:instrText>
            </w:r>
            <w:r>
              <w:rPr>
                <w:noProof/>
                <w:webHidden/>
              </w:rPr>
            </w:r>
            <w:r>
              <w:rPr>
                <w:noProof/>
                <w:webHidden/>
              </w:rPr>
              <w:fldChar w:fldCharType="separate"/>
            </w:r>
            <w:r w:rsidR="00493733">
              <w:rPr>
                <w:noProof/>
                <w:webHidden/>
              </w:rPr>
              <w:t>179</w:t>
            </w:r>
            <w:r>
              <w:rPr>
                <w:noProof/>
                <w:webHidden/>
              </w:rPr>
              <w:fldChar w:fldCharType="end"/>
            </w:r>
          </w:hyperlink>
        </w:p>
        <w:p w14:paraId="43734867" w14:textId="1A7E04FB" w:rsidR="007E3004" w:rsidRDefault="007E3004">
          <w:pPr>
            <w:pStyle w:val="TOC3"/>
            <w:rPr>
              <w:rFonts w:asciiTheme="minorHAnsi" w:hAnsiTheme="minorHAnsi"/>
              <w:noProof/>
              <w:kern w:val="2"/>
              <w:sz w:val="24"/>
              <w:szCs w:val="24"/>
              <w:lang w:bidi="ar-SA"/>
              <w14:ligatures w14:val="standardContextual"/>
            </w:rPr>
          </w:pPr>
          <w:hyperlink w:anchor="_Toc238867413" w:history="1">
            <w:r w:rsidRPr="0090244A">
              <w:rPr>
                <w:rStyle w:val="Hyperlink"/>
                <w:noProof/>
              </w:rPr>
              <w:t>Personal Problems</w:t>
            </w:r>
            <w:r>
              <w:rPr>
                <w:noProof/>
                <w:webHidden/>
              </w:rPr>
              <w:tab/>
            </w:r>
            <w:r>
              <w:rPr>
                <w:noProof/>
                <w:webHidden/>
              </w:rPr>
              <w:fldChar w:fldCharType="begin"/>
            </w:r>
            <w:r>
              <w:rPr>
                <w:noProof/>
                <w:webHidden/>
              </w:rPr>
              <w:instrText xml:space="preserve"> PAGEREF _Toc238867413 \h </w:instrText>
            </w:r>
            <w:r>
              <w:rPr>
                <w:noProof/>
                <w:webHidden/>
              </w:rPr>
            </w:r>
            <w:r>
              <w:rPr>
                <w:noProof/>
                <w:webHidden/>
              </w:rPr>
              <w:fldChar w:fldCharType="separate"/>
            </w:r>
            <w:r w:rsidR="00493733">
              <w:rPr>
                <w:noProof/>
                <w:webHidden/>
              </w:rPr>
              <w:t>181</w:t>
            </w:r>
            <w:r>
              <w:rPr>
                <w:noProof/>
                <w:webHidden/>
              </w:rPr>
              <w:fldChar w:fldCharType="end"/>
            </w:r>
          </w:hyperlink>
        </w:p>
        <w:p w14:paraId="38AD6F29" w14:textId="4765EB3A" w:rsidR="007E3004" w:rsidRDefault="007E3004">
          <w:pPr>
            <w:pStyle w:val="TOC2"/>
            <w:rPr>
              <w:rFonts w:asciiTheme="minorHAnsi" w:hAnsiTheme="minorHAnsi"/>
              <w:kern w:val="2"/>
              <w:sz w:val="24"/>
              <w:szCs w:val="24"/>
              <w:lang w:bidi="ar-SA"/>
              <w14:ligatures w14:val="standardContextual"/>
            </w:rPr>
          </w:pPr>
          <w:hyperlink w:anchor="_Toc238867414" w:history="1">
            <w:r w:rsidRPr="0090244A">
              <w:rPr>
                <w:rStyle w:val="Hyperlink"/>
              </w:rPr>
              <w:t>Addressing the Cause</w:t>
            </w:r>
            <w:r>
              <w:rPr>
                <w:webHidden/>
              </w:rPr>
              <w:tab/>
            </w:r>
            <w:r>
              <w:rPr>
                <w:webHidden/>
              </w:rPr>
              <w:fldChar w:fldCharType="begin"/>
            </w:r>
            <w:r>
              <w:rPr>
                <w:webHidden/>
              </w:rPr>
              <w:instrText xml:space="preserve"> PAGEREF _Toc238867414 \h </w:instrText>
            </w:r>
            <w:r>
              <w:rPr>
                <w:webHidden/>
              </w:rPr>
            </w:r>
            <w:r>
              <w:rPr>
                <w:webHidden/>
              </w:rPr>
              <w:fldChar w:fldCharType="separate"/>
            </w:r>
            <w:r w:rsidR="00493733">
              <w:rPr>
                <w:webHidden/>
              </w:rPr>
              <w:t>182</w:t>
            </w:r>
            <w:r>
              <w:rPr>
                <w:webHidden/>
              </w:rPr>
              <w:fldChar w:fldCharType="end"/>
            </w:r>
          </w:hyperlink>
        </w:p>
        <w:p w14:paraId="708E4644" w14:textId="49DD8078" w:rsidR="007E3004" w:rsidRDefault="007E3004">
          <w:pPr>
            <w:pStyle w:val="TOC3"/>
            <w:rPr>
              <w:rFonts w:asciiTheme="minorHAnsi" w:hAnsiTheme="minorHAnsi"/>
              <w:noProof/>
              <w:kern w:val="2"/>
              <w:sz w:val="24"/>
              <w:szCs w:val="24"/>
              <w:lang w:bidi="ar-SA"/>
              <w14:ligatures w14:val="standardContextual"/>
            </w:rPr>
          </w:pPr>
          <w:hyperlink w:anchor="_Toc238867415" w:history="1">
            <w:r w:rsidRPr="0090244A">
              <w:rPr>
                <w:rStyle w:val="Hyperlink"/>
                <w:noProof/>
              </w:rPr>
              <w:t>What did not cause the bubble?</w:t>
            </w:r>
            <w:r>
              <w:rPr>
                <w:noProof/>
                <w:webHidden/>
              </w:rPr>
              <w:tab/>
            </w:r>
            <w:r>
              <w:rPr>
                <w:noProof/>
                <w:webHidden/>
              </w:rPr>
              <w:fldChar w:fldCharType="begin"/>
            </w:r>
            <w:r>
              <w:rPr>
                <w:noProof/>
                <w:webHidden/>
              </w:rPr>
              <w:instrText xml:space="preserve"> PAGEREF _Toc238867415 \h </w:instrText>
            </w:r>
            <w:r>
              <w:rPr>
                <w:noProof/>
                <w:webHidden/>
              </w:rPr>
            </w:r>
            <w:r>
              <w:rPr>
                <w:noProof/>
                <w:webHidden/>
              </w:rPr>
              <w:fldChar w:fldCharType="separate"/>
            </w:r>
            <w:r w:rsidR="00493733">
              <w:rPr>
                <w:noProof/>
                <w:webHidden/>
              </w:rPr>
              <w:t>183</w:t>
            </w:r>
            <w:r>
              <w:rPr>
                <w:noProof/>
                <w:webHidden/>
              </w:rPr>
              <w:fldChar w:fldCharType="end"/>
            </w:r>
          </w:hyperlink>
        </w:p>
        <w:p w14:paraId="1D2A9EC2" w14:textId="0DA368A8" w:rsidR="007E3004" w:rsidRDefault="007E3004">
          <w:pPr>
            <w:pStyle w:val="TOC3"/>
            <w:rPr>
              <w:rFonts w:asciiTheme="minorHAnsi" w:hAnsiTheme="minorHAnsi"/>
              <w:noProof/>
              <w:kern w:val="2"/>
              <w:sz w:val="24"/>
              <w:szCs w:val="24"/>
              <w:lang w:bidi="ar-SA"/>
              <w14:ligatures w14:val="standardContextual"/>
            </w:rPr>
          </w:pPr>
          <w:hyperlink w:anchor="_Toc238867416" w:history="1">
            <w:r w:rsidRPr="0090244A">
              <w:rPr>
                <w:rStyle w:val="Hyperlink"/>
                <w:noProof/>
              </w:rPr>
              <w:t>What did cause the bubble?</w:t>
            </w:r>
            <w:r>
              <w:rPr>
                <w:noProof/>
                <w:webHidden/>
              </w:rPr>
              <w:tab/>
            </w:r>
            <w:r>
              <w:rPr>
                <w:noProof/>
                <w:webHidden/>
              </w:rPr>
              <w:fldChar w:fldCharType="begin"/>
            </w:r>
            <w:r>
              <w:rPr>
                <w:noProof/>
                <w:webHidden/>
              </w:rPr>
              <w:instrText xml:space="preserve"> PAGEREF _Toc238867416 \h </w:instrText>
            </w:r>
            <w:r>
              <w:rPr>
                <w:noProof/>
                <w:webHidden/>
              </w:rPr>
            </w:r>
            <w:r>
              <w:rPr>
                <w:noProof/>
                <w:webHidden/>
              </w:rPr>
              <w:fldChar w:fldCharType="separate"/>
            </w:r>
            <w:r w:rsidR="00493733">
              <w:rPr>
                <w:noProof/>
                <w:webHidden/>
              </w:rPr>
              <w:t>185</w:t>
            </w:r>
            <w:r>
              <w:rPr>
                <w:noProof/>
                <w:webHidden/>
              </w:rPr>
              <w:fldChar w:fldCharType="end"/>
            </w:r>
          </w:hyperlink>
        </w:p>
        <w:p w14:paraId="07193C4A" w14:textId="0A08FFF4" w:rsidR="007E3004" w:rsidRDefault="007E3004">
          <w:pPr>
            <w:pStyle w:val="TOC2"/>
            <w:rPr>
              <w:rFonts w:asciiTheme="minorHAnsi" w:hAnsiTheme="minorHAnsi"/>
              <w:kern w:val="2"/>
              <w:sz w:val="24"/>
              <w:szCs w:val="24"/>
              <w:lang w:bidi="ar-SA"/>
              <w14:ligatures w14:val="standardContextual"/>
            </w:rPr>
          </w:pPr>
          <w:hyperlink w:anchor="_Toc238867417" w:history="1">
            <w:r w:rsidRPr="0090244A">
              <w:rPr>
                <w:rStyle w:val="Hyperlink"/>
              </w:rPr>
              <w:t>Market Solutions</w:t>
            </w:r>
            <w:r>
              <w:rPr>
                <w:webHidden/>
              </w:rPr>
              <w:tab/>
            </w:r>
            <w:r>
              <w:rPr>
                <w:webHidden/>
              </w:rPr>
              <w:fldChar w:fldCharType="begin"/>
            </w:r>
            <w:r>
              <w:rPr>
                <w:webHidden/>
              </w:rPr>
              <w:instrText xml:space="preserve"> PAGEREF _Toc238867417 \h </w:instrText>
            </w:r>
            <w:r>
              <w:rPr>
                <w:webHidden/>
              </w:rPr>
            </w:r>
            <w:r>
              <w:rPr>
                <w:webHidden/>
              </w:rPr>
              <w:fldChar w:fldCharType="separate"/>
            </w:r>
            <w:r w:rsidR="00493733">
              <w:rPr>
                <w:webHidden/>
              </w:rPr>
              <w:t>187</w:t>
            </w:r>
            <w:r>
              <w:rPr>
                <w:webHidden/>
              </w:rPr>
              <w:fldChar w:fldCharType="end"/>
            </w:r>
          </w:hyperlink>
        </w:p>
        <w:p w14:paraId="6E2AA51E" w14:textId="1000D6FE" w:rsidR="007E3004" w:rsidRDefault="007E3004">
          <w:pPr>
            <w:pStyle w:val="TOC2"/>
            <w:rPr>
              <w:rFonts w:asciiTheme="minorHAnsi" w:hAnsiTheme="minorHAnsi"/>
              <w:kern w:val="2"/>
              <w:sz w:val="24"/>
              <w:szCs w:val="24"/>
              <w:lang w:bidi="ar-SA"/>
              <w14:ligatures w14:val="standardContextual"/>
            </w:rPr>
          </w:pPr>
          <w:hyperlink w:anchor="_Toc238867418" w:history="1">
            <w:r w:rsidRPr="0090244A">
              <w:rPr>
                <w:rStyle w:val="Hyperlink"/>
              </w:rPr>
              <w:t>Regulatory Solutions</w:t>
            </w:r>
            <w:r>
              <w:rPr>
                <w:webHidden/>
              </w:rPr>
              <w:tab/>
            </w:r>
            <w:r>
              <w:rPr>
                <w:webHidden/>
              </w:rPr>
              <w:fldChar w:fldCharType="begin"/>
            </w:r>
            <w:r>
              <w:rPr>
                <w:webHidden/>
              </w:rPr>
              <w:instrText xml:space="preserve"> PAGEREF _Toc238867418 \h </w:instrText>
            </w:r>
            <w:r>
              <w:rPr>
                <w:webHidden/>
              </w:rPr>
            </w:r>
            <w:r>
              <w:rPr>
                <w:webHidden/>
              </w:rPr>
              <w:fldChar w:fldCharType="separate"/>
            </w:r>
            <w:r w:rsidR="00493733">
              <w:rPr>
                <w:webHidden/>
              </w:rPr>
              <w:t>190</w:t>
            </w:r>
            <w:r>
              <w:rPr>
                <w:webHidden/>
              </w:rPr>
              <w:fldChar w:fldCharType="end"/>
            </w:r>
          </w:hyperlink>
        </w:p>
        <w:p w14:paraId="750D5F9D" w14:textId="5CD3C433" w:rsidR="007E3004" w:rsidRDefault="007E3004">
          <w:pPr>
            <w:pStyle w:val="TOC2"/>
            <w:rPr>
              <w:rFonts w:asciiTheme="minorHAnsi" w:hAnsiTheme="minorHAnsi"/>
              <w:kern w:val="2"/>
              <w:sz w:val="24"/>
              <w:szCs w:val="24"/>
              <w:lang w:bidi="ar-SA"/>
              <w14:ligatures w14:val="standardContextual"/>
            </w:rPr>
          </w:pPr>
          <w:hyperlink w:anchor="_Toc238867419" w:history="1">
            <w:r w:rsidRPr="0090244A">
              <w:rPr>
                <w:rStyle w:val="Hyperlink"/>
              </w:rPr>
              <w:t>Summary</w:t>
            </w:r>
            <w:r>
              <w:rPr>
                <w:webHidden/>
              </w:rPr>
              <w:tab/>
            </w:r>
            <w:r>
              <w:rPr>
                <w:webHidden/>
              </w:rPr>
              <w:fldChar w:fldCharType="begin"/>
            </w:r>
            <w:r>
              <w:rPr>
                <w:webHidden/>
              </w:rPr>
              <w:instrText xml:space="preserve"> PAGEREF _Toc238867419 \h </w:instrText>
            </w:r>
            <w:r>
              <w:rPr>
                <w:webHidden/>
              </w:rPr>
            </w:r>
            <w:r>
              <w:rPr>
                <w:webHidden/>
              </w:rPr>
              <w:fldChar w:fldCharType="separate"/>
            </w:r>
            <w:r w:rsidR="00493733">
              <w:rPr>
                <w:webHidden/>
              </w:rPr>
              <w:t>194</w:t>
            </w:r>
            <w:r>
              <w:rPr>
                <w:webHidden/>
              </w:rPr>
              <w:fldChar w:fldCharType="end"/>
            </w:r>
          </w:hyperlink>
        </w:p>
        <w:p w14:paraId="1D1A03A5" w14:textId="72C38B9C" w:rsidR="007E3004" w:rsidRDefault="007E3004">
          <w:pPr>
            <w:pStyle w:val="TOC1"/>
            <w:rPr>
              <w:rFonts w:asciiTheme="minorHAnsi" w:hAnsiTheme="minorHAnsi"/>
              <w:b w:val="0"/>
              <w:noProof/>
              <w:kern w:val="2"/>
              <w:sz w:val="24"/>
              <w:szCs w:val="24"/>
              <w:lang w:bidi="ar-SA"/>
              <w14:ligatures w14:val="standardContextual"/>
            </w:rPr>
          </w:pPr>
          <w:hyperlink w:anchor="_Toc238867420" w:history="1">
            <w:r w:rsidRPr="0090244A">
              <w:rPr>
                <w:rStyle w:val="Hyperlink"/>
                <w:noProof/>
              </w:rPr>
              <w:t>Bibliography</w:t>
            </w:r>
            <w:r>
              <w:rPr>
                <w:noProof/>
                <w:webHidden/>
              </w:rPr>
              <w:tab/>
            </w:r>
            <w:r>
              <w:rPr>
                <w:noProof/>
                <w:webHidden/>
              </w:rPr>
              <w:fldChar w:fldCharType="begin"/>
            </w:r>
            <w:r>
              <w:rPr>
                <w:noProof/>
                <w:webHidden/>
              </w:rPr>
              <w:instrText xml:space="preserve"> PAGEREF _Toc238867420 \h </w:instrText>
            </w:r>
            <w:r>
              <w:rPr>
                <w:noProof/>
                <w:webHidden/>
              </w:rPr>
            </w:r>
            <w:r>
              <w:rPr>
                <w:noProof/>
                <w:webHidden/>
              </w:rPr>
              <w:fldChar w:fldCharType="separate"/>
            </w:r>
            <w:r w:rsidR="00493733">
              <w:rPr>
                <w:noProof/>
                <w:webHidden/>
              </w:rPr>
              <w:t>197</w:t>
            </w:r>
            <w:r>
              <w:rPr>
                <w:noProof/>
                <w:webHidden/>
              </w:rPr>
              <w:fldChar w:fldCharType="end"/>
            </w:r>
          </w:hyperlink>
        </w:p>
        <w:p w14:paraId="0A0AA34B" w14:textId="0AD5313F" w:rsidR="007E3004" w:rsidRDefault="007E3004">
          <w:pPr>
            <w:pStyle w:val="TOC1"/>
            <w:rPr>
              <w:rFonts w:asciiTheme="minorHAnsi" w:hAnsiTheme="minorHAnsi"/>
              <w:b w:val="0"/>
              <w:noProof/>
              <w:kern w:val="2"/>
              <w:sz w:val="24"/>
              <w:szCs w:val="24"/>
              <w:lang w:bidi="ar-SA"/>
              <w14:ligatures w14:val="standardContextual"/>
            </w:rPr>
          </w:pPr>
          <w:hyperlink w:anchor="_Toc238867421" w:history="1">
            <w:r w:rsidRPr="0090244A">
              <w:rPr>
                <w:rStyle w:val="Hyperlink"/>
                <w:noProof/>
              </w:rPr>
              <w:t>Index</w:t>
            </w:r>
            <w:r>
              <w:rPr>
                <w:noProof/>
                <w:webHidden/>
              </w:rPr>
              <w:tab/>
            </w:r>
            <w:r>
              <w:rPr>
                <w:noProof/>
                <w:webHidden/>
              </w:rPr>
              <w:fldChar w:fldCharType="begin"/>
            </w:r>
            <w:r>
              <w:rPr>
                <w:noProof/>
                <w:webHidden/>
              </w:rPr>
              <w:instrText xml:space="preserve"> PAGEREF _Toc238867421 \h </w:instrText>
            </w:r>
            <w:r>
              <w:rPr>
                <w:noProof/>
                <w:webHidden/>
              </w:rPr>
            </w:r>
            <w:r>
              <w:rPr>
                <w:noProof/>
                <w:webHidden/>
              </w:rPr>
              <w:fldChar w:fldCharType="separate"/>
            </w:r>
            <w:r w:rsidR="00493733">
              <w:rPr>
                <w:noProof/>
                <w:webHidden/>
              </w:rPr>
              <w:t>207</w:t>
            </w:r>
            <w:r>
              <w:rPr>
                <w:noProof/>
                <w:webHidden/>
              </w:rPr>
              <w:fldChar w:fldCharType="end"/>
            </w:r>
          </w:hyperlink>
        </w:p>
        <w:p w14:paraId="55271942" w14:textId="3367136E" w:rsidR="007E3004" w:rsidRDefault="007E3004">
          <w:pPr>
            <w:pStyle w:val="TOC1"/>
            <w:rPr>
              <w:rFonts w:asciiTheme="minorHAnsi" w:hAnsiTheme="minorHAnsi"/>
              <w:b w:val="0"/>
              <w:noProof/>
              <w:kern w:val="2"/>
              <w:sz w:val="24"/>
              <w:szCs w:val="24"/>
              <w:lang w:bidi="ar-SA"/>
              <w14:ligatures w14:val="standardContextual"/>
            </w:rPr>
          </w:pPr>
          <w:hyperlink w:anchor="_Toc238867422" w:history="1">
            <w:r w:rsidRPr="0090244A">
              <w:rPr>
                <w:rStyle w:val="Hyperlink"/>
                <w:noProof/>
              </w:rPr>
              <w:t>End Notes</w:t>
            </w:r>
            <w:r>
              <w:rPr>
                <w:noProof/>
                <w:webHidden/>
              </w:rPr>
              <w:tab/>
            </w:r>
            <w:r>
              <w:rPr>
                <w:noProof/>
                <w:webHidden/>
              </w:rPr>
              <w:fldChar w:fldCharType="begin"/>
            </w:r>
            <w:r>
              <w:rPr>
                <w:noProof/>
                <w:webHidden/>
              </w:rPr>
              <w:instrText xml:space="preserve"> PAGEREF _Toc238867422 \h </w:instrText>
            </w:r>
            <w:r>
              <w:rPr>
                <w:noProof/>
                <w:webHidden/>
              </w:rPr>
            </w:r>
            <w:r>
              <w:rPr>
                <w:noProof/>
                <w:webHidden/>
              </w:rPr>
              <w:fldChar w:fldCharType="separate"/>
            </w:r>
            <w:r w:rsidR="00493733">
              <w:rPr>
                <w:noProof/>
                <w:webHidden/>
              </w:rPr>
              <w:t>213</w:t>
            </w:r>
            <w:r>
              <w:rPr>
                <w:noProof/>
                <w:webHidden/>
              </w:rPr>
              <w:fldChar w:fldCharType="end"/>
            </w:r>
          </w:hyperlink>
        </w:p>
        <w:p w14:paraId="76A9CFEA" w14:textId="5800EED6" w:rsidR="00BE0098" w:rsidRPr="00124B71" w:rsidRDefault="001858B5" w:rsidP="009729DE">
          <w:pPr>
            <w:tabs>
              <w:tab w:val="right" w:leader="dot" w:pos="6480"/>
            </w:tabs>
            <w:rPr>
              <w:rFonts w:cs="Times New Roman"/>
            </w:rPr>
          </w:pPr>
          <w:r w:rsidRPr="00124B71">
            <w:rPr>
              <w:rFonts w:cs="Times New Roman"/>
            </w:rPr>
            <w:fldChar w:fldCharType="end"/>
          </w:r>
        </w:p>
      </w:sdtContent>
    </w:sdt>
    <w:p w14:paraId="6B9A31DA" w14:textId="77777777" w:rsidR="00515A0F" w:rsidRDefault="00515A0F">
      <w:pPr>
        <w:pStyle w:val="TableofFigures"/>
        <w:tabs>
          <w:tab w:val="right" w:leader="dot" w:pos="6470"/>
        </w:tabs>
        <w:sectPr w:rsidR="00515A0F" w:rsidSect="009729DE">
          <w:headerReference w:type="even" r:id="rId15"/>
          <w:headerReference w:type="default" r:id="rId16"/>
          <w:footerReference w:type="even" r:id="rId17"/>
          <w:footerReference w:type="default" r:id="rId18"/>
          <w:endnotePr>
            <w:numFmt w:val="decimal"/>
          </w:endnotePr>
          <w:type w:val="oddPage"/>
          <w:pgSz w:w="8640" w:h="12960" w:code="173"/>
          <w:pgMar w:top="1008" w:right="936" w:bottom="1080" w:left="936" w:header="504" w:footer="504" w:gutter="0"/>
          <w:pgNumType w:fmt="lowerRoman" w:chapStyle="1"/>
          <w:cols w:space="720"/>
          <w:docGrid w:linePitch="360"/>
        </w:sectPr>
      </w:pPr>
    </w:p>
    <w:p w14:paraId="05D9D922" w14:textId="0857B265" w:rsidR="007E3004" w:rsidRDefault="001858B5">
      <w:pPr>
        <w:pStyle w:val="TableofFigures"/>
        <w:tabs>
          <w:tab w:val="right" w:leader="dot" w:pos="6758"/>
        </w:tabs>
        <w:rPr>
          <w:rFonts w:asciiTheme="minorHAnsi" w:hAnsiTheme="minorHAnsi"/>
          <w:noProof/>
          <w:kern w:val="2"/>
          <w:sz w:val="24"/>
          <w:szCs w:val="24"/>
          <w:lang w:bidi="ar-SA"/>
          <w14:ligatures w14:val="standardContextual"/>
        </w:rPr>
      </w:pPr>
      <w:r w:rsidRPr="00124B71">
        <w:rPr>
          <w:rFonts w:cs="Times New Roman"/>
          <w:sz w:val="18"/>
          <w:szCs w:val="18"/>
        </w:rPr>
        <w:lastRenderedPageBreak/>
        <w:fldChar w:fldCharType="begin"/>
      </w:r>
      <w:r w:rsidR="00B97521" w:rsidRPr="00124B71">
        <w:rPr>
          <w:rFonts w:cs="Times New Roman"/>
          <w:szCs w:val="18"/>
        </w:rPr>
        <w:instrText xml:space="preserve"> TOC \h \z \c "Equation" </w:instrText>
      </w:r>
      <w:r w:rsidRPr="00124B71">
        <w:rPr>
          <w:rFonts w:cs="Times New Roman"/>
          <w:sz w:val="18"/>
          <w:szCs w:val="18"/>
        </w:rPr>
        <w:fldChar w:fldCharType="separate"/>
      </w:r>
      <w:hyperlink w:anchor="_Toc238867423" w:history="1">
        <w:r w:rsidR="007E3004" w:rsidRPr="00B75348">
          <w:rPr>
            <w:rStyle w:val="Hyperlink"/>
            <w:noProof/>
          </w:rPr>
          <w:t>Equation 1: Cost of Ownership for 2006 Median Property in United States</w:t>
        </w:r>
        <w:r w:rsidR="007E3004">
          <w:rPr>
            <w:noProof/>
            <w:webHidden/>
          </w:rPr>
          <w:tab/>
        </w:r>
        <w:r w:rsidR="007E3004">
          <w:rPr>
            <w:noProof/>
            <w:webHidden/>
          </w:rPr>
          <w:fldChar w:fldCharType="begin"/>
        </w:r>
        <w:r w:rsidR="007E3004">
          <w:rPr>
            <w:noProof/>
            <w:webHidden/>
          </w:rPr>
          <w:instrText xml:space="preserve"> PAGEREF _Toc238867423 \h </w:instrText>
        </w:r>
        <w:r w:rsidR="007E3004">
          <w:rPr>
            <w:noProof/>
            <w:webHidden/>
          </w:rPr>
        </w:r>
        <w:r w:rsidR="007E3004">
          <w:rPr>
            <w:noProof/>
            <w:webHidden/>
          </w:rPr>
          <w:fldChar w:fldCharType="separate"/>
        </w:r>
        <w:r w:rsidR="00493733">
          <w:rPr>
            <w:noProof/>
            <w:webHidden/>
          </w:rPr>
          <w:t>36</w:t>
        </w:r>
        <w:r w:rsidR="007E3004">
          <w:rPr>
            <w:noProof/>
            <w:webHidden/>
          </w:rPr>
          <w:fldChar w:fldCharType="end"/>
        </w:r>
      </w:hyperlink>
    </w:p>
    <w:p w14:paraId="116B95D1" w14:textId="2E3BCEAD"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24" w:history="1">
        <w:r w:rsidRPr="00B75348">
          <w:rPr>
            <w:rStyle w:val="Hyperlink"/>
            <w:noProof/>
          </w:rPr>
          <w:t>Equation 2: Value of Hypothetical 100-Lot Subdivision</w:t>
        </w:r>
        <w:r>
          <w:rPr>
            <w:noProof/>
            <w:webHidden/>
          </w:rPr>
          <w:tab/>
        </w:r>
        <w:r>
          <w:rPr>
            <w:noProof/>
            <w:webHidden/>
          </w:rPr>
          <w:fldChar w:fldCharType="begin"/>
        </w:r>
        <w:r>
          <w:rPr>
            <w:noProof/>
            <w:webHidden/>
          </w:rPr>
          <w:instrText xml:space="preserve"> PAGEREF _Toc238867424 \h </w:instrText>
        </w:r>
        <w:r>
          <w:rPr>
            <w:noProof/>
            <w:webHidden/>
          </w:rPr>
        </w:r>
        <w:r>
          <w:rPr>
            <w:noProof/>
            <w:webHidden/>
          </w:rPr>
          <w:fldChar w:fldCharType="separate"/>
        </w:r>
        <w:r w:rsidR="00493733">
          <w:rPr>
            <w:noProof/>
            <w:webHidden/>
          </w:rPr>
          <w:t>53</w:t>
        </w:r>
        <w:r>
          <w:rPr>
            <w:noProof/>
            <w:webHidden/>
          </w:rPr>
          <w:fldChar w:fldCharType="end"/>
        </w:r>
      </w:hyperlink>
    </w:p>
    <w:p w14:paraId="675F29B2" w14:textId="5C75C298"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25" w:history="1">
        <w:r w:rsidRPr="00B75348">
          <w:rPr>
            <w:rStyle w:val="Hyperlink"/>
            <w:noProof/>
          </w:rPr>
          <w:t>Equation 3: Valuation of Woodbury Community at Peak House Pricing</w:t>
        </w:r>
        <w:r>
          <w:rPr>
            <w:noProof/>
            <w:webHidden/>
          </w:rPr>
          <w:tab/>
        </w:r>
        <w:r>
          <w:rPr>
            <w:noProof/>
            <w:webHidden/>
          </w:rPr>
          <w:fldChar w:fldCharType="begin"/>
        </w:r>
        <w:r>
          <w:rPr>
            <w:noProof/>
            <w:webHidden/>
          </w:rPr>
          <w:instrText xml:space="preserve"> PAGEREF _Toc238867425 \h </w:instrText>
        </w:r>
        <w:r>
          <w:rPr>
            <w:noProof/>
            <w:webHidden/>
          </w:rPr>
        </w:r>
        <w:r>
          <w:rPr>
            <w:noProof/>
            <w:webHidden/>
          </w:rPr>
          <w:fldChar w:fldCharType="separate"/>
        </w:r>
        <w:r w:rsidR="00493733">
          <w:rPr>
            <w:noProof/>
            <w:webHidden/>
          </w:rPr>
          <w:t>55</w:t>
        </w:r>
        <w:r>
          <w:rPr>
            <w:noProof/>
            <w:webHidden/>
          </w:rPr>
          <w:fldChar w:fldCharType="end"/>
        </w:r>
      </w:hyperlink>
    </w:p>
    <w:p w14:paraId="48CF8966" w14:textId="0BAC310D"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26" w:history="1">
        <w:r w:rsidRPr="00B75348">
          <w:rPr>
            <w:rStyle w:val="Hyperlink"/>
            <w:noProof/>
          </w:rPr>
          <w:t>Equation 4: Valuation of Woodbury Community after 50% House Price Decline</w:t>
        </w:r>
        <w:r>
          <w:rPr>
            <w:noProof/>
            <w:webHidden/>
          </w:rPr>
          <w:tab/>
        </w:r>
        <w:r>
          <w:rPr>
            <w:noProof/>
            <w:webHidden/>
          </w:rPr>
          <w:fldChar w:fldCharType="begin"/>
        </w:r>
        <w:r>
          <w:rPr>
            <w:noProof/>
            <w:webHidden/>
          </w:rPr>
          <w:instrText xml:space="preserve"> PAGEREF _Toc238867426 \h </w:instrText>
        </w:r>
        <w:r>
          <w:rPr>
            <w:noProof/>
            <w:webHidden/>
          </w:rPr>
        </w:r>
        <w:r>
          <w:rPr>
            <w:noProof/>
            <w:webHidden/>
          </w:rPr>
          <w:fldChar w:fldCharType="separate"/>
        </w:r>
        <w:r w:rsidR="00493733">
          <w:rPr>
            <w:noProof/>
            <w:webHidden/>
          </w:rPr>
          <w:t>56</w:t>
        </w:r>
        <w:r>
          <w:rPr>
            <w:noProof/>
            <w:webHidden/>
          </w:rPr>
          <w:fldChar w:fldCharType="end"/>
        </w:r>
      </w:hyperlink>
    </w:p>
    <w:p w14:paraId="11670B20" w14:textId="5CD6F1EF" w:rsidR="00B97521" w:rsidRPr="00124B71" w:rsidRDefault="001858B5" w:rsidP="00B97521">
      <w:pPr>
        <w:rPr>
          <w:rFonts w:cs="Times New Roman"/>
          <w:szCs w:val="18"/>
        </w:rPr>
      </w:pPr>
      <w:r w:rsidRPr="00124B71">
        <w:rPr>
          <w:rFonts w:cs="Times New Roman"/>
          <w:szCs w:val="18"/>
        </w:rPr>
        <w:fldChar w:fldCharType="end"/>
      </w:r>
    </w:p>
    <w:p w14:paraId="53D8ABB6" w14:textId="74C384B2" w:rsidR="007E3004" w:rsidRDefault="001858B5">
      <w:pPr>
        <w:pStyle w:val="TableofFigures"/>
        <w:tabs>
          <w:tab w:val="right" w:leader="dot" w:pos="6758"/>
        </w:tabs>
        <w:rPr>
          <w:rFonts w:asciiTheme="minorHAnsi" w:hAnsiTheme="minorHAnsi"/>
          <w:noProof/>
          <w:kern w:val="2"/>
          <w:sz w:val="24"/>
          <w:szCs w:val="24"/>
          <w:lang w:bidi="ar-SA"/>
          <w14:ligatures w14:val="standardContextual"/>
        </w:rPr>
      </w:pPr>
      <w:r w:rsidRPr="00124B71">
        <w:rPr>
          <w:rFonts w:cs="Times New Roman"/>
          <w:sz w:val="18"/>
          <w:szCs w:val="18"/>
        </w:rPr>
        <w:fldChar w:fldCharType="begin"/>
      </w:r>
      <w:r w:rsidR="00F53820" w:rsidRPr="00124B71">
        <w:rPr>
          <w:rFonts w:cs="Times New Roman"/>
          <w:szCs w:val="18"/>
        </w:rPr>
        <w:instrText xml:space="preserve"> TOC \h \z \c "Table" </w:instrText>
      </w:r>
      <w:r w:rsidRPr="00124B71">
        <w:rPr>
          <w:rFonts w:cs="Times New Roman"/>
          <w:sz w:val="18"/>
          <w:szCs w:val="18"/>
        </w:rPr>
        <w:fldChar w:fldCharType="separate"/>
      </w:r>
      <w:hyperlink w:anchor="_Toc238867427" w:history="1">
        <w:r w:rsidR="007E3004" w:rsidRPr="00491D88">
          <w:rPr>
            <w:rStyle w:val="Hyperlink"/>
            <w:noProof/>
          </w:rPr>
          <w:t>Table 1: Top Subprime Lenders 2006</w:t>
        </w:r>
        <w:r w:rsidR="007E3004">
          <w:rPr>
            <w:noProof/>
            <w:webHidden/>
          </w:rPr>
          <w:tab/>
        </w:r>
        <w:r w:rsidR="007E3004">
          <w:rPr>
            <w:noProof/>
            <w:webHidden/>
          </w:rPr>
          <w:fldChar w:fldCharType="begin"/>
        </w:r>
        <w:r w:rsidR="007E3004">
          <w:rPr>
            <w:noProof/>
            <w:webHidden/>
          </w:rPr>
          <w:instrText xml:space="preserve"> PAGEREF _Toc238867427 \h </w:instrText>
        </w:r>
        <w:r w:rsidR="007E3004">
          <w:rPr>
            <w:noProof/>
            <w:webHidden/>
          </w:rPr>
        </w:r>
        <w:r w:rsidR="007E3004">
          <w:rPr>
            <w:noProof/>
            <w:webHidden/>
          </w:rPr>
          <w:fldChar w:fldCharType="separate"/>
        </w:r>
        <w:r w:rsidR="00493733">
          <w:rPr>
            <w:noProof/>
            <w:webHidden/>
          </w:rPr>
          <w:t>xviii</w:t>
        </w:r>
        <w:r w:rsidR="007E3004">
          <w:rPr>
            <w:noProof/>
            <w:webHidden/>
          </w:rPr>
          <w:fldChar w:fldCharType="end"/>
        </w:r>
      </w:hyperlink>
    </w:p>
    <w:p w14:paraId="3A404ACC" w14:textId="5F5827E9"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28" w:history="1">
        <w:r w:rsidRPr="00491D88">
          <w:rPr>
            <w:rStyle w:val="Hyperlink"/>
            <w:noProof/>
          </w:rPr>
          <w:t>Table 2: Loan Type and Borrower Type Matrix</w:t>
        </w:r>
        <w:r>
          <w:rPr>
            <w:noProof/>
            <w:webHidden/>
          </w:rPr>
          <w:tab/>
        </w:r>
        <w:r>
          <w:rPr>
            <w:noProof/>
            <w:webHidden/>
          </w:rPr>
          <w:fldChar w:fldCharType="begin"/>
        </w:r>
        <w:r>
          <w:rPr>
            <w:noProof/>
            <w:webHidden/>
          </w:rPr>
          <w:instrText xml:space="preserve"> PAGEREF _Toc238867428 \h </w:instrText>
        </w:r>
        <w:r>
          <w:rPr>
            <w:noProof/>
            <w:webHidden/>
          </w:rPr>
        </w:r>
        <w:r>
          <w:rPr>
            <w:noProof/>
            <w:webHidden/>
          </w:rPr>
          <w:fldChar w:fldCharType="separate"/>
        </w:r>
        <w:r w:rsidR="00493733">
          <w:rPr>
            <w:noProof/>
            <w:webHidden/>
          </w:rPr>
          <w:t>12</w:t>
        </w:r>
        <w:r>
          <w:rPr>
            <w:noProof/>
            <w:webHidden/>
          </w:rPr>
          <w:fldChar w:fldCharType="end"/>
        </w:r>
      </w:hyperlink>
    </w:p>
    <w:p w14:paraId="4F823A3E" w14:textId="1D5F508A"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29" w:history="1">
        <w:r w:rsidRPr="00491D88">
          <w:rPr>
            <w:rStyle w:val="Hyperlink"/>
            <w:noProof/>
          </w:rPr>
          <w:t>Table 3: Appreciation Premium and Holding Period using an 8% Discount Rate</w:t>
        </w:r>
        <w:r>
          <w:rPr>
            <w:noProof/>
            <w:webHidden/>
          </w:rPr>
          <w:tab/>
        </w:r>
        <w:r>
          <w:rPr>
            <w:noProof/>
            <w:webHidden/>
          </w:rPr>
          <w:fldChar w:fldCharType="begin"/>
        </w:r>
        <w:r>
          <w:rPr>
            <w:noProof/>
            <w:webHidden/>
          </w:rPr>
          <w:instrText xml:space="preserve"> PAGEREF _Toc238867429 \h </w:instrText>
        </w:r>
        <w:r>
          <w:rPr>
            <w:noProof/>
            <w:webHidden/>
          </w:rPr>
        </w:r>
        <w:r>
          <w:rPr>
            <w:noProof/>
            <w:webHidden/>
          </w:rPr>
          <w:fldChar w:fldCharType="separate"/>
        </w:r>
        <w:r w:rsidR="00493733">
          <w:rPr>
            <w:noProof/>
            <w:webHidden/>
          </w:rPr>
          <w:t>44</w:t>
        </w:r>
        <w:r>
          <w:rPr>
            <w:noProof/>
            <w:webHidden/>
          </w:rPr>
          <w:fldChar w:fldCharType="end"/>
        </w:r>
      </w:hyperlink>
    </w:p>
    <w:p w14:paraId="520136F6" w14:textId="0AA4076C"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30" w:history="1">
        <w:r w:rsidRPr="00491D88">
          <w:rPr>
            <w:rStyle w:val="Hyperlink"/>
            <w:noProof/>
          </w:rPr>
          <w:t>Table 4: Appreciation Premium and Holding Period using a 12% Discount Rate</w:t>
        </w:r>
        <w:r>
          <w:rPr>
            <w:noProof/>
            <w:webHidden/>
          </w:rPr>
          <w:tab/>
        </w:r>
        <w:r>
          <w:rPr>
            <w:noProof/>
            <w:webHidden/>
          </w:rPr>
          <w:fldChar w:fldCharType="begin"/>
        </w:r>
        <w:r>
          <w:rPr>
            <w:noProof/>
            <w:webHidden/>
          </w:rPr>
          <w:instrText xml:space="preserve"> PAGEREF _Toc238867430 \h </w:instrText>
        </w:r>
        <w:r>
          <w:rPr>
            <w:noProof/>
            <w:webHidden/>
          </w:rPr>
        </w:r>
        <w:r>
          <w:rPr>
            <w:noProof/>
            <w:webHidden/>
          </w:rPr>
          <w:fldChar w:fldCharType="separate"/>
        </w:r>
        <w:r w:rsidR="00493733">
          <w:rPr>
            <w:noProof/>
            <w:webHidden/>
          </w:rPr>
          <w:t>45</w:t>
        </w:r>
        <w:r>
          <w:rPr>
            <w:noProof/>
            <w:webHidden/>
          </w:rPr>
          <w:fldChar w:fldCharType="end"/>
        </w:r>
      </w:hyperlink>
    </w:p>
    <w:p w14:paraId="13A65E6D" w14:textId="6BD32907"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31" w:history="1">
        <w:r w:rsidRPr="00491D88">
          <w:rPr>
            <w:rStyle w:val="Hyperlink"/>
            <w:noProof/>
          </w:rPr>
          <w:t>Table 5: Inflation Premium from Rental Savings</w:t>
        </w:r>
        <w:r>
          <w:rPr>
            <w:noProof/>
            <w:webHidden/>
          </w:rPr>
          <w:tab/>
        </w:r>
        <w:r>
          <w:rPr>
            <w:noProof/>
            <w:webHidden/>
          </w:rPr>
          <w:fldChar w:fldCharType="begin"/>
        </w:r>
        <w:r>
          <w:rPr>
            <w:noProof/>
            <w:webHidden/>
          </w:rPr>
          <w:instrText xml:space="preserve"> PAGEREF _Toc238867431 \h </w:instrText>
        </w:r>
        <w:r>
          <w:rPr>
            <w:noProof/>
            <w:webHidden/>
          </w:rPr>
        </w:r>
        <w:r>
          <w:rPr>
            <w:noProof/>
            <w:webHidden/>
          </w:rPr>
          <w:fldChar w:fldCharType="separate"/>
        </w:r>
        <w:r w:rsidR="00493733">
          <w:rPr>
            <w:noProof/>
            <w:webHidden/>
          </w:rPr>
          <w:t>46</w:t>
        </w:r>
        <w:r>
          <w:rPr>
            <w:noProof/>
            <w:webHidden/>
          </w:rPr>
          <w:fldChar w:fldCharType="end"/>
        </w:r>
      </w:hyperlink>
    </w:p>
    <w:p w14:paraId="70813404" w14:textId="277B5C66"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32" w:history="1">
        <w:r w:rsidRPr="00491D88">
          <w:rPr>
            <w:rStyle w:val="Hyperlink"/>
            <w:noProof/>
          </w:rPr>
          <w:t>Table 6: Inflation Premium from Rental Savings with 7 year Ownership Period</w:t>
        </w:r>
        <w:r>
          <w:rPr>
            <w:noProof/>
            <w:webHidden/>
          </w:rPr>
          <w:tab/>
        </w:r>
        <w:r>
          <w:rPr>
            <w:noProof/>
            <w:webHidden/>
          </w:rPr>
          <w:fldChar w:fldCharType="begin"/>
        </w:r>
        <w:r>
          <w:rPr>
            <w:noProof/>
            <w:webHidden/>
          </w:rPr>
          <w:instrText xml:space="preserve"> PAGEREF _Toc238867432 \h </w:instrText>
        </w:r>
        <w:r>
          <w:rPr>
            <w:noProof/>
            <w:webHidden/>
          </w:rPr>
        </w:r>
        <w:r>
          <w:rPr>
            <w:noProof/>
            <w:webHidden/>
          </w:rPr>
          <w:fldChar w:fldCharType="separate"/>
        </w:r>
        <w:r w:rsidR="00493733">
          <w:rPr>
            <w:noProof/>
            <w:webHidden/>
          </w:rPr>
          <w:t>47</w:t>
        </w:r>
        <w:r>
          <w:rPr>
            <w:noProof/>
            <w:webHidden/>
          </w:rPr>
          <w:fldChar w:fldCharType="end"/>
        </w:r>
      </w:hyperlink>
    </w:p>
    <w:p w14:paraId="27B5750A" w14:textId="543E46C6"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33" w:history="1">
        <w:r w:rsidRPr="00491D88">
          <w:rPr>
            <w:rStyle w:val="Hyperlink"/>
            <w:noProof/>
          </w:rPr>
          <w:t>Table 7: Interest Rates and House Values</w:t>
        </w:r>
        <w:r>
          <w:rPr>
            <w:noProof/>
            <w:webHidden/>
          </w:rPr>
          <w:tab/>
        </w:r>
        <w:r>
          <w:rPr>
            <w:noProof/>
            <w:webHidden/>
          </w:rPr>
          <w:fldChar w:fldCharType="begin"/>
        </w:r>
        <w:r>
          <w:rPr>
            <w:noProof/>
            <w:webHidden/>
          </w:rPr>
          <w:instrText xml:space="preserve"> PAGEREF _Toc238867433 \h </w:instrText>
        </w:r>
        <w:r>
          <w:rPr>
            <w:noProof/>
            <w:webHidden/>
          </w:rPr>
        </w:r>
        <w:r>
          <w:rPr>
            <w:noProof/>
            <w:webHidden/>
          </w:rPr>
          <w:fldChar w:fldCharType="separate"/>
        </w:r>
        <w:r w:rsidR="00493733">
          <w:rPr>
            <w:noProof/>
            <w:webHidden/>
          </w:rPr>
          <w:t>86</w:t>
        </w:r>
        <w:r>
          <w:rPr>
            <w:noProof/>
            <w:webHidden/>
          </w:rPr>
          <w:fldChar w:fldCharType="end"/>
        </w:r>
      </w:hyperlink>
    </w:p>
    <w:p w14:paraId="7757D693" w14:textId="22A2B618"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34" w:history="1">
        <w:r w:rsidRPr="00491D88">
          <w:rPr>
            <w:rStyle w:val="Hyperlink"/>
            <w:noProof/>
          </w:rPr>
          <w:t>Table 8: Financing Terms and Conditions in Irvine, CA, 2006</w:t>
        </w:r>
        <w:r>
          <w:rPr>
            <w:noProof/>
            <w:webHidden/>
          </w:rPr>
          <w:tab/>
        </w:r>
        <w:r>
          <w:rPr>
            <w:noProof/>
            <w:webHidden/>
          </w:rPr>
          <w:fldChar w:fldCharType="begin"/>
        </w:r>
        <w:r>
          <w:rPr>
            <w:noProof/>
            <w:webHidden/>
          </w:rPr>
          <w:instrText xml:space="preserve"> PAGEREF _Toc238867434 \h </w:instrText>
        </w:r>
        <w:r>
          <w:rPr>
            <w:noProof/>
            <w:webHidden/>
          </w:rPr>
        </w:r>
        <w:r>
          <w:rPr>
            <w:noProof/>
            <w:webHidden/>
          </w:rPr>
          <w:fldChar w:fldCharType="separate"/>
        </w:r>
        <w:r w:rsidR="00493733">
          <w:rPr>
            <w:noProof/>
            <w:webHidden/>
          </w:rPr>
          <w:t>87</w:t>
        </w:r>
        <w:r>
          <w:rPr>
            <w:noProof/>
            <w:webHidden/>
          </w:rPr>
          <w:fldChar w:fldCharType="end"/>
        </w:r>
      </w:hyperlink>
    </w:p>
    <w:p w14:paraId="7FCFAC5A" w14:textId="78AE8317"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35" w:history="1">
        <w:r w:rsidRPr="00491D88">
          <w:rPr>
            <w:rStyle w:val="Hyperlink"/>
            <w:noProof/>
          </w:rPr>
          <w:t>Table 9: Increasing Interest Rates Impact to House Prices</w:t>
        </w:r>
        <w:r>
          <w:rPr>
            <w:noProof/>
            <w:webHidden/>
          </w:rPr>
          <w:tab/>
        </w:r>
        <w:r>
          <w:rPr>
            <w:noProof/>
            <w:webHidden/>
          </w:rPr>
          <w:fldChar w:fldCharType="begin"/>
        </w:r>
        <w:r>
          <w:rPr>
            <w:noProof/>
            <w:webHidden/>
          </w:rPr>
          <w:instrText xml:space="preserve"> PAGEREF _Toc238867435 \h </w:instrText>
        </w:r>
        <w:r>
          <w:rPr>
            <w:noProof/>
            <w:webHidden/>
          </w:rPr>
        </w:r>
        <w:r>
          <w:rPr>
            <w:noProof/>
            <w:webHidden/>
          </w:rPr>
          <w:fldChar w:fldCharType="separate"/>
        </w:r>
        <w:r w:rsidR="00493733">
          <w:rPr>
            <w:noProof/>
            <w:webHidden/>
          </w:rPr>
          <w:t>100</w:t>
        </w:r>
        <w:r>
          <w:rPr>
            <w:noProof/>
            <w:webHidden/>
          </w:rPr>
          <w:fldChar w:fldCharType="end"/>
        </w:r>
      </w:hyperlink>
    </w:p>
    <w:p w14:paraId="5D13E890" w14:textId="344815C5"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36" w:history="1">
        <w:r w:rsidRPr="00491D88">
          <w:rPr>
            <w:rStyle w:val="Hyperlink"/>
            <w:noProof/>
          </w:rPr>
          <w:t>Table 10: Summary of Predictions for National Home Prices</w:t>
        </w:r>
        <w:r>
          <w:rPr>
            <w:noProof/>
            <w:webHidden/>
          </w:rPr>
          <w:tab/>
        </w:r>
        <w:r>
          <w:rPr>
            <w:noProof/>
            <w:webHidden/>
          </w:rPr>
          <w:fldChar w:fldCharType="begin"/>
        </w:r>
        <w:r>
          <w:rPr>
            <w:noProof/>
            <w:webHidden/>
          </w:rPr>
          <w:instrText xml:space="preserve"> PAGEREF _Toc238867436 \h </w:instrText>
        </w:r>
        <w:r>
          <w:rPr>
            <w:noProof/>
            <w:webHidden/>
          </w:rPr>
        </w:r>
        <w:r>
          <w:rPr>
            <w:noProof/>
            <w:webHidden/>
          </w:rPr>
          <w:fldChar w:fldCharType="separate"/>
        </w:r>
        <w:r w:rsidR="00493733">
          <w:rPr>
            <w:noProof/>
            <w:webHidden/>
          </w:rPr>
          <w:t>151</w:t>
        </w:r>
        <w:r>
          <w:rPr>
            <w:noProof/>
            <w:webHidden/>
          </w:rPr>
          <w:fldChar w:fldCharType="end"/>
        </w:r>
      </w:hyperlink>
    </w:p>
    <w:p w14:paraId="5FCDBD7E" w14:textId="2EF73285"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37" w:history="1">
        <w:r w:rsidRPr="00491D88">
          <w:rPr>
            <w:rStyle w:val="Hyperlink"/>
            <w:noProof/>
          </w:rPr>
          <w:t>Table 11: Summary of Predictions for Irvine, California Home Prices</w:t>
        </w:r>
        <w:r>
          <w:rPr>
            <w:noProof/>
            <w:webHidden/>
          </w:rPr>
          <w:tab/>
        </w:r>
        <w:r>
          <w:rPr>
            <w:noProof/>
            <w:webHidden/>
          </w:rPr>
          <w:fldChar w:fldCharType="begin"/>
        </w:r>
        <w:r>
          <w:rPr>
            <w:noProof/>
            <w:webHidden/>
          </w:rPr>
          <w:instrText xml:space="preserve"> PAGEREF _Toc238867437 \h </w:instrText>
        </w:r>
        <w:r>
          <w:rPr>
            <w:noProof/>
            <w:webHidden/>
          </w:rPr>
        </w:r>
        <w:r>
          <w:rPr>
            <w:noProof/>
            <w:webHidden/>
          </w:rPr>
          <w:fldChar w:fldCharType="separate"/>
        </w:r>
        <w:r w:rsidR="00493733">
          <w:rPr>
            <w:noProof/>
            <w:webHidden/>
          </w:rPr>
          <w:t>152</w:t>
        </w:r>
        <w:r>
          <w:rPr>
            <w:noProof/>
            <w:webHidden/>
          </w:rPr>
          <w:fldChar w:fldCharType="end"/>
        </w:r>
      </w:hyperlink>
    </w:p>
    <w:p w14:paraId="72EB7B2A" w14:textId="004A2A1D"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38" w:history="1">
        <w:r w:rsidRPr="00491D88">
          <w:rPr>
            <w:rStyle w:val="Hyperlink"/>
            <w:noProof/>
          </w:rPr>
          <w:t>Table 12: National Payments and Prices at Various Debt-to-Income Levels</w:t>
        </w:r>
        <w:r>
          <w:rPr>
            <w:noProof/>
            <w:webHidden/>
          </w:rPr>
          <w:tab/>
        </w:r>
        <w:r>
          <w:rPr>
            <w:noProof/>
            <w:webHidden/>
          </w:rPr>
          <w:fldChar w:fldCharType="begin"/>
        </w:r>
        <w:r>
          <w:rPr>
            <w:noProof/>
            <w:webHidden/>
          </w:rPr>
          <w:instrText xml:space="preserve"> PAGEREF _Toc238867438 \h </w:instrText>
        </w:r>
        <w:r>
          <w:rPr>
            <w:noProof/>
            <w:webHidden/>
          </w:rPr>
        </w:r>
        <w:r>
          <w:rPr>
            <w:noProof/>
            <w:webHidden/>
          </w:rPr>
          <w:fldChar w:fldCharType="separate"/>
        </w:r>
        <w:r w:rsidR="00493733">
          <w:rPr>
            <w:noProof/>
            <w:webHidden/>
          </w:rPr>
          <w:t>154</w:t>
        </w:r>
        <w:r>
          <w:rPr>
            <w:noProof/>
            <w:webHidden/>
          </w:rPr>
          <w:fldChar w:fldCharType="end"/>
        </w:r>
      </w:hyperlink>
    </w:p>
    <w:p w14:paraId="4EE0E5C8" w14:textId="4A6BAD71"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39" w:history="1">
        <w:r w:rsidRPr="00491D88">
          <w:rPr>
            <w:rStyle w:val="Hyperlink"/>
            <w:noProof/>
          </w:rPr>
          <w:t>Table 13: Irvine Payments and Prices at Various Debt-to-Income Levels</w:t>
        </w:r>
        <w:r>
          <w:rPr>
            <w:noProof/>
            <w:webHidden/>
          </w:rPr>
          <w:tab/>
        </w:r>
        <w:r>
          <w:rPr>
            <w:noProof/>
            <w:webHidden/>
          </w:rPr>
          <w:fldChar w:fldCharType="begin"/>
        </w:r>
        <w:r>
          <w:rPr>
            <w:noProof/>
            <w:webHidden/>
          </w:rPr>
          <w:instrText xml:space="preserve"> PAGEREF _Toc238867439 \h </w:instrText>
        </w:r>
        <w:r>
          <w:rPr>
            <w:noProof/>
            <w:webHidden/>
          </w:rPr>
        </w:r>
        <w:r>
          <w:rPr>
            <w:noProof/>
            <w:webHidden/>
          </w:rPr>
          <w:fldChar w:fldCharType="separate"/>
        </w:r>
        <w:r w:rsidR="00493733">
          <w:rPr>
            <w:noProof/>
            <w:webHidden/>
          </w:rPr>
          <w:t>155</w:t>
        </w:r>
        <w:r>
          <w:rPr>
            <w:noProof/>
            <w:webHidden/>
          </w:rPr>
          <w:fldChar w:fldCharType="end"/>
        </w:r>
      </w:hyperlink>
    </w:p>
    <w:p w14:paraId="24DBF64F" w14:textId="62AC45B6"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40" w:history="1">
        <w:r w:rsidRPr="00491D88">
          <w:rPr>
            <w:rStyle w:val="Hyperlink"/>
            <w:noProof/>
          </w:rPr>
          <w:t>Table 14: Impact of Rising Interest Rates on Prices</w:t>
        </w:r>
        <w:r>
          <w:rPr>
            <w:noProof/>
            <w:webHidden/>
          </w:rPr>
          <w:tab/>
        </w:r>
        <w:r>
          <w:rPr>
            <w:noProof/>
            <w:webHidden/>
          </w:rPr>
          <w:fldChar w:fldCharType="begin"/>
        </w:r>
        <w:r>
          <w:rPr>
            <w:noProof/>
            <w:webHidden/>
          </w:rPr>
          <w:instrText xml:space="preserve"> PAGEREF _Toc238867440 \h </w:instrText>
        </w:r>
        <w:r>
          <w:rPr>
            <w:noProof/>
            <w:webHidden/>
          </w:rPr>
        </w:r>
        <w:r>
          <w:rPr>
            <w:noProof/>
            <w:webHidden/>
          </w:rPr>
          <w:fldChar w:fldCharType="separate"/>
        </w:r>
        <w:r w:rsidR="00493733">
          <w:rPr>
            <w:noProof/>
            <w:webHidden/>
          </w:rPr>
          <w:t>157</w:t>
        </w:r>
        <w:r>
          <w:rPr>
            <w:noProof/>
            <w:webHidden/>
          </w:rPr>
          <w:fldChar w:fldCharType="end"/>
        </w:r>
      </w:hyperlink>
    </w:p>
    <w:p w14:paraId="25850792" w14:textId="13BF7414"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41" w:history="1">
        <w:r w:rsidRPr="00491D88">
          <w:rPr>
            <w:rStyle w:val="Hyperlink"/>
            <w:noProof/>
          </w:rPr>
          <w:t>Table 15: Loan Amounts based on Amortization Method and Debt-to-Income Ratio</w:t>
        </w:r>
        <w:r>
          <w:rPr>
            <w:noProof/>
            <w:webHidden/>
          </w:rPr>
          <w:tab/>
        </w:r>
        <w:r>
          <w:rPr>
            <w:noProof/>
            <w:webHidden/>
          </w:rPr>
          <w:fldChar w:fldCharType="begin"/>
        </w:r>
        <w:r>
          <w:rPr>
            <w:noProof/>
            <w:webHidden/>
          </w:rPr>
          <w:instrText xml:space="preserve"> PAGEREF _Toc238867441 \h </w:instrText>
        </w:r>
        <w:r>
          <w:rPr>
            <w:noProof/>
            <w:webHidden/>
          </w:rPr>
        </w:r>
        <w:r>
          <w:rPr>
            <w:noProof/>
            <w:webHidden/>
          </w:rPr>
          <w:fldChar w:fldCharType="separate"/>
        </w:r>
        <w:r w:rsidR="00493733">
          <w:rPr>
            <w:noProof/>
            <w:webHidden/>
          </w:rPr>
          <w:t>158</w:t>
        </w:r>
        <w:r>
          <w:rPr>
            <w:noProof/>
            <w:webHidden/>
          </w:rPr>
          <w:fldChar w:fldCharType="end"/>
        </w:r>
      </w:hyperlink>
    </w:p>
    <w:p w14:paraId="1FD320C6" w14:textId="7B8041D4" w:rsidR="00F53820" w:rsidRPr="00124B71" w:rsidRDefault="001858B5">
      <w:pPr>
        <w:rPr>
          <w:rFonts w:cs="Times New Roman"/>
          <w:szCs w:val="18"/>
        </w:rPr>
      </w:pPr>
      <w:r w:rsidRPr="00124B71">
        <w:rPr>
          <w:rFonts w:cs="Times New Roman"/>
          <w:szCs w:val="18"/>
        </w:rPr>
        <w:fldChar w:fldCharType="end"/>
      </w:r>
    </w:p>
    <w:p w14:paraId="54E774EF" w14:textId="2DA041C5" w:rsidR="007E3004" w:rsidRDefault="001858B5">
      <w:pPr>
        <w:pStyle w:val="TableofFigures"/>
        <w:tabs>
          <w:tab w:val="right" w:leader="dot" w:pos="6758"/>
        </w:tabs>
        <w:rPr>
          <w:rFonts w:asciiTheme="minorHAnsi" w:hAnsiTheme="minorHAnsi"/>
          <w:noProof/>
          <w:kern w:val="2"/>
          <w:sz w:val="24"/>
          <w:szCs w:val="24"/>
          <w:lang w:bidi="ar-SA"/>
          <w14:ligatures w14:val="standardContextual"/>
        </w:rPr>
      </w:pPr>
      <w:r w:rsidRPr="00124B71">
        <w:rPr>
          <w:rFonts w:cs="Times New Roman"/>
          <w:sz w:val="18"/>
          <w:szCs w:val="18"/>
        </w:rPr>
        <w:fldChar w:fldCharType="begin"/>
      </w:r>
      <w:r w:rsidR="00F53820" w:rsidRPr="00124B71">
        <w:rPr>
          <w:rFonts w:cs="Times New Roman"/>
          <w:szCs w:val="18"/>
        </w:rPr>
        <w:instrText xml:space="preserve"> TOC \h \z \c "Figure" </w:instrText>
      </w:r>
      <w:r w:rsidRPr="00124B71">
        <w:rPr>
          <w:rFonts w:cs="Times New Roman"/>
          <w:sz w:val="18"/>
          <w:szCs w:val="18"/>
        </w:rPr>
        <w:fldChar w:fldCharType="separate"/>
      </w:r>
      <w:hyperlink w:anchor="_Toc238867442" w:history="1">
        <w:r w:rsidR="007E3004" w:rsidRPr="000924C1">
          <w:rPr>
            <w:rStyle w:val="Hyperlink"/>
            <w:noProof/>
          </w:rPr>
          <w:t>Figure 1: Ratio of House Price to Income in California, 1980-2006</w:t>
        </w:r>
        <w:r w:rsidR="007E3004">
          <w:rPr>
            <w:noProof/>
            <w:webHidden/>
          </w:rPr>
          <w:tab/>
        </w:r>
        <w:r w:rsidR="007E3004">
          <w:rPr>
            <w:noProof/>
            <w:webHidden/>
          </w:rPr>
          <w:fldChar w:fldCharType="begin"/>
        </w:r>
        <w:r w:rsidR="007E3004">
          <w:rPr>
            <w:noProof/>
            <w:webHidden/>
          </w:rPr>
          <w:instrText xml:space="preserve"> PAGEREF _Toc238867442 \h </w:instrText>
        </w:r>
        <w:r w:rsidR="007E3004">
          <w:rPr>
            <w:noProof/>
            <w:webHidden/>
          </w:rPr>
        </w:r>
        <w:r w:rsidR="007E3004">
          <w:rPr>
            <w:noProof/>
            <w:webHidden/>
          </w:rPr>
          <w:fldChar w:fldCharType="separate"/>
        </w:r>
        <w:r w:rsidR="00493733">
          <w:rPr>
            <w:noProof/>
            <w:webHidden/>
          </w:rPr>
          <w:t>5</w:t>
        </w:r>
        <w:r w:rsidR="007E3004">
          <w:rPr>
            <w:noProof/>
            <w:webHidden/>
          </w:rPr>
          <w:fldChar w:fldCharType="end"/>
        </w:r>
      </w:hyperlink>
    </w:p>
    <w:p w14:paraId="4E7DD40F" w14:textId="636E2A58"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43" w:history="1">
        <w:r w:rsidRPr="000924C1">
          <w:rPr>
            <w:rStyle w:val="Hyperlink"/>
            <w:noProof/>
          </w:rPr>
          <w:t>Figure 2: Components of Mortgage Interest Rates</w:t>
        </w:r>
        <w:r>
          <w:rPr>
            <w:noProof/>
            <w:webHidden/>
          </w:rPr>
          <w:tab/>
        </w:r>
        <w:r>
          <w:rPr>
            <w:noProof/>
            <w:webHidden/>
          </w:rPr>
          <w:fldChar w:fldCharType="begin"/>
        </w:r>
        <w:r>
          <w:rPr>
            <w:noProof/>
            <w:webHidden/>
          </w:rPr>
          <w:instrText xml:space="preserve"> PAGEREF _Toc238867443 \h </w:instrText>
        </w:r>
        <w:r>
          <w:rPr>
            <w:noProof/>
            <w:webHidden/>
          </w:rPr>
        </w:r>
        <w:r>
          <w:rPr>
            <w:noProof/>
            <w:webHidden/>
          </w:rPr>
          <w:fldChar w:fldCharType="separate"/>
        </w:r>
        <w:r w:rsidR="00493733">
          <w:rPr>
            <w:noProof/>
            <w:webHidden/>
          </w:rPr>
          <w:t>10</w:t>
        </w:r>
        <w:r>
          <w:rPr>
            <w:noProof/>
            <w:webHidden/>
          </w:rPr>
          <w:fldChar w:fldCharType="end"/>
        </w:r>
      </w:hyperlink>
    </w:p>
    <w:p w14:paraId="4C3D181E" w14:textId="0D7DD59E"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44" w:history="1">
        <w:r w:rsidRPr="000924C1">
          <w:rPr>
            <w:rStyle w:val="Hyperlink"/>
            <w:noProof/>
          </w:rPr>
          <w:t>Figure 3: Interest-Only and Negative Amortization Purchases, 2000-2006</w:t>
        </w:r>
        <w:r>
          <w:rPr>
            <w:noProof/>
            <w:webHidden/>
          </w:rPr>
          <w:tab/>
        </w:r>
        <w:r>
          <w:rPr>
            <w:noProof/>
            <w:webHidden/>
          </w:rPr>
          <w:fldChar w:fldCharType="begin"/>
        </w:r>
        <w:r>
          <w:rPr>
            <w:noProof/>
            <w:webHidden/>
          </w:rPr>
          <w:instrText xml:space="preserve"> PAGEREF _Toc238867444 \h </w:instrText>
        </w:r>
        <w:r>
          <w:rPr>
            <w:noProof/>
            <w:webHidden/>
          </w:rPr>
        </w:r>
        <w:r>
          <w:rPr>
            <w:noProof/>
            <w:webHidden/>
          </w:rPr>
          <w:fldChar w:fldCharType="separate"/>
        </w:r>
        <w:r w:rsidR="00493733">
          <w:rPr>
            <w:noProof/>
            <w:webHidden/>
          </w:rPr>
          <w:t>15</w:t>
        </w:r>
        <w:r>
          <w:rPr>
            <w:noProof/>
            <w:webHidden/>
          </w:rPr>
          <w:fldChar w:fldCharType="end"/>
        </w:r>
      </w:hyperlink>
    </w:p>
    <w:p w14:paraId="5ED31A7A" w14:textId="45650F0C"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45" w:history="1">
        <w:r w:rsidRPr="000924C1">
          <w:rPr>
            <w:rStyle w:val="Hyperlink"/>
            <w:noProof/>
          </w:rPr>
          <w:t>Figure 4: Private Builder Low/No Documentation Loans as % of Total, 2006</w:t>
        </w:r>
        <w:r>
          <w:rPr>
            <w:noProof/>
            <w:webHidden/>
          </w:rPr>
          <w:tab/>
        </w:r>
        <w:r>
          <w:rPr>
            <w:noProof/>
            <w:webHidden/>
          </w:rPr>
          <w:fldChar w:fldCharType="begin"/>
        </w:r>
        <w:r>
          <w:rPr>
            <w:noProof/>
            <w:webHidden/>
          </w:rPr>
          <w:instrText xml:space="preserve"> PAGEREF _Toc238867445 \h </w:instrText>
        </w:r>
        <w:r>
          <w:rPr>
            <w:noProof/>
            <w:webHidden/>
          </w:rPr>
        </w:r>
        <w:r>
          <w:rPr>
            <w:noProof/>
            <w:webHidden/>
          </w:rPr>
          <w:fldChar w:fldCharType="separate"/>
        </w:r>
        <w:r w:rsidR="00493733">
          <w:rPr>
            <w:noProof/>
            <w:webHidden/>
          </w:rPr>
          <w:t>18</w:t>
        </w:r>
        <w:r>
          <w:rPr>
            <w:noProof/>
            <w:webHidden/>
          </w:rPr>
          <w:fldChar w:fldCharType="end"/>
        </w:r>
      </w:hyperlink>
    </w:p>
    <w:p w14:paraId="63ABA385" w14:textId="680BAD74"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46" w:history="1">
        <w:r w:rsidRPr="000924C1">
          <w:rPr>
            <w:rStyle w:val="Hyperlink"/>
            <w:noProof/>
          </w:rPr>
          <w:t>Figure 5: National Home Ownership Rate, 1984-2005</w:t>
        </w:r>
        <w:r>
          <w:rPr>
            <w:noProof/>
            <w:webHidden/>
          </w:rPr>
          <w:tab/>
        </w:r>
        <w:r>
          <w:rPr>
            <w:noProof/>
            <w:webHidden/>
          </w:rPr>
          <w:fldChar w:fldCharType="begin"/>
        </w:r>
        <w:r>
          <w:rPr>
            <w:noProof/>
            <w:webHidden/>
          </w:rPr>
          <w:instrText xml:space="preserve"> PAGEREF _Toc238867446 \h </w:instrText>
        </w:r>
        <w:r>
          <w:rPr>
            <w:noProof/>
            <w:webHidden/>
          </w:rPr>
        </w:r>
        <w:r>
          <w:rPr>
            <w:noProof/>
            <w:webHidden/>
          </w:rPr>
          <w:fldChar w:fldCharType="separate"/>
        </w:r>
        <w:r w:rsidR="00493733">
          <w:rPr>
            <w:noProof/>
            <w:webHidden/>
          </w:rPr>
          <w:t>19</w:t>
        </w:r>
        <w:r>
          <w:rPr>
            <w:noProof/>
            <w:webHidden/>
          </w:rPr>
          <w:fldChar w:fldCharType="end"/>
        </w:r>
      </w:hyperlink>
    </w:p>
    <w:p w14:paraId="4AAD000E" w14:textId="5671A03B"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47" w:history="1">
        <w:r w:rsidRPr="000924C1">
          <w:rPr>
            <w:rStyle w:val="Hyperlink"/>
            <w:noProof/>
          </w:rPr>
          <w:t>Figure 6: Types of Equity</w:t>
        </w:r>
        <w:r>
          <w:rPr>
            <w:noProof/>
            <w:webHidden/>
          </w:rPr>
          <w:tab/>
        </w:r>
        <w:r>
          <w:rPr>
            <w:noProof/>
            <w:webHidden/>
          </w:rPr>
          <w:fldChar w:fldCharType="begin"/>
        </w:r>
        <w:r>
          <w:rPr>
            <w:noProof/>
            <w:webHidden/>
          </w:rPr>
          <w:instrText xml:space="preserve"> PAGEREF _Toc238867447 \h </w:instrText>
        </w:r>
        <w:r>
          <w:rPr>
            <w:noProof/>
            <w:webHidden/>
          </w:rPr>
        </w:r>
        <w:r>
          <w:rPr>
            <w:noProof/>
            <w:webHidden/>
          </w:rPr>
          <w:fldChar w:fldCharType="separate"/>
        </w:r>
        <w:r w:rsidR="00493733">
          <w:rPr>
            <w:noProof/>
            <w:webHidden/>
          </w:rPr>
          <w:t>20</w:t>
        </w:r>
        <w:r>
          <w:rPr>
            <w:noProof/>
            <w:webHidden/>
          </w:rPr>
          <w:fldChar w:fldCharType="end"/>
        </w:r>
      </w:hyperlink>
    </w:p>
    <w:p w14:paraId="69E7F1A6" w14:textId="4F91D9B3"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48" w:history="1">
        <w:r w:rsidRPr="000924C1">
          <w:rPr>
            <w:rStyle w:val="Hyperlink"/>
            <w:noProof/>
          </w:rPr>
          <w:t>Figure 7: Negative Amortization Loan Equity Curve</w:t>
        </w:r>
        <w:r>
          <w:rPr>
            <w:noProof/>
            <w:webHidden/>
          </w:rPr>
          <w:tab/>
        </w:r>
        <w:r>
          <w:rPr>
            <w:noProof/>
            <w:webHidden/>
          </w:rPr>
          <w:fldChar w:fldCharType="begin"/>
        </w:r>
        <w:r>
          <w:rPr>
            <w:noProof/>
            <w:webHidden/>
          </w:rPr>
          <w:instrText xml:space="preserve"> PAGEREF _Toc238867448 \h </w:instrText>
        </w:r>
        <w:r>
          <w:rPr>
            <w:noProof/>
            <w:webHidden/>
          </w:rPr>
        </w:r>
        <w:r>
          <w:rPr>
            <w:noProof/>
            <w:webHidden/>
          </w:rPr>
          <w:fldChar w:fldCharType="separate"/>
        </w:r>
        <w:r w:rsidR="00493733">
          <w:rPr>
            <w:noProof/>
            <w:webHidden/>
          </w:rPr>
          <w:t>22</w:t>
        </w:r>
        <w:r>
          <w:rPr>
            <w:noProof/>
            <w:webHidden/>
          </w:rPr>
          <w:fldChar w:fldCharType="end"/>
        </w:r>
      </w:hyperlink>
    </w:p>
    <w:p w14:paraId="022E61F9" w14:textId="6C3957E7"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49" w:history="1">
        <w:r w:rsidRPr="000924C1">
          <w:rPr>
            <w:rStyle w:val="Hyperlink"/>
            <w:noProof/>
          </w:rPr>
          <w:t>Figure 8: Peak Buyer, No Downpayment, Negative Amortization Loan</w:t>
        </w:r>
        <w:r>
          <w:rPr>
            <w:noProof/>
            <w:webHidden/>
          </w:rPr>
          <w:tab/>
        </w:r>
        <w:r>
          <w:rPr>
            <w:noProof/>
            <w:webHidden/>
          </w:rPr>
          <w:fldChar w:fldCharType="begin"/>
        </w:r>
        <w:r>
          <w:rPr>
            <w:noProof/>
            <w:webHidden/>
          </w:rPr>
          <w:instrText xml:space="preserve"> PAGEREF _Toc238867449 \h </w:instrText>
        </w:r>
        <w:r>
          <w:rPr>
            <w:noProof/>
            <w:webHidden/>
          </w:rPr>
        </w:r>
        <w:r>
          <w:rPr>
            <w:noProof/>
            <w:webHidden/>
          </w:rPr>
          <w:fldChar w:fldCharType="separate"/>
        </w:r>
        <w:r w:rsidR="00493733">
          <w:rPr>
            <w:noProof/>
            <w:webHidden/>
          </w:rPr>
          <w:t>24</w:t>
        </w:r>
        <w:r>
          <w:rPr>
            <w:noProof/>
            <w:webHidden/>
          </w:rPr>
          <w:fldChar w:fldCharType="end"/>
        </w:r>
      </w:hyperlink>
    </w:p>
    <w:p w14:paraId="487139D0" w14:textId="3F8E9FFF"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50" w:history="1">
        <w:r w:rsidRPr="000924C1">
          <w:rPr>
            <w:rStyle w:val="Hyperlink"/>
            <w:noProof/>
          </w:rPr>
          <w:t>Figure 9: Mortgage Equity Withdrawal, 1991-2006</w:t>
        </w:r>
        <w:r>
          <w:rPr>
            <w:noProof/>
            <w:webHidden/>
          </w:rPr>
          <w:tab/>
        </w:r>
        <w:r>
          <w:rPr>
            <w:noProof/>
            <w:webHidden/>
          </w:rPr>
          <w:fldChar w:fldCharType="begin"/>
        </w:r>
        <w:r>
          <w:rPr>
            <w:noProof/>
            <w:webHidden/>
          </w:rPr>
          <w:instrText xml:space="preserve"> PAGEREF _Toc238867450 \h </w:instrText>
        </w:r>
        <w:r>
          <w:rPr>
            <w:noProof/>
            <w:webHidden/>
          </w:rPr>
        </w:r>
        <w:r>
          <w:rPr>
            <w:noProof/>
            <w:webHidden/>
          </w:rPr>
          <w:fldChar w:fldCharType="separate"/>
        </w:r>
        <w:r w:rsidR="00493733">
          <w:rPr>
            <w:noProof/>
            <w:webHidden/>
          </w:rPr>
          <w:t>25</w:t>
        </w:r>
        <w:r>
          <w:rPr>
            <w:noProof/>
            <w:webHidden/>
          </w:rPr>
          <w:fldChar w:fldCharType="end"/>
        </w:r>
      </w:hyperlink>
    </w:p>
    <w:p w14:paraId="3AC3CEC9" w14:textId="6674E974"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51" w:history="1">
        <w:r w:rsidRPr="000924C1">
          <w:rPr>
            <w:rStyle w:val="Hyperlink"/>
            <w:noProof/>
          </w:rPr>
          <w:t>Figure 10: National Rent-to-Income Ratio, 1988-2006</w:t>
        </w:r>
        <w:r>
          <w:rPr>
            <w:noProof/>
            <w:webHidden/>
          </w:rPr>
          <w:tab/>
        </w:r>
        <w:r>
          <w:rPr>
            <w:noProof/>
            <w:webHidden/>
          </w:rPr>
          <w:fldChar w:fldCharType="begin"/>
        </w:r>
        <w:r>
          <w:rPr>
            <w:noProof/>
            <w:webHidden/>
          </w:rPr>
          <w:instrText xml:space="preserve"> PAGEREF _Toc238867451 \h </w:instrText>
        </w:r>
        <w:r>
          <w:rPr>
            <w:noProof/>
            <w:webHidden/>
          </w:rPr>
        </w:r>
        <w:r>
          <w:rPr>
            <w:noProof/>
            <w:webHidden/>
          </w:rPr>
          <w:fldChar w:fldCharType="separate"/>
        </w:r>
        <w:r w:rsidR="00493733">
          <w:rPr>
            <w:noProof/>
            <w:webHidden/>
          </w:rPr>
          <w:t>32</w:t>
        </w:r>
        <w:r>
          <w:rPr>
            <w:noProof/>
            <w:webHidden/>
          </w:rPr>
          <w:fldChar w:fldCharType="end"/>
        </w:r>
      </w:hyperlink>
    </w:p>
    <w:p w14:paraId="04E0C6EC" w14:textId="0D43B1E4"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52" w:history="1">
        <w:r w:rsidRPr="000924C1">
          <w:rPr>
            <w:rStyle w:val="Hyperlink"/>
            <w:noProof/>
          </w:rPr>
          <w:t>Figure 11: National Price-to-Rent Ratio, 1988-2007</w:t>
        </w:r>
        <w:r>
          <w:rPr>
            <w:noProof/>
            <w:webHidden/>
          </w:rPr>
          <w:tab/>
        </w:r>
        <w:r>
          <w:rPr>
            <w:noProof/>
            <w:webHidden/>
          </w:rPr>
          <w:fldChar w:fldCharType="begin"/>
        </w:r>
        <w:r>
          <w:rPr>
            <w:noProof/>
            <w:webHidden/>
          </w:rPr>
          <w:instrText xml:space="preserve"> PAGEREF _Toc238867452 \h </w:instrText>
        </w:r>
        <w:r>
          <w:rPr>
            <w:noProof/>
            <w:webHidden/>
          </w:rPr>
        </w:r>
        <w:r>
          <w:rPr>
            <w:noProof/>
            <w:webHidden/>
          </w:rPr>
          <w:fldChar w:fldCharType="separate"/>
        </w:r>
        <w:r w:rsidR="00493733">
          <w:rPr>
            <w:noProof/>
            <w:webHidden/>
          </w:rPr>
          <w:t>39</w:t>
        </w:r>
        <w:r>
          <w:rPr>
            <w:noProof/>
            <w:webHidden/>
          </w:rPr>
          <w:fldChar w:fldCharType="end"/>
        </w:r>
      </w:hyperlink>
    </w:p>
    <w:p w14:paraId="3E3BED4D" w14:textId="6278E5EC"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53" w:history="1">
        <w:r w:rsidRPr="000924C1">
          <w:rPr>
            <w:rStyle w:val="Hyperlink"/>
            <w:noProof/>
          </w:rPr>
          <w:t>Figure 12: Percentage Held of Household Mortgage Debt, 1971-2006</w:t>
        </w:r>
        <w:r>
          <w:rPr>
            <w:noProof/>
            <w:webHidden/>
          </w:rPr>
          <w:tab/>
        </w:r>
        <w:r>
          <w:rPr>
            <w:noProof/>
            <w:webHidden/>
          </w:rPr>
          <w:fldChar w:fldCharType="begin"/>
        </w:r>
        <w:r>
          <w:rPr>
            <w:noProof/>
            <w:webHidden/>
          </w:rPr>
          <w:instrText xml:space="preserve"> PAGEREF _Toc238867453 \h </w:instrText>
        </w:r>
        <w:r>
          <w:rPr>
            <w:noProof/>
            <w:webHidden/>
          </w:rPr>
        </w:r>
        <w:r>
          <w:rPr>
            <w:noProof/>
            <w:webHidden/>
          </w:rPr>
          <w:fldChar w:fldCharType="separate"/>
        </w:r>
        <w:r w:rsidR="00493733">
          <w:rPr>
            <w:noProof/>
            <w:webHidden/>
          </w:rPr>
          <w:t>58</w:t>
        </w:r>
        <w:r>
          <w:rPr>
            <w:noProof/>
            <w:webHidden/>
          </w:rPr>
          <w:fldChar w:fldCharType="end"/>
        </w:r>
      </w:hyperlink>
    </w:p>
    <w:p w14:paraId="1C0B8B33" w14:textId="11351C6C"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54" w:history="1">
        <w:r w:rsidRPr="000924C1">
          <w:rPr>
            <w:rStyle w:val="Hyperlink"/>
            <w:noProof/>
          </w:rPr>
          <w:t>Figure 13: Subprime Originations, 1994-2006</w:t>
        </w:r>
        <w:r>
          <w:rPr>
            <w:noProof/>
            <w:webHidden/>
          </w:rPr>
          <w:tab/>
        </w:r>
        <w:r>
          <w:rPr>
            <w:noProof/>
            <w:webHidden/>
          </w:rPr>
          <w:fldChar w:fldCharType="begin"/>
        </w:r>
        <w:r>
          <w:rPr>
            <w:noProof/>
            <w:webHidden/>
          </w:rPr>
          <w:instrText xml:space="preserve"> PAGEREF _Toc238867454 \h </w:instrText>
        </w:r>
        <w:r>
          <w:rPr>
            <w:noProof/>
            <w:webHidden/>
          </w:rPr>
        </w:r>
        <w:r>
          <w:rPr>
            <w:noProof/>
            <w:webHidden/>
          </w:rPr>
          <w:fldChar w:fldCharType="separate"/>
        </w:r>
        <w:r w:rsidR="00493733">
          <w:rPr>
            <w:noProof/>
            <w:webHidden/>
          </w:rPr>
          <w:t>59</w:t>
        </w:r>
        <w:r>
          <w:rPr>
            <w:noProof/>
            <w:webHidden/>
          </w:rPr>
          <w:fldChar w:fldCharType="end"/>
        </w:r>
      </w:hyperlink>
    </w:p>
    <w:p w14:paraId="01E7F068" w14:textId="5B4365C5"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55" w:history="1">
        <w:r w:rsidRPr="000924C1">
          <w:rPr>
            <w:rStyle w:val="Hyperlink"/>
            <w:noProof/>
          </w:rPr>
          <w:t>Figure 14: Structure of a Collateralized Debt Obligation</w:t>
        </w:r>
        <w:r>
          <w:rPr>
            <w:noProof/>
            <w:webHidden/>
          </w:rPr>
          <w:tab/>
        </w:r>
        <w:r>
          <w:rPr>
            <w:noProof/>
            <w:webHidden/>
          </w:rPr>
          <w:fldChar w:fldCharType="begin"/>
        </w:r>
        <w:r>
          <w:rPr>
            <w:noProof/>
            <w:webHidden/>
          </w:rPr>
          <w:instrText xml:space="preserve"> PAGEREF _Toc238867455 \h </w:instrText>
        </w:r>
        <w:r>
          <w:rPr>
            <w:noProof/>
            <w:webHidden/>
          </w:rPr>
        </w:r>
        <w:r>
          <w:rPr>
            <w:noProof/>
            <w:webHidden/>
          </w:rPr>
          <w:fldChar w:fldCharType="separate"/>
        </w:r>
        <w:r w:rsidR="00493733">
          <w:rPr>
            <w:noProof/>
            <w:webHidden/>
          </w:rPr>
          <w:t>61</w:t>
        </w:r>
        <w:r>
          <w:rPr>
            <w:noProof/>
            <w:webHidden/>
          </w:rPr>
          <w:fldChar w:fldCharType="end"/>
        </w:r>
      </w:hyperlink>
    </w:p>
    <w:p w14:paraId="39FE8732" w14:textId="09F921BB"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56" w:history="1">
        <w:r w:rsidRPr="000924C1">
          <w:rPr>
            <w:rStyle w:val="Hyperlink"/>
            <w:noProof/>
          </w:rPr>
          <w:t>Figure 15: National S&amp;P/Case-Shiller Home Price Index, 1987-2007</w:t>
        </w:r>
        <w:r>
          <w:rPr>
            <w:noProof/>
            <w:webHidden/>
          </w:rPr>
          <w:tab/>
        </w:r>
        <w:r>
          <w:rPr>
            <w:noProof/>
            <w:webHidden/>
          </w:rPr>
          <w:fldChar w:fldCharType="begin"/>
        </w:r>
        <w:r>
          <w:rPr>
            <w:noProof/>
            <w:webHidden/>
          </w:rPr>
          <w:instrText xml:space="preserve"> PAGEREF _Toc238867456 \h </w:instrText>
        </w:r>
        <w:r>
          <w:rPr>
            <w:noProof/>
            <w:webHidden/>
          </w:rPr>
        </w:r>
        <w:r>
          <w:rPr>
            <w:noProof/>
            <w:webHidden/>
          </w:rPr>
          <w:fldChar w:fldCharType="separate"/>
        </w:r>
        <w:r w:rsidR="00493733">
          <w:rPr>
            <w:noProof/>
            <w:webHidden/>
          </w:rPr>
          <w:t>77</w:t>
        </w:r>
        <w:r>
          <w:rPr>
            <w:noProof/>
            <w:webHidden/>
          </w:rPr>
          <w:fldChar w:fldCharType="end"/>
        </w:r>
      </w:hyperlink>
    </w:p>
    <w:p w14:paraId="74955298" w14:textId="64FF6FB2"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57" w:history="1">
        <w:r w:rsidRPr="000924C1">
          <w:rPr>
            <w:rStyle w:val="Hyperlink"/>
            <w:noProof/>
          </w:rPr>
          <w:t>Figure 16: Los Angeles S&amp;P/Case-Shiller Index, 1987-2007</w:t>
        </w:r>
        <w:r>
          <w:rPr>
            <w:noProof/>
            <w:webHidden/>
          </w:rPr>
          <w:tab/>
        </w:r>
        <w:r>
          <w:rPr>
            <w:noProof/>
            <w:webHidden/>
          </w:rPr>
          <w:fldChar w:fldCharType="begin"/>
        </w:r>
        <w:r>
          <w:rPr>
            <w:noProof/>
            <w:webHidden/>
          </w:rPr>
          <w:instrText xml:space="preserve"> PAGEREF _Toc238867457 \h </w:instrText>
        </w:r>
        <w:r>
          <w:rPr>
            <w:noProof/>
            <w:webHidden/>
          </w:rPr>
        </w:r>
        <w:r>
          <w:rPr>
            <w:noProof/>
            <w:webHidden/>
          </w:rPr>
          <w:fldChar w:fldCharType="separate"/>
        </w:r>
        <w:r w:rsidR="00493733">
          <w:rPr>
            <w:noProof/>
            <w:webHidden/>
          </w:rPr>
          <w:t>78</w:t>
        </w:r>
        <w:r>
          <w:rPr>
            <w:noProof/>
            <w:webHidden/>
          </w:rPr>
          <w:fldChar w:fldCharType="end"/>
        </w:r>
      </w:hyperlink>
    </w:p>
    <w:p w14:paraId="1F8E825D" w14:textId="0A176D92"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58" w:history="1">
        <w:r w:rsidRPr="000924C1">
          <w:rPr>
            <w:rStyle w:val="Hyperlink"/>
            <w:noProof/>
          </w:rPr>
          <w:t>Figure 17: Median Home Prices, 1968-2006</w:t>
        </w:r>
        <w:r>
          <w:rPr>
            <w:noProof/>
            <w:webHidden/>
          </w:rPr>
          <w:tab/>
        </w:r>
        <w:r>
          <w:rPr>
            <w:noProof/>
            <w:webHidden/>
          </w:rPr>
          <w:fldChar w:fldCharType="begin"/>
        </w:r>
        <w:r>
          <w:rPr>
            <w:noProof/>
            <w:webHidden/>
          </w:rPr>
          <w:instrText xml:space="preserve"> PAGEREF _Toc238867458 \h </w:instrText>
        </w:r>
        <w:r>
          <w:rPr>
            <w:noProof/>
            <w:webHidden/>
          </w:rPr>
        </w:r>
        <w:r>
          <w:rPr>
            <w:noProof/>
            <w:webHidden/>
          </w:rPr>
          <w:fldChar w:fldCharType="separate"/>
        </w:r>
        <w:r w:rsidR="00493733">
          <w:rPr>
            <w:noProof/>
            <w:webHidden/>
          </w:rPr>
          <w:t>79</w:t>
        </w:r>
        <w:r>
          <w:rPr>
            <w:noProof/>
            <w:webHidden/>
          </w:rPr>
          <w:fldChar w:fldCharType="end"/>
        </w:r>
      </w:hyperlink>
    </w:p>
    <w:p w14:paraId="392BE7E7" w14:textId="25BF1905"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59" w:history="1">
        <w:r w:rsidRPr="000924C1">
          <w:rPr>
            <w:rStyle w:val="Hyperlink"/>
            <w:noProof/>
          </w:rPr>
          <w:t>Figure 18: National Ratio of House Price to Income, 1986-2006</w:t>
        </w:r>
        <w:r>
          <w:rPr>
            <w:noProof/>
            <w:webHidden/>
          </w:rPr>
          <w:tab/>
        </w:r>
        <w:r>
          <w:rPr>
            <w:noProof/>
            <w:webHidden/>
          </w:rPr>
          <w:fldChar w:fldCharType="begin"/>
        </w:r>
        <w:r>
          <w:rPr>
            <w:noProof/>
            <w:webHidden/>
          </w:rPr>
          <w:instrText xml:space="preserve"> PAGEREF _Toc238867459 \h </w:instrText>
        </w:r>
        <w:r>
          <w:rPr>
            <w:noProof/>
            <w:webHidden/>
          </w:rPr>
        </w:r>
        <w:r>
          <w:rPr>
            <w:noProof/>
            <w:webHidden/>
          </w:rPr>
          <w:fldChar w:fldCharType="separate"/>
        </w:r>
        <w:r w:rsidR="00493733">
          <w:rPr>
            <w:noProof/>
            <w:webHidden/>
          </w:rPr>
          <w:t>80</w:t>
        </w:r>
        <w:r>
          <w:rPr>
            <w:noProof/>
            <w:webHidden/>
          </w:rPr>
          <w:fldChar w:fldCharType="end"/>
        </w:r>
      </w:hyperlink>
    </w:p>
    <w:p w14:paraId="646C52A5" w14:textId="51AE4753"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60" w:history="1">
        <w:r w:rsidRPr="000924C1">
          <w:rPr>
            <w:rStyle w:val="Hyperlink"/>
            <w:noProof/>
          </w:rPr>
          <w:t>Figure 19: Price-To-Income Ratio in California, OC and Irvine, 1986-2006</w:t>
        </w:r>
        <w:r>
          <w:rPr>
            <w:noProof/>
            <w:webHidden/>
          </w:rPr>
          <w:tab/>
        </w:r>
        <w:r>
          <w:rPr>
            <w:noProof/>
            <w:webHidden/>
          </w:rPr>
          <w:fldChar w:fldCharType="begin"/>
        </w:r>
        <w:r>
          <w:rPr>
            <w:noProof/>
            <w:webHidden/>
          </w:rPr>
          <w:instrText xml:space="preserve"> PAGEREF _Toc238867460 \h </w:instrText>
        </w:r>
        <w:r>
          <w:rPr>
            <w:noProof/>
            <w:webHidden/>
          </w:rPr>
        </w:r>
        <w:r>
          <w:rPr>
            <w:noProof/>
            <w:webHidden/>
          </w:rPr>
          <w:fldChar w:fldCharType="separate"/>
        </w:r>
        <w:r w:rsidR="00493733">
          <w:rPr>
            <w:noProof/>
            <w:webHidden/>
          </w:rPr>
          <w:t>81</w:t>
        </w:r>
        <w:r>
          <w:rPr>
            <w:noProof/>
            <w:webHidden/>
          </w:rPr>
          <w:fldChar w:fldCharType="end"/>
        </w:r>
      </w:hyperlink>
    </w:p>
    <w:p w14:paraId="2AAB79F5" w14:textId="7C19C7AE"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61" w:history="1">
        <w:r w:rsidRPr="000924C1">
          <w:rPr>
            <w:rStyle w:val="Hyperlink"/>
            <w:noProof/>
          </w:rPr>
          <w:t>Figure 20: National Price-to-Rent Ratio, 1988-2007</w:t>
        </w:r>
        <w:r>
          <w:rPr>
            <w:noProof/>
            <w:webHidden/>
          </w:rPr>
          <w:tab/>
        </w:r>
        <w:r>
          <w:rPr>
            <w:noProof/>
            <w:webHidden/>
          </w:rPr>
          <w:fldChar w:fldCharType="begin"/>
        </w:r>
        <w:r>
          <w:rPr>
            <w:noProof/>
            <w:webHidden/>
          </w:rPr>
          <w:instrText xml:space="preserve"> PAGEREF _Toc238867461 \h </w:instrText>
        </w:r>
        <w:r>
          <w:rPr>
            <w:noProof/>
            <w:webHidden/>
          </w:rPr>
        </w:r>
        <w:r>
          <w:rPr>
            <w:noProof/>
            <w:webHidden/>
          </w:rPr>
          <w:fldChar w:fldCharType="separate"/>
        </w:r>
        <w:r w:rsidR="00493733">
          <w:rPr>
            <w:noProof/>
            <w:webHidden/>
          </w:rPr>
          <w:t>82</w:t>
        </w:r>
        <w:r>
          <w:rPr>
            <w:noProof/>
            <w:webHidden/>
          </w:rPr>
          <w:fldChar w:fldCharType="end"/>
        </w:r>
      </w:hyperlink>
    </w:p>
    <w:p w14:paraId="0F7262B4" w14:textId="356E6416"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62" w:history="1">
        <w:r w:rsidRPr="000924C1">
          <w:rPr>
            <w:rStyle w:val="Hyperlink"/>
            <w:noProof/>
          </w:rPr>
          <w:t>Figure 21: Debt-To-Income Ratio and Mortgage Interest Rates, 1997-2006</w:t>
        </w:r>
        <w:r>
          <w:rPr>
            <w:noProof/>
            <w:webHidden/>
          </w:rPr>
          <w:tab/>
        </w:r>
        <w:r>
          <w:rPr>
            <w:noProof/>
            <w:webHidden/>
          </w:rPr>
          <w:fldChar w:fldCharType="begin"/>
        </w:r>
        <w:r>
          <w:rPr>
            <w:noProof/>
            <w:webHidden/>
          </w:rPr>
          <w:instrText xml:space="preserve"> PAGEREF _Toc238867462 \h </w:instrText>
        </w:r>
        <w:r>
          <w:rPr>
            <w:noProof/>
            <w:webHidden/>
          </w:rPr>
        </w:r>
        <w:r>
          <w:rPr>
            <w:noProof/>
            <w:webHidden/>
          </w:rPr>
          <w:fldChar w:fldCharType="separate"/>
        </w:r>
        <w:r w:rsidR="00493733">
          <w:rPr>
            <w:noProof/>
            <w:webHidden/>
          </w:rPr>
          <w:t>83</w:t>
        </w:r>
        <w:r>
          <w:rPr>
            <w:noProof/>
            <w:webHidden/>
          </w:rPr>
          <w:fldChar w:fldCharType="end"/>
        </w:r>
      </w:hyperlink>
    </w:p>
    <w:p w14:paraId="32415DCC" w14:textId="61347E26"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63" w:history="1">
        <w:r w:rsidRPr="000924C1">
          <w:rPr>
            <w:rStyle w:val="Hyperlink"/>
            <w:noProof/>
          </w:rPr>
          <w:t>Figure 22: Debt-To-Income Ratio, California 1986-2006</w:t>
        </w:r>
        <w:r>
          <w:rPr>
            <w:noProof/>
            <w:webHidden/>
          </w:rPr>
          <w:tab/>
        </w:r>
        <w:r>
          <w:rPr>
            <w:noProof/>
            <w:webHidden/>
          </w:rPr>
          <w:fldChar w:fldCharType="begin"/>
        </w:r>
        <w:r>
          <w:rPr>
            <w:noProof/>
            <w:webHidden/>
          </w:rPr>
          <w:instrText xml:space="preserve"> PAGEREF _Toc238867463 \h </w:instrText>
        </w:r>
        <w:r>
          <w:rPr>
            <w:noProof/>
            <w:webHidden/>
          </w:rPr>
        </w:r>
        <w:r>
          <w:rPr>
            <w:noProof/>
            <w:webHidden/>
          </w:rPr>
          <w:fldChar w:fldCharType="separate"/>
        </w:r>
        <w:r w:rsidR="00493733">
          <w:rPr>
            <w:noProof/>
            <w:webHidden/>
          </w:rPr>
          <w:t>84</w:t>
        </w:r>
        <w:r>
          <w:rPr>
            <w:noProof/>
            <w:webHidden/>
          </w:rPr>
          <w:fldChar w:fldCharType="end"/>
        </w:r>
      </w:hyperlink>
    </w:p>
    <w:p w14:paraId="10B81CC0" w14:textId="4A502F9E"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64" w:history="1">
        <w:r w:rsidRPr="000924C1">
          <w:rPr>
            <w:rStyle w:val="Hyperlink"/>
            <w:noProof/>
          </w:rPr>
          <w:t>Figure 23: Affordability / Demand</w:t>
        </w:r>
        <w:r>
          <w:rPr>
            <w:noProof/>
            <w:webHidden/>
          </w:rPr>
          <w:tab/>
        </w:r>
        <w:r>
          <w:rPr>
            <w:noProof/>
            <w:webHidden/>
          </w:rPr>
          <w:fldChar w:fldCharType="begin"/>
        </w:r>
        <w:r>
          <w:rPr>
            <w:noProof/>
            <w:webHidden/>
          </w:rPr>
          <w:instrText xml:space="preserve"> PAGEREF _Toc238867464 \h </w:instrText>
        </w:r>
        <w:r>
          <w:rPr>
            <w:noProof/>
            <w:webHidden/>
          </w:rPr>
        </w:r>
        <w:r>
          <w:rPr>
            <w:noProof/>
            <w:webHidden/>
          </w:rPr>
          <w:fldChar w:fldCharType="separate"/>
        </w:r>
        <w:r w:rsidR="00493733">
          <w:rPr>
            <w:noProof/>
            <w:webHidden/>
          </w:rPr>
          <w:t>85</w:t>
        </w:r>
        <w:r>
          <w:rPr>
            <w:noProof/>
            <w:webHidden/>
          </w:rPr>
          <w:fldChar w:fldCharType="end"/>
        </w:r>
      </w:hyperlink>
    </w:p>
    <w:p w14:paraId="0233A9BA" w14:textId="7FAE0C19"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65" w:history="1">
        <w:r w:rsidRPr="000924C1">
          <w:rPr>
            <w:rStyle w:val="Hyperlink"/>
            <w:noProof/>
          </w:rPr>
          <w:t>Figure 24: Market Rally Supply and Demand</w:t>
        </w:r>
        <w:r>
          <w:rPr>
            <w:noProof/>
            <w:webHidden/>
          </w:rPr>
          <w:tab/>
        </w:r>
        <w:r>
          <w:rPr>
            <w:noProof/>
            <w:webHidden/>
          </w:rPr>
          <w:fldChar w:fldCharType="begin"/>
        </w:r>
        <w:r>
          <w:rPr>
            <w:noProof/>
            <w:webHidden/>
          </w:rPr>
          <w:instrText xml:space="preserve"> PAGEREF _Toc238867465 \h </w:instrText>
        </w:r>
        <w:r>
          <w:rPr>
            <w:noProof/>
            <w:webHidden/>
          </w:rPr>
        </w:r>
        <w:r>
          <w:rPr>
            <w:noProof/>
            <w:webHidden/>
          </w:rPr>
          <w:fldChar w:fldCharType="separate"/>
        </w:r>
        <w:r w:rsidR="00493733">
          <w:rPr>
            <w:noProof/>
            <w:webHidden/>
          </w:rPr>
          <w:t>88</w:t>
        </w:r>
        <w:r>
          <w:rPr>
            <w:noProof/>
            <w:webHidden/>
          </w:rPr>
          <w:fldChar w:fldCharType="end"/>
        </w:r>
      </w:hyperlink>
    </w:p>
    <w:p w14:paraId="1302EBFC" w14:textId="1C5B9BA4"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66" w:history="1">
        <w:r w:rsidRPr="000924C1">
          <w:rPr>
            <w:rStyle w:val="Hyperlink"/>
            <w:noProof/>
          </w:rPr>
          <w:t>Figure 25: The Housing Market Pyramid</w:t>
        </w:r>
        <w:r>
          <w:rPr>
            <w:noProof/>
            <w:webHidden/>
          </w:rPr>
          <w:tab/>
        </w:r>
        <w:r>
          <w:rPr>
            <w:noProof/>
            <w:webHidden/>
          </w:rPr>
          <w:fldChar w:fldCharType="begin"/>
        </w:r>
        <w:r>
          <w:rPr>
            <w:noProof/>
            <w:webHidden/>
          </w:rPr>
          <w:instrText xml:space="preserve"> PAGEREF _Toc238867466 \h </w:instrText>
        </w:r>
        <w:r>
          <w:rPr>
            <w:noProof/>
            <w:webHidden/>
          </w:rPr>
        </w:r>
        <w:r>
          <w:rPr>
            <w:noProof/>
            <w:webHidden/>
          </w:rPr>
          <w:fldChar w:fldCharType="separate"/>
        </w:r>
        <w:r w:rsidR="00493733">
          <w:rPr>
            <w:noProof/>
            <w:webHidden/>
          </w:rPr>
          <w:t>89</w:t>
        </w:r>
        <w:r>
          <w:rPr>
            <w:noProof/>
            <w:webHidden/>
          </w:rPr>
          <w:fldChar w:fldCharType="end"/>
        </w:r>
      </w:hyperlink>
    </w:p>
    <w:p w14:paraId="7223EADA" w14:textId="0E259EBB"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67" w:history="1">
        <w:r w:rsidRPr="000924C1">
          <w:rPr>
            <w:rStyle w:val="Hyperlink"/>
            <w:noProof/>
          </w:rPr>
          <w:t>Figure 26: Affordability Limit</w:t>
        </w:r>
        <w:r>
          <w:rPr>
            <w:noProof/>
            <w:webHidden/>
          </w:rPr>
          <w:tab/>
        </w:r>
        <w:r>
          <w:rPr>
            <w:noProof/>
            <w:webHidden/>
          </w:rPr>
          <w:fldChar w:fldCharType="begin"/>
        </w:r>
        <w:r>
          <w:rPr>
            <w:noProof/>
            <w:webHidden/>
          </w:rPr>
          <w:instrText xml:space="preserve"> PAGEREF _Toc238867467 \h </w:instrText>
        </w:r>
        <w:r>
          <w:rPr>
            <w:noProof/>
            <w:webHidden/>
          </w:rPr>
        </w:r>
        <w:r>
          <w:rPr>
            <w:noProof/>
            <w:webHidden/>
          </w:rPr>
          <w:fldChar w:fldCharType="separate"/>
        </w:r>
        <w:r w:rsidR="00493733">
          <w:rPr>
            <w:noProof/>
            <w:webHidden/>
          </w:rPr>
          <w:t>90</w:t>
        </w:r>
        <w:r>
          <w:rPr>
            <w:noProof/>
            <w:webHidden/>
          </w:rPr>
          <w:fldChar w:fldCharType="end"/>
        </w:r>
      </w:hyperlink>
    </w:p>
    <w:p w14:paraId="66F5A8E6" w14:textId="47FCF746"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68" w:history="1">
        <w:r w:rsidRPr="000924C1">
          <w:rPr>
            <w:rStyle w:val="Hyperlink"/>
            <w:noProof/>
          </w:rPr>
          <w:t>Figure 27: Adjustable Rate Mortgage Reset Chart</w:t>
        </w:r>
        <w:r>
          <w:rPr>
            <w:noProof/>
            <w:webHidden/>
          </w:rPr>
          <w:tab/>
        </w:r>
        <w:r>
          <w:rPr>
            <w:noProof/>
            <w:webHidden/>
          </w:rPr>
          <w:fldChar w:fldCharType="begin"/>
        </w:r>
        <w:r>
          <w:rPr>
            <w:noProof/>
            <w:webHidden/>
          </w:rPr>
          <w:instrText xml:space="preserve"> PAGEREF _Toc238867468 \h </w:instrText>
        </w:r>
        <w:r>
          <w:rPr>
            <w:noProof/>
            <w:webHidden/>
          </w:rPr>
        </w:r>
        <w:r>
          <w:rPr>
            <w:noProof/>
            <w:webHidden/>
          </w:rPr>
          <w:fldChar w:fldCharType="separate"/>
        </w:r>
        <w:r w:rsidR="00493733">
          <w:rPr>
            <w:noProof/>
            <w:webHidden/>
          </w:rPr>
          <w:t>93</w:t>
        </w:r>
        <w:r>
          <w:rPr>
            <w:noProof/>
            <w:webHidden/>
          </w:rPr>
          <w:fldChar w:fldCharType="end"/>
        </w:r>
      </w:hyperlink>
    </w:p>
    <w:p w14:paraId="795D7B8F" w14:textId="7B8006B5"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69" w:history="1">
        <w:r w:rsidRPr="000924C1">
          <w:rPr>
            <w:rStyle w:val="Hyperlink"/>
            <w:noProof/>
          </w:rPr>
          <w:t>Figure 28: ARM Reset through Foreclosure to Final Sale</w:t>
        </w:r>
        <w:r>
          <w:rPr>
            <w:noProof/>
            <w:webHidden/>
          </w:rPr>
          <w:tab/>
        </w:r>
        <w:r>
          <w:rPr>
            <w:noProof/>
            <w:webHidden/>
          </w:rPr>
          <w:fldChar w:fldCharType="begin"/>
        </w:r>
        <w:r>
          <w:rPr>
            <w:noProof/>
            <w:webHidden/>
          </w:rPr>
          <w:instrText xml:space="preserve"> PAGEREF _Toc238867469 \h </w:instrText>
        </w:r>
        <w:r>
          <w:rPr>
            <w:noProof/>
            <w:webHidden/>
          </w:rPr>
        </w:r>
        <w:r>
          <w:rPr>
            <w:noProof/>
            <w:webHidden/>
          </w:rPr>
          <w:fldChar w:fldCharType="separate"/>
        </w:r>
        <w:r w:rsidR="00493733">
          <w:rPr>
            <w:noProof/>
            <w:webHidden/>
          </w:rPr>
          <w:t>94</w:t>
        </w:r>
        <w:r>
          <w:rPr>
            <w:noProof/>
            <w:webHidden/>
          </w:rPr>
          <w:fldChar w:fldCharType="end"/>
        </w:r>
      </w:hyperlink>
    </w:p>
    <w:p w14:paraId="125A0E65" w14:textId="634EA1CE"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70" w:history="1">
        <w:r w:rsidRPr="000924C1">
          <w:rPr>
            <w:rStyle w:val="Hyperlink"/>
            <w:noProof/>
          </w:rPr>
          <w:t>Figure 29: Total Home Equity, 1985-2006</w:t>
        </w:r>
        <w:r>
          <w:rPr>
            <w:noProof/>
            <w:webHidden/>
          </w:rPr>
          <w:tab/>
        </w:r>
        <w:r>
          <w:rPr>
            <w:noProof/>
            <w:webHidden/>
          </w:rPr>
          <w:fldChar w:fldCharType="begin"/>
        </w:r>
        <w:r>
          <w:rPr>
            <w:noProof/>
            <w:webHidden/>
          </w:rPr>
          <w:instrText xml:space="preserve"> PAGEREF _Toc238867470 \h </w:instrText>
        </w:r>
        <w:r>
          <w:rPr>
            <w:noProof/>
            <w:webHidden/>
          </w:rPr>
        </w:r>
        <w:r>
          <w:rPr>
            <w:noProof/>
            <w:webHidden/>
          </w:rPr>
          <w:fldChar w:fldCharType="separate"/>
        </w:r>
        <w:r w:rsidR="00493733">
          <w:rPr>
            <w:noProof/>
            <w:webHidden/>
          </w:rPr>
          <w:t>96</w:t>
        </w:r>
        <w:r>
          <w:rPr>
            <w:noProof/>
            <w:webHidden/>
          </w:rPr>
          <w:fldChar w:fldCharType="end"/>
        </w:r>
      </w:hyperlink>
    </w:p>
    <w:p w14:paraId="23E6EC52" w14:textId="1C81B90E"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71" w:history="1">
        <w:r w:rsidRPr="000924C1">
          <w:rPr>
            <w:rStyle w:val="Hyperlink"/>
            <w:noProof/>
          </w:rPr>
          <w:t>Figure 30: Personal Savings Rate, 1952-2007</w:t>
        </w:r>
        <w:r>
          <w:rPr>
            <w:noProof/>
            <w:webHidden/>
          </w:rPr>
          <w:tab/>
        </w:r>
        <w:r>
          <w:rPr>
            <w:noProof/>
            <w:webHidden/>
          </w:rPr>
          <w:fldChar w:fldCharType="begin"/>
        </w:r>
        <w:r>
          <w:rPr>
            <w:noProof/>
            <w:webHidden/>
          </w:rPr>
          <w:instrText xml:space="preserve"> PAGEREF _Toc238867471 \h </w:instrText>
        </w:r>
        <w:r>
          <w:rPr>
            <w:noProof/>
            <w:webHidden/>
          </w:rPr>
        </w:r>
        <w:r>
          <w:rPr>
            <w:noProof/>
            <w:webHidden/>
          </w:rPr>
          <w:fldChar w:fldCharType="separate"/>
        </w:r>
        <w:r w:rsidR="00493733">
          <w:rPr>
            <w:noProof/>
            <w:webHidden/>
          </w:rPr>
          <w:t>98</w:t>
        </w:r>
        <w:r>
          <w:rPr>
            <w:noProof/>
            <w:webHidden/>
          </w:rPr>
          <w:fldChar w:fldCharType="end"/>
        </w:r>
      </w:hyperlink>
    </w:p>
    <w:p w14:paraId="6D04BF08" w14:textId="53C61A1E"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72" w:history="1">
        <w:r w:rsidRPr="000924C1">
          <w:rPr>
            <w:rStyle w:val="Hyperlink"/>
            <w:noProof/>
          </w:rPr>
          <w:t>Figure 31: Speculator Emotional Cycle</w:t>
        </w:r>
        <w:r>
          <w:rPr>
            <w:noProof/>
            <w:webHidden/>
          </w:rPr>
          <w:tab/>
        </w:r>
        <w:r>
          <w:rPr>
            <w:noProof/>
            <w:webHidden/>
          </w:rPr>
          <w:fldChar w:fldCharType="begin"/>
        </w:r>
        <w:r>
          <w:rPr>
            <w:noProof/>
            <w:webHidden/>
          </w:rPr>
          <w:instrText xml:space="preserve"> PAGEREF _Toc238867472 \h </w:instrText>
        </w:r>
        <w:r>
          <w:rPr>
            <w:noProof/>
            <w:webHidden/>
          </w:rPr>
        </w:r>
        <w:r>
          <w:rPr>
            <w:noProof/>
            <w:webHidden/>
          </w:rPr>
          <w:fldChar w:fldCharType="separate"/>
        </w:r>
        <w:r w:rsidR="00493733">
          <w:rPr>
            <w:noProof/>
            <w:webHidden/>
          </w:rPr>
          <w:t>106</w:t>
        </w:r>
        <w:r>
          <w:rPr>
            <w:noProof/>
            <w:webHidden/>
          </w:rPr>
          <w:fldChar w:fldCharType="end"/>
        </w:r>
      </w:hyperlink>
    </w:p>
    <w:p w14:paraId="6A218D6A" w14:textId="7181C37C"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73" w:history="1">
        <w:r w:rsidRPr="000924C1">
          <w:rPr>
            <w:rStyle w:val="Hyperlink"/>
            <w:noProof/>
          </w:rPr>
          <w:t>Figure 32: National Homeowner Vacancy Rate, 1986-2007</w:t>
        </w:r>
        <w:r>
          <w:rPr>
            <w:noProof/>
            <w:webHidden/>
          </w:rPr>
          <w:tab/>
        </w:r>
        <w:r>
          <w:rPr>
            <w:noProof/>
            <w:webHidden/>
          </w:rPr>
          <w:fldChar w:fldCharType="begin"/>
        </w:r>
        <w:r>
          <w:rPr>
            <w:noProof/>
            <w:webHidden/>
          </w:rPr>
          <w:instrText xml:space="preserve"> PAGEREF _Toc238867473 \h </w:instrText>
        </w:r>
        <w:r>
          <w:rPr>
            <w:noProof/>
            <w:webHidden/>
          </w:rPr>
        </w:r>
        <w:r>
          <w:rPr>
            <w:noProof/>
            <w:webHidden/>
          </w:rPr>
          <w:fldChar w:fldCharType="separate"/>
        </w:r>
        <w:r w:rsidR="00493733">
          <w:rPr>
            <w:noProof/>
            <w:webHidden/>
          </w:rPr>
          <w:t>109</w:t>
        </w:r>
        <w:r>
          <w:rPr>
            <w:noProof/>
            <w:webHidden/>
          </w:rPr>
          <w:fldChar w:fldCharType="end"/>
        </w:r>
      </w:hyperlink>
    </w:p>
    <w:p w14:paraId="243B10EC" w14:textId="0C5EBDD5"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74" w:history="1">
        <w:r w:rsidRPr="000924C1">
          <w:rPr>
            <w:rStyle w:val="Hyperlink"/>
            <w:noProof/>
          </w:rPr>
          <w:t>Figure 33: Efficient Markets Theory</w:t>
        </w:r>
        <w:r>
          <w:rPr>
            <w:noProof/>
            <w:webHidden/>
          </w:rPr>
          <w:tab/>
        </w:r>
        <w:r>
          <w:rPr>
            <w:noProof/>
            <w:webHidden/>
          </w:rPr>
          <w:fldChar w:fldCharType="begin"/>
        </w:r>
        <w:r>
          <w:rPr>
            <w:noProof/>
            <w:webHidden/>
          </w:rPr>
          <w:instrText xml:space="preserve"> PAGEREF _Toc238867474 \h </w:instrText>
        </w:r>
        <w:r>
          <w:rPr>
            <w:noProof/>
            <w:webHidden/>
          </w:rPr>
        </w:r>
        <w:r>
          <w:rPr>
            <w:noProof/>
            <w:webHidden/>
          </w:rPr>
          <w:fldChar w:fldCharType="separate"/>
        </w:r>
        <w:r w:rsidR="00493733">
          <w:rPr>
            <w:noProof/>
            <w:webHidden/>
          </w:rPr>
          <w:t>113</w:t>
        </w:r>
        <w:r>
          <w:rPr>
            <w:noProof/>
            <w:webHidden/>
          </w:rPr>
          <w:fldChar w:fldCharType="end"/>
        </w:r>
      </w:hyperlink>
    </w:p>
    <w:p w14:paraId="0904F96A" w14:textId="43949BCF"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75" w:history="1">
        <w:r w:rsidRPr="000924C1">
          <w:rPr>
            <w:rStyle w:val="Hyperlink"/>
            <w:noProof/>
          </w:rPr>
          <w:t>Figure 34: Behavioral Finance Theory</w:t>
        </w:r>
        <w:r>
          <w:rPr>
            <w:noProof/>
            <w:webHidden/>
          </w:rPr>
          <w:tab/>
        </w:r>
        <w:r>
          <w:rPr>
            <w:noProof/>
            <w:webHidden/>
          </w:rPr>
          <w:fldChar w:fldCharType="begin"/>
        </w:r>
        <w:r>
          <w:rPr>
            <w:noProof/>
            <w:webHidden/>
          </w:rPr>
          <w:instrText xml:space="preserve"> PAGEREF _Toc238867475 \h </w:instrText>
        </w:r>
        <w:r>
          <w:rPr>
            <w:noProof/>
            <w:webHidden/>
          </w:rPr>
        </w:r>
        <w:r>
          <w:rPr>
            <w:noProof/>
            <w:webHidden/>
          </w:rPr>
          <w:fldChar w:fldCharType="separate"/>
        </w:r>
        <w:r w:rsidR="00493733">
          <w:rPr>
            <w:noProof/>
            <w:webHidden/>
          </w:rPr>
          <w:t>114</w:t>
        </w:r>
        <w:r>
          <w:rPr>
            <w:noProof/>
            <w:webHidden/>
          </w:rPr>
          <w:fldChar w:fldCharType="end"/>
        </w:r>
      </w:hyperlink>
    </w:p>
    <w:p w14:paraId="1EE11C85" w14:textId="69BED596"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76" w:history="1">
        <w:r w:rsidRPr="000924C1">
          <w:rPr>
            <w:rStyle w:val="Hyperlink"/>
            <w:noProof/>
          </w:rPr>
          <w:t>Figure 35: Psychological Stages of a Bubble Market</w:t>
        </w:r>
        <w:r>
          <w:rPr>
            <w:noProof/>
            <w:webHidden/>
          </w:rPr>
          <w:tab/>
        </w:r>
        <w:r>
          <w:rPr>
            <w:noProof/>
            <w:webHidden/>
          </w:rPr>
          <w:fldChar w:fldCharType="begin"/>
        </w:r>
        <w:r>
          <w:rPr>
            <w:noProof/>
            <w:webHidden/>
          </w:rPr>
          <w:instrText xml:space="preserve"> PAGEREF _Toc238867476 \h </w:instrText>
        </w:r>
        <w:r>
          <w:rPr>
            <w:noProof/>
            <w:webHidden/>
          </w:rPr>
        </w:r>
        <w:r>
          <w:rPr>
            <w:noProof/>
            <w:webHidden/>
          </w:rPr>
          <w:fldChar w:fldCharType="separate"/>
        </w:r>
        <w:r w:rsidR="00493733">
          <w:rPr>
            <w:noProof/>
            <w:webHidden/>
          </w:rPr>
          <w:t>116</w:t>
        </w:r>
        <w:r>
          <w:rPr>
            <w:noProof/>
            <w:webHidden/>
          </w:rPr>
          <w:fldChar w:fldCharType="end"/>
        </w:r>
      </w:hyperlink>
    </w:p>
    <w:p w14:paraId="3D0FD8F5" w14:textId="0C0CDD94"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77" w:history="1">
        <w:r w:rsidRPr="000924C1">
          <w:rPr>
            <w:rStyle w:val="Hyperlink"/>
            <w:noProof/>
          </w:rPr>
          <w:t>Figure 36: National Projections from Historic Appreciation Rates, 1984-2012</w:t>
        </w:r>
        <w:r>
          <w:rPr>
            <w:noProof/>
            <w:webHidden/>
          </w:rPr>
          <w:tab/>
        </w:r>
        <w:r>
          <w:rPr>
            <w:noProof/>
            <w:webHidden/>
          </w:rPr>
          <w:fldChar w:fldCharType="begin"/>
        </w:r>
        <w:r>
          <w:rPr>
            <w:noProof/>
            <w:webHidden/>
          </w:rPr>
          <w:instrText xml:space="preserve"> PAGEREF _Toc238867477 \h </w:instrText>
        </w:r>
        <w:r>
          <w:rPr>
            <w:noProof/>
            <w:webHidden/>
          </w:rPr>
        </w:r>
        <w:r>
          <w:rPr>
            <w:noProof/>
            <w:webHidden/>
          </w:rPr>
          <w:fldChar w:fldCharType="separate"/>
        </w:r>
        <w:r w:rsidR="00493733">
          <w:rPr>
            <w:noProof/>
            <w:webHidden/>
          </w:rPr>
          <w:t>138</w:t>
        </w:r>
        <w:r>
          <w:rPr>
            <w:noProof/>
            <w:webHidden/>
          </w:rPr>
          <w:fldChar w:fldCharType="end"/>
        </w:r>
      </w:hyperlink>
    </w:p>
    <w:p w14:paraId="24030327" w14:textId="7CBDBA71"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78" w:history="1">
        <w:r w:rsidRPr="000924C1">
          <w:rPr>
            <w:rStyle w:val="Hyperlink"/>
            <w:noProof/>
          </w:rPr>
          <w:t>Figure 37: Irvine, CA, Projections from Historic Appreciation Rates, 1984-2026</w:t>
        </w:r>
        <w:r>
          <w:rPr>
            <w:noProof/>
            <w:webHidden/>
          </w:rPr>
          <w:tab/>
        </w:r>
        <w:r>
          <w:rPr>
            <w:noProof/>
            <w:webHidden/>
          </w:rPr>
          <w:fldChar w:fldCharType="begin"/>
        </w:r>
        <w:r>
          <w:rPr>
            <w:noProof/>
            <w:webHidden/>
          </w:rPr>
          <w:instrText xml:space="preserve"> PAGEREF _Toc238867478 \h </w:instrText>
        </w:r>
        <w:r>
          <w:rPr>
            <w:noProof/>
            <w:webHidden/>
          </w:rPr>
        </w:r>
        <w:r>
          <w:rPr>
            <w:noProof/>
            <w:webHidden/>
          </w:rPr>
          <w:fldChar w:fldCharType="separate"/>
        </w:r>
        <w:r w:rsidR="00493733">
          <w:rPr>
            <w:noProof/>
            <w:webHidden/>
          </w:rPr>
          <w:t>139</w:t>
        </w:r>
        <w:r>
          <w:rPr>
            <w:noProof/>
            <w:webHidden/>
          </w:rPr>
          <w:fldChar w:fldCharType="end"/>
        </w:r>
      </w:hyperlink>
    </w:p>
    <w:p w14:paraId="229CA1F9" w14:textId="2EFE94B1"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79" w:history="1">
        <w:r w:rsidRPr="000924C1">
          <w:rPr>
            <w:rStyle w:val="Hyperlink"/>
            <w:noProof/>
          </w:rPr>
          <w:t>Figure 38: Growth in Income and House Prices, 1981-2006</w:t>
        </w:r>
        <w:r>
          <w:rPr>
            <w:noProof/>
            <w:webHidden/>
          </w:rPr>
          <w:tab/>
        </w:r>
        <w:r>
          <w:rPr>
            <w:noProof/>
            <w:webHidden/>
          </w:rPr>
          <w:fldChar w:fldCharType="begin"/>
        </w:r>
        <w:r>
          <w:rPr>
            <w:noProof/>
            <w:webHidden/>
          </w:rPr>
          <w:instrText xml:space="preserve"> PAGEREF _Toc238867479 \h </w:instrText>
        </w:r>
        <w:r>
          <w:rPr>
            <w:noProof/>
            <w:webHidden/>
          </w:rPr>
        </w:r>
        <w:r>
          <w:rPr>
            <w:noProof/>
            <w:webHidden/>
          </w:rPr>
          <w:fldChar w:fldCharType="separate"/>
        </w:r>
        <w:r w:rsidR="00493733">
          <w:rPr>
            <w:noProof/>
            <w:webHidden/>
          </w:rPr>
          <w:t>139</w:t>
        </w:r>
        <w:r>
          <w:rPr>
            <w:noProof/>
            <w:webHidden/>
          </w:rPr>
          <w:fldChar w:fldCharType="end"/>
        </w:r>
      </w:hyperlink>
    </w:p>
    <w:p w14:paraId="6DFE86C6" w14:textId="159B2CB1"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80" w:history="1">
        <w:r w:rsidRPr="000924C1">
          <w:rPr>
            <w:rStyle w:val="Hyperlink"/>
            <w:noProof/>
          </w:rPr>
          <w:t>Figure 39: Declining Interest Rates, 1984-2006</w:t>
        </w:r>
        <w:r>
          <w:rPr>
            <w:noProof/>
            <w:webHidden/>
          </w:rPr>
          <w:tab/>
        </w:r>
        <w:r>
          <w:rPr>
            <w:noProof/>
            <w:webHidden/>
          </w:rPr>
          <w:fldChar w:fldCharType="begin"/>
        </w:r>
        <w:r>
          <w:rPr>
            <w:noProof/>
            <w:webHidden/>
          </w:rPr>
          <w:instrText xml:space="preserve"> PAGEREF _Toc238867480 \h </w:instrText>
        </w:r>
        <w:r>
          <w:rPr>
            <w:noProof/>
            <w:webHidden/>
          </w:rPr>
        </w:r>
        <w:r>
          <w:rPr>
            <w:noProof/>
            <w:webHidden/>
          </w:rPr>
          <w:fldChar w:fldCharType="separate"/>
        </w:r>
        <w:r w:rsidR="00493733">
          <w:rPr>
            <w:noProof/>
            <w:webHidden/>
          </w:rPr>
          <w:t>140</w:t>
        </w:r>
        <w:r>
          <w:rPr>
            <w:noProof/>
            <w:webHidden/>
          </w:rPr>
          <w:fldChar w:fldCharType="end"/>
        </w:r>
      </w:hyperlink>
    </w:p>
    <w:p w14:paraId="58855868" w14:textId="28A73D22"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81" w:history="1">
        <w:r w:rsidRPr="000924C1">
          <w:rPr>
            <w:rStyle w:val="Hyperlink"/>
            <w:noProof/>
          </w:rPr>
          <w:t>Figure 40: National Projections based on S&amp;P/Case-Shiller Indices</w:t>
        </w:r>
        <w:r>
          <w:rPr>
            <w:noProof/>
            <w:webHidden/>
          </w:rPr>
          <w:tab/>
        </w:r>
        <w:r>
          <w:rPr>
            <w:noProof/>
            <w:webHidden/>
          </w:rPr>
          <w:fldChar w:fldCharType="begin"/>
        </w:r>
        <w:r>
          <w:rPr>
            <w:noProof/>
            <w:webHidden/>
          </w:rPr>
          <w:instrText xml:space="preserve"> PAGEREF _Toc238867481 \h </w:instrText>
        </w:r>
        <w:r>
          <w:rPr>
            <w:noProof/>
            <w:webHidden/>
          </w:rPr>
        </w:r>
        <w:r>
          <w:rPr>
            <w:noProof/>
            <w:webHidden/>
          </w:rPr>
          <w:fldChar w:fldCharType="separate"/>
        </w:r>
        <w:r w:rsidR="00493733">
          <w:rPr>
            <w:noProof/>
            <w:webHidden/>
          </w:rPr>
          <w:t>141</w:t>
        </w:r>
        <w:r>
          <w:rPr>
            <w:noProof/>
            <w:webHidden/>
          </w:rPr>
          <w:fldChar w:fldCharType="end"/>
        </w:r>
      </w:hyperlink>
    </w:p>
    <w:p w14:paraId="0E9D7F00" w14:textId="004D3EF1"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82" w:history="1">
        <w:r w:rsidRPr="000924C1">
          <w:rPr>
            <w:rStyle w:val="Hyperlink"/>
            <w:noProof/>
          </w:rPr>
          <w:t>Figure 41: Los Angeles Projections based on S&amp;P/Case-Shiller Indices</w:t>
        </w:r>
        <w:r>
          <w:rPr>
            <w:noProof/>
            <w:webHidden/>
          </w:rPr>
          <w:tab/>
        </w:r>
        <w:r>
          <w:rPr>
            <w:noProof/>
            <w:webHidden/>
          </w:rPr>
          <w:fldChar w:fldCharType="begin"/>
        </w:r>
        <w:r>
          <w:rPr>
            <w:noProof/>
            <w:webHidden/>
          </w:rPr>
          <w:instrText xml:space="preserve"> PAGEREF _Toc238867482 \h </w:instrText>
        </w:r>
        <w:r>
          <w:rPr>
            <w:noProof/>
            <w:webHidden/>
          </w:rPr>
        </w:r>
        <w:r>
          <w:rPr>
            <w:noProof/>
            <w:webHidden/>
          </w:rPr>
          <w:fldChar w:fldCharType="separate"/>
        </w:r>
        <w:r w:rsidR="00493733">
          <w:rPr>
            <w:noProof/>
            <w:webHidden/>
          </w:rPr>
          <w:t>142</w:t>
        </w:r>
        <w:r>
          <w:rPr>
            <w:noProof/>
            <w:webHidden/>
          </w:rPr>
          <w:fldChar w:fldCharType="end"/>
        </w:r>
      </w:hyperlink>
    </w:p>
    <w:p w14:paraId="4B1DE815" w14:textId="424C616C"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83" w:history="1">
        <w:r w:rsidRPr="000924C1">
          <w:rPr>
            <w:rStyle w:val="Hyperlink"/>
            <w:noProof/>
          </w:rPr>
          <w:t>Figure 42: Projected National Price-to-Rent Ratio, 1988-2021</w:t>
        </w:r>
        <w:r>
          <w:rPr>
            <w:noProof/>
            <w:webHidden/>
          </w:rPr>
          <w:tab/>
        </w:r>
        <w:r>
          <w:rPr>
            <w:noProof/>
            <w:webHidden/>
          </w:rPr>
          <w:fldChar w:fldCharType="begin"/>
        </w:r>
        <w:r>
          <w:rPr>
            <w:noProof/>
            <w:webHidden/>
          </w:rPr>
          <w:instrText xml:space="preserve"> PAGEREF _Toc238867483 \h </w:instrText>
        </w:r>
        <w:r>
          <w:rPr>
            <w:noProof/>
            <w:webHidden/>
          </w:rPr>
        </w:r>
        <w:r>
          <w:rPr>
            <w:noProof/>
            <w:webHidden/>
          </w:rPr>
          <w:fldChar w:fldCharType="separate"/>
        </w:r>
        <w:r w:rsidR="00493733">
          <w:rPr>
            <w:noProof/>
            <w:webHidden/>
          </w:rPr>
          <w:t>143</w:t>
        </w:r>
        <w:r>
          <w:rPr>
            <w:noProof/>
            <w:webHidden/>
          </w:rPr>
          <w:fldChar w:fldCharType="end"/>
        </w:r>
      </w:hyperlink>
    </w:p>
    <w:p w14:paraId="555D5999" w14:textId="1236F338"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84" w:history="1">
        <w:r w:rsidRPr="000924C1">
          <w:rPr>
            <w:rStyle w:val="Hyperlink"/>
            <w:noProof/>
          </w:rPr>
          <w:t>Figure 43: National Projections based on Price-to-Rent Ratio, 1988-2021</w:t>
        </w:r>
        <w:r>
          <w:rPr>
            <w:noProof/>
            <w:webHidden/>
          </w:rPr>
          <w:tab/>
        </w:r>
        <w:r>
          <w:rPr>
            <w:noProof/>
            <w:webHidden/>
          </w:rPr>
          <w:fldChar w:fldCharType="begin"/>
        </w:r>
        <w:r>
          <w:rPr>
            <w:noProof/>
            <w:webHidden/>
          </w:rPr>
          <w:instrText xml:space="preserve"> PAGEREF _Toc238867484 \h </w:instrText>
        </w:r>
        <w:r>
          <w:rPr>
            <w:noProof/>
            <w:webHidden/>
          </w:rPr>
        </w:r>
        <w:r>
          <w:rPr>
            <w:noProof/>
            <w:webHidden/>
          </w:rPr>
          <w:fldChar w:fldCharType="separate"/>
        </w:r>
        <w:r w:rsidR="00493733">
          <w:rPr>
            <w:noProof/>
            <w:webHidden/>
          </w:rPr>
          <w:t>143</w:t>
        </w:r>
        <w:r>
          <w:rPr>
            <w:noProof/>
            <w:webHidden/>
          </w:rPr>
          <w:fldChar w:fldCharType="end"/>
        </w:r>
      </w:hyperlink>
    </w:p>
    <w:p w14:paraId="794338F7" w14:textId="3F77E834"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85" w:history="1">
        <w:r w:rsidRPr="000924C1">
          <w:rPr>
            <w:rStyle w:val="Hyperlink"/>
            <w:noProof/>
          </w:rPr>
          <w:t>Figure 44: Projected Orange County, CA Price-to-Rent Ratio, 1983-2020</w:t>
        </w:r>
        <w:r>
          <w:rPr>
            <w:noProof/>
            <w:webHidden/>
          </w:rPr>
          <w:tab/>
        </w:r>
        <w:r>
          <w:rPr>
            <w:noProof/>
            <w:webHidden/>
          </w:rPr>
          <w:fldChar w:fldCharType="begin"/>
        </w:r>
        <w:r>
          <w:rPr>
            <w:noProof/>
            <w:webHidden/>
          </w:rPr>
          <w:instrText xml:space="preserve"> PAGEREF _Toc238867485 \h </w:instrText>
        </w:r>
        <w:r>
          <w:rPr>
            <w:noProof/>
            <w:webHidden/>
          </w:rPr>
        </w:r>
        <w:r>
          <w:rPr>
            <w:noProof/>
            <w:webHidden/>
          </w:rPr>
          <w:fldChar w:fldCharType="separate"/>
        </w:r>
        <w:r w:rsidR="00493733">
          <w:rPr>
            <w:noProof/>
            <w:webHidden/>
          </w:rPr>
          <w:t>144</w:t>
        </w:r>
        <w:r>
          <w:rPr>
            <w:noProof/>
            <w:webHidden/>
          </w:rPr>
          <w:fldChar w:fldCharType="end"/>
        </w:r>
      </w:hyperlink>
    </w:p>
    <w:p w14:paraId="22ED5BA3" w14:textId="72CCF1DD"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86" w:history="1">
        <w:r w:rsidRPr="000924C1">
          <w:rPr>
            <w:rStyle w:val="Hyperlink"/>
            <w:noProof/>
          </w:rPr>
          <w:t>Figure 45: Orange County Projections based on Price-to-Rent Ratio, 1988-2020</w:t>
        </w:r>
        <w:r>
          <w:rPr>
            <w:noProof/>
            <w:webHidden/>
          </w:rPr>
          <w:tab/>
        </w:r>
        <w:r>
          <w:rPr>
            <w:noProof/>
            <w:webHidden/>
          </w:rPr>
          <w:fldChar w:fldCharType="begin"/>
        </w:r>
        <w:r>
          <w:rPr>
            <w:noProof/>
            <w:webHidden/>
          </w:rPr>
          <w:instrText xml:space="preserve"> PAGEREF _Toc238867486 \h </w:instrText>
        </w:r>
        <w:r>
          <w:rPr>
            <w:noProof/>
            <w:webHidden/>
          </w:rPr>
        </w:r>
        <w:r>
          <w:rPr>
            <w:noProof/>
            <w:webHidden/>
          </w:rPr>
          <w:fldChar w:fldCharType="separate"/>
        </w:r>
        <w:r w:rsidR="00493733">
          <w:rPr>
            <w:noProof/>
            <w:webHidden/>
          </w:rPr>
          <w:t>145</w:t>
        </w:r>
        <w:r>
          <w:rPr>
            <w:noProof/>
            <w:webHidden/>
          </w:rPr>
          <w:fldChar w:fldCharType="end"/>
        </w:r>
      </w:hyperlink>
    </w:p>
    <w:p w14:paraId="06E13218" w14:textId="13E2A3E2"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87" w:history="1">
        <w:r w:rsidRPr="000924C1">
          <w:rPr>
            <w:rStyle w:val="Hyperlink"/>
            <w:noProof/>
          </w:rPr>
          <w:t>Figure 46: Projected National Price-to-Income Ratio, 1988-2015</w:t>
        </w:r>
        <w:r>
          <w:rPr>
            <w:noProof/>
            <w:webHidden/>
          </w:rPr>
          <w:tab/>
        </w:r>
        <w:r>
          <w:rPr>
            <w:noProof/>
            <w:webHidden/>
          </w:rPr>
          <w:fldChar w:fldCharType="begin"/>
        </w:r>
        <w:r>
          <w:rPr>
            <w:noProof/>
            <w:webHidden/>
          </w:rPr>
          <w:instrText xml:space="preserve"> PAGEREF _Toc238867487 \h </w:instrText>
        </w:r>
        <w:r>
          <w:rPr>
            <w:noProof/>
            <w:webHidden/>
          </w:rPr>
        </w:r>
        <w:r>
          <w:rPr>
            <w:noProof/>
            <w:webHidden/>
          </w:rPr>
          <w:fldChar w:fldCharType="separate"/>
        </w:r>
        <w:r w:rsidR="00493733">
          <w:rPr>
            <w:noProof/>
            <w:webHidden/>
          </w:rPr>
          <w:t>146</w:t>
        </w:r>
        <w:r>
          <w:rPr>
            <w:noProof/>
            <w:webHidden/>
          </w:rPr>
          <w:fldChar w:fldCharType="end"/>
        </w:r>
      </w:hyperlink>
    </w:p>
    <w:p w14:paraId="084B66D7" w14:textId="728EB3E8"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88" w:history="1">
        <w:r w:rsidRPr="000924C1">
          <w:rPr>
            <w:rStyle w:val="Hyperlink"/>
            <w:noProof/>
          </w:rPr>
          <w:t>Figure 47: National Projections based on Price-to-Income Ratio, 1986-2015</w:t>
        </w:r>
        <w:r>
          <w:rPr>
            <w:noProof/>
            <w:webHidden/>
          </w:rPr>
          <w:tab/>
        </w:r>
        <w:r>
          <w:rPr>
            <w:noProof/>
            <w:webHidden/>
          </w:rPr>
          <w:fldChar w:fldCharType="begin"/>
        </w:r>
        <w:r>
          <w:rPr>
            <w:noProof/>
            <w:webHidden/>
          </w:rPr>
          <w:instrText xml:space="preserve"> PAGEREF _Toc238867488 \h </w:instrText>
        </w:r>
        <w:r>
          <w:rPr>
            <w:noProof/>
            <w:webHidden/>
          </w:rPr>
        </w:r>
        <w:r>
          <w:rPr>
            <w:noProof/>
            <w:webHidden/>
          </w:rPr>
          <w:fldChar w:fldCharType="separate"/>
        </w:r>
        <w:r w:rsidR="00493733">
          <w:rPr>
            <w:noProof/>
            <w:webHidden/>
          </w:rPr>
          <w:t>146</w:t>
        </w:r>
        <w:r>
          <w:rPr>
            <w:noProof/>
            <w:webHidden/>
          </w:rPr>
          <w:fldChar w:fldCharType="end"/>
        </w:r>
      </w:hyperlink>
    </w:p>
    <w:p w14:paraId="4FB4E859" w14:textId="6A6FF50D"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89" w:history="1">
        <w:r w:rsidRPr="000924C1">
          <w:rPr>
            <w:rStyle w:val="Hyperlink"/>
            <w:noProof/>
          </w:rPr>
          <w:t>Figure 48: Projected Irvine, California Price-to-Income Ratio, 1986-2030</w:t>
        </w:r>
        <w:r>
          <w:rPr>
            <w:noProof/>
            <w:webHidden/>
          </w:rPr>
          <w:tab/>
        </w:r>
        <w:r>
          <w:rPr>
            <w:noProof/>
            <w:webHidden/>
          </w:rPr>
          <w:fldChar w:fldCharType="begin"/>
        </w:r>
        <w:r>
          <w:rPr>
            <w:noProof/>
            <w:webHidden/>
          </w:rPr>
          <w:instrText xml:space="preserve"> PAGEREF _Toc238867489 \h </w:instrText>
        </w:r>
        <w:r>
          <w:rPr>
            <w:noProof/>
            <w:webHidden/>
          </w:rPr>
        </w:r>
        <w:r>
          <w:rPr>
            <w:noProof/>
            <w:webHidden/>
          </w:rPr>
          <w:fldChar w:fldCharType="separate"/>
        </w:r>
        <w:r w:rsidR="00493733">
          <w:rPr>
            <w:noProof/>
            <w:webHidden/>
          </w:rPr>
          <w:t>147</w:t>
        </w:r>
        <w:r>
          <w:rPr>
            <w:noProof/>
            <w:webHidden/>
          </w:rPr>
          <w:fldChar w:fldCharType="end"/>
        </w:r>
      </w:hyperlink>
    </w:p>
    <w:p w14:paraId="6A42788B" w14:textId="2B6F86FD"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90" w:history="1">
        <w:r w:rsidRPr="000924C1">
          <w:rPr>
            <w:rStyle w:val="Hyperlink"/>
            <w:noProof/>
          </w:rPr>
          <w:t>Figure 49: Irvine, California Projections from Price-to-Income Ratio, 1986-2030</w:t>
        </w:r>
        <w:r>
          <w:rPr>
            <w:noProof/>
            <w:webHidden/>
          </w:rPr>
          <w:tab/>
        </w:r>
        <w:r>
          <w:rPr>
            <w:noProof/>
            <w:webHidden/>
          </w:rPr>
          <w:fldChar w:fldCharType="begin"/>
        </w:r>
        <w:r>
          <w:rPr>
            <w:noProof/>
            <w:webHidden/>
          </w:rPr>
          <w:instrText xml:space="preserve"> PAGEREF _Toc238867490 \h </w:instrText>
        </w:r>
        <w:r>
          <w:rPr>
            <w:noProof/>
            <w:webHidden/>
          </w:rPr>
        </w:r>
        <w:r>
          <w:rPr>
            <w:noProof/>
            <w:webHidden/>
          </w:rPr>
          <w:fldChar w:fldCharType="separate"/>
        </w:r>
        <w:r w:rsidR="00493733">
          <w:rPr>
            <w:noProof/>
            <w:webHidden/>
          </w:rPr>
          <w:t>147</w:t>
        </w:r>
        <w:r>
          <w:rPr>
            <w:noProof/>
            <w:webHidden/>
          </w:rPr>
          <w:fldChar w:fldCharType="end"/>
        </w:r>
      </w:hyperlink>
    </w:p>
    <w:p w14:paraId="13176103" w14:textId="6D056735"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91" w:history="1">
        <w:r w:rsidRPr="000924C1">
          <w:rPr>
            <w:rStyle w:val="Hyperlink"/>
            <w:noProof/>
          </w:rPr>
          <w:t>Figure 50: CPI Adjusted Median Home Prices, 1986-2006</w:t>
        </w:r>
        <w:r>
          <w:rPr>
            <w:noProof/>
            <w:webHidden/>
          </w:rPr>
          <w:tab/>
        </w:r>
        <w:r>
          <w:rPr>
            <w:noProof/>
            <w:webHidden/>
          </w:rPr>
          <w:fldChar w:fldCharType="begin"/>
        </w:r>
        <w:r>
          <w:rPr>
            <w:noProof/>
            <w:webHidden/>
          </w:rPr>
          <w:instrText xml:space="preserve"> PAGEREF _Toc238867491 \h </w:instrText>
        </w:r>
        <w:r>
          <w:rPr>
            <w:noProof/>
            <w:webHidden/>
          </w:rPr>
        </w:r>
        <w:r>
          <w:rPr>
            <w:noProof/>
            <w:webHidden/>
          </w:rPr>
          <w:fldChar w:fldCharType="separate"/>
        </w:r>
        <w:r w:rsidR="00493733">
          <w:rPr>
            <w:noProof/>
            <w:webHidden/>
          </w:rPr>
          <w:t>148</w:t>
        </w:r>
        <w:r>
          <w:rPr>
            <w:noProof/>
            <w:webHidden/>
          </w:rPr>
          <w:fldChar w:fldCharType="end"/>
        </w:r>
      </w:hyperlink>
    </w:p>
    <w:p w14:paraId="02F174E1" w14:textId="7C220DC0"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92" w:history="1">
        <w:r w:rsidRPr="000924C1">
          <w:rPr>
            <w:rStyle w:val="Hyperlink"/>
            <w:noProof/>
          </w:rPr>
          <w:t>Figure 51: National Inflation Rate, 1961-2007</w:t>
        </w:r>
        <w:r>
          <w:rPr>
            <w:noProof/>
            <w:webHidden/>
          </w:rPr>
          <w:tab/>
        </w:r>
        <w:r>
          <w:rPr>
            <w:noProof/>
            <w:webHidden/>
          </w:rPr>
          <w:fldChar w:fldCharType="begin"/>
        </w:r>
        <w:r>
          <w:rPr>
            <w:noProof/>
            <w:webHidden/>
          </w:rPr>
          <w:instrText xml:space="preserve"> PAGEREF _Toc238867492 \h </w:instrText>
        </w:r>
        <w:r>
          <w:rPr>
            <w:noProof/>
            <w:webHidden/>
          </w:rPr>
        </w:r>
        <w:r>
          <w:rPr>
            <w:noProof/>
            <w:webHidden/>
          </w:rPr>
          <w:fldChar w:fldCharType="separate"/>
        </w:r>
        <w:r w:rsidR="00493733">
          <w:rPr>
            <w:noProof/>
            <w:webHidden/>
          </w:rPr>
          <w:t>149</w:t>
        </w:r>
        <w:r>
          <w:rPr>
            <w:noProof/>
            <w:webHidden/>
          </w:rPr>
          <w:fldChar w:fldCharType="end"/>
        </w:r>
      </w:hyperlink>
    </w:p>
    <w:p w14:paraId="041D857A" w14:textId="767EC6F1"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93" w:history="1">
        <w:r w:rsidRPr="000924C1">
          <w:rPr>
            <w:rStyle w:val="Hyperlink"/>
            <w:noProof/>
          </w:rPr>
          <w:t>Figure 52: Inflation-Adjusted Projections for Los Angeles, 1987-2012</w:t>
        </w:r>
        <w:r>
          <w:rPr>
            <w:noProof/>
            <w:webHidden/>
          </w:rPr>
          <w:tab/>
        </w:r>
        <w:r>
          <w:rPr>
            <w:noProof/>
            <w:webHidden/>
          </w:rPr>
          <w:fldChar w:fldCharType="begin"/>
        </w:r>
        <w:r>
          <w:rPr>
            <w:noProof/>
            <w:webHidden/>
          </w:rPr>
          <w:instrText xml:space="preserve"> PAGEREF _Toc238867493 \h </w:instrText>
        </w:r>
        <w:r>
          <w:rPr>
            <w:noProof/>
            <w:webHidden/>
          </w:rPr>
        </w:r>
        <w:r>
          <w:rPr>
            <w:noProof/>
            <w:webHidden/>
          </w:rPr>
          <w:fldChar w:fldCharType="separate"/>
        </w:r>
        <w:r w:rsidR="00493733">
          <w:rPr>
            <w:noProof/>
            <w:webHidden/>
          </w:rPr>
          <w:t>150</w:t>
        </w:r>
        <w:r>
          <w:rPr>
            <w:noProof/>
            <w:webHidden/>
          </w:rPr>
          <w:fldChar w:fldCharType="end"/>
        </w:r>
      </w:hyperlink>
    </w:p>
    <w:p w14:paraId="7B965377" w14:textId="1F6EBAA9"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94" w:history="1">
        <w:r w:rsidRPr="000924C1">
          <w:rPr>
            <w:rStyle w:val="Hyperlink"/>
            <w:noProof/>
          </w:rPr>
          <w:t>Figure 53: National Median House Price Prediction, 2004-2019</w:t>
        </w:r>
        <w:r>
          <w:rPr>
            <w:noProof/>
            <w:webHidden/>
          </w:rPr>
          <w:tab/>
        </w:r>
        <w:r>
          <w:rPr>
            <w:noProof/>
            <w:webHidden/>
          </w:rPr>
          <w:fldChar w:fldCharType="begin"/>
        </w:r>
        <w:r>
          <w:rPr>
            <w:noProof/>
            <w:webHidden/>
          </w:rPr>
          <w:instrText xml:space="preserve"> PAGEREF _Toc238867494 \h </w:instrText>
        </w:r>
        <w:r>
          <w:rPr>
            <w:noProof/>
            <w:webHidden/>
          </w:rPr>
        </w:r>
        <w:r>
          <w:rPr>
            <w:noProof/>
            <w:webHidden/>
          </w:rPr>
          <w:fldChar w:fldCharType="separate"/>
        </w:r>
        <w:r w:rsidR="00493733">
          <w:rPr>
            <w:noProof/>
            <w:webHidden/>
          </w:rPr>
          <w:t>151</w:t>
        </w:r>
        <w:r>
          <w:rPr>
            <w:noProof/>
            <w:webHidden/>
          </w:rPr>
          <w:fldChar w:fldCharType="end"/>
        </w:r>
      </w:hyperlink>
    </w:p>
    <w:p w14:paraId="510CEB45" w14:textId="54C4BF66"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95" w:history="1">
        <w:r w:rsidRPr="000924C1">
          <w:rPr>
            <w:rStyle w:val="Hyperlink"/>
            <w:noProof/>
          </w:rPr>
          <w:t>Figure 54: Irvine, California, Median House Price Prediction, 2004-2025</w:t>
        </w:r>
        <w:r>
          <w:rPr>
            <w:noProof/>
            <w:webHidden/>
          </w:rPr>
          <w:tab/>
        </w:r>
        <w:r>
          <w:rPr>
            <w:noProof/>
            <w:webHidden/>
          </w:rPr>
          <w:fldChar w:fldCharType="begin"/>
        </w:r>
        <w:r>
          <w:rPr>
            <w:noProof/>
            <w:webHidden/>
          </w:rPr>
          <w:instrText xml:space="preserve"> PAGEREF _Toc238867495 \h </w:instrText>
        </w:r>
        <w:r>
          <w:rPr>
            <w:noProof/>
            <w:webHidden/>
          </w:rPr>
        </w:r>
        <w:r>
          <w:rPr>
            <w:noProof/>
            <w:webHidden/>
          </w:rPr>
          <w:fldChar w:fldCharType="separate"/>
        </w:r>
        <w:r w:rsidR="00493733">
          <w:rPr>
            <w:noProof/>
            <w:webHidden/>
          </w:rPr>
          <w:t>152</w:t>
        </w:r>
        <w:r>
          <w:rPr>
            <w:noProof/>
            <w:webHidden/>
          </w:rPr>
          <w:fldChar w:fldCharType="end"/>
        </w:r>
      </w:hyperlink>
    </w:p>
    <w:p w14:paraId="77AA8F9A" w14:textId="7623837E"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96" w:history="1">
        <w:r w:rsidRPr="000924C1">
          <w:rPr>
            <w:rStyle w:val="Hyperlink"/>
            <w:noProof/>
          </w:rPr>
          <w:t>Figure 55: National Mortgage Obligation Ratio, 1980-2007</w:t>
        </w:r>
        <w:r>
          <w:rPr>
            <w:noProof/>
            <w:webHidden/>
          </w:rPr>
          <w:tab/>
        </w:r>
        <w:r>
          <w:rPr>
            <w:noProof/>
            <w:webHidden/>
          </w:rPr>
          <w:fldChar w:fldCharType="begin"/>
        </w:r>
        <w:r>
          <w:rPr>
            <w:noProof/>
            <w:webHidden/>
          </w:rPr>
          <w:instrText xml:space="preserve"> PAGEREF _Toc238867496 \h </w:instrText>
        </w:r>
        <w:r>
          <w:rPr>
            <w:noProof/>
            <w:webHidden/>
          </w:rPr>
        </w:r>
        <w:r>
          <w:rPr>
            <w:noProof/>
            <w:webHidden/>
          </w:rPr>
          <w:fldChar w:fldCharType="separate"/>
        </w:r>
        <w:r w:rsidR="00493733">
          <w:rPr>
            <w:noProof/>
            <w:webHidden/>
          </w:rPr>
          <w:t>154</w:t>
        </w:r>
        <w:r>
          <w:rPr>
            <w:noProof/>
            <w:webHidden/>
          </w:rPr>
          <w:fldChar w:fldCharType="end"/>
        </w:r>
      </w:hyperlink>
    </w:p>
    <w:p w14:paraId="65540978" w14:textId="66B1ECFB"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97" w:history="1">
        <w:r w:rsidRPr="000924C1">
          <w:rPr>
            <w:rStyle w:val="Hyperlink"/>
            <w:noProof/>
          </w:rPr>
          <w:t>Figure 56: Mortgage Interest Rates, 1972-2006</w:t>
        </w:r>
        <w:r>
          <w:rPr>
            <w:noProof/>
            <w:webHidden/>
          </w:rPr>
          <w:tab/>
        </w:r>
        <w:r>
          <w:rPr>
            <w:noProof/>
            <w:webHidden/>
          </w:rPr>
          <w:fldChar w:fldCharType="begin"/>
        </w:r>
        <w:r>
          <w:rPr>
            <w:noProof/>
            <w:webHidden/>
          </w:rPr>
          <w:instrText xml:space="preserve"> PAGEREF _Toc238867497 \h </w:instrText>
        </w:r>
        <w:r>
          <w:rPr>
            <w:noProof/>
            <w:webHidden/>
          </w:rPr>
        </w:r>
        <w:r>
          <w:rPr>
            <w:noProof/>
            <w:webHidden/>
          </w:rPr>
          <w:fldChar w:fldCharType="separate"/>
        </w:r>
        <w:r w:rsidR="00493733">
          <w:rPr>
            <w:noProof/>
            <w:webHidden/>
          </w:rPr>
          <w:t>156</w:t>
        </w:r>
        <w:r>
          <w:rPr>
            <w:noProof/>
            <w:webHidden/>
          </w:rPr>
          <w:fldChar w:fldCharType="end"/>
        </w:r>
      </w:hyperlink>
    </w:p>
    <w:p w14:paraId="63FC2A77" w14:textId="0DC13EE9"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98" w:history="1">
        <w:r w:rsidRPr="000924C1">
          <w:rPr>
            <w:rStyle w:val="Hyperlink"/>
            <w:noProof/>
          </w:rPr>
          <w:t>Figure 57: Mortgage Interest Rates, 1986-2006</w:t>
        </w:r>
        <w:r>
          <w:rPr>
            <w:noProof/>
            <w:webHidden/>
          </w:rPr>
          <w:tab/>
        </w:r>
        <w:r>
          <w:rPr>
            <w:noProof/>
            <w:webHidden/>
          </w:rPr>
          <w:fldChar w:fldCharType="begin"/>
        </w:r>
        <w:r>
          <w:rPr>
            <w:noProof/>
            <w:webHidden/>
          </w:rPr>
          <w:instrText xml:space="preserve"> PAGEREF _Toc238867498 \h </w:instrText>
        </w:r>
        <w:r>
          <w:rPr>
            <w:noProof/>
            <w:webHidden/>
          </w:rPr>
        </w:r>
        <w:r>
          <w:rPr>
            <w:noProof/>
            <w:webHidden/>
          </w:rPr>
          <w:fldChar w:fldCharType="separate"/>
        </w:r>
        <w:r w:rsidR="00493733">
          <w:rPr>
            <w:noProof/>
            <w:webHidden/>
          </w:rPr>
          <w:t>157</w:t>
        </w:r>
        <w:r>
          <w:rPr>
            <w:noProof/>
            <w:webHidden/>
          </w:rPr>
          <w:fldChar w:fldCharType="end"/>
        </w:r>
      </w:hyperlink>
    </w:p>
    <w:p w14:paraId="5BF60A52" w14:textId="48EF4CCD"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499" w:history="1">
        <w:r w:rsidRPr="000924C1">
          <w:rPr>
            <w:rStyle w:val="Hyperlink"/>
            <w:noProof/>
          </w:rPr>
          <w:t>Figure 58: National Unemployment Rate, 1976-2008</w:t>
        </w:r>
        <w:r>
          <w:rPr>
            <w:noProof/>
            <w:webHidden/>
          </w:rPr>
          <w:tab/>
        </w:r>
        <w:r>
          <w:rPr>
            <w:noProof/>
            <w:webHidden/>
          </w:rPr>
          <w:fldChar w:fldCharType="begin"/>
        </w:r>
        <w:r>
          <w:rPr>
            <w:noProof/>
            <w:webHidden/>
          </w:rPr>
          <w:instrText xml:space="preserve"> PAGEREF _Toc238867499 \h </w:instrText>
        </w:r>
        <w:r>
          <w:rPr>
            <w:noProof/>
            <w:webHidden/>
          </w:rPr>
        </w:r>
        <w:r>
          <w:rPr>
            <w:noProof/>
            <w:webHidden/>
          </w:rPr>
          <w:fldChar w:fldCharType="separate"/>
        </w:r>
        <w:r w:rsidR="00493733">
          <w:rPr>
            <w:noProof/>
            <w:webHidden/>
          </w:rPr>
          <w:t>159</w:t>
        </w:r>
        <w:r>
          <w:rPr>
            <w:noProof/>
            <w:webHidden/>
          </w:rPr>
          <w:fldChar w:fldCharType="end"/>
        </w:r>
      </w:hyperlink>
    </w:p>
    <w:p w14:paraId="08F6C5A2" w14:textId="145B2774"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500" w:history="1">
        <w:r w:rsidRPr="000924C1">
          <w:rPr>
            <w:rStyle w:val="Hyperlink"/>
            <w:noProof/>
          </w:rPr>
          <w:t>Figure 59: California Unemployment Rate. 1976-2008</w:t>
        </w:r>
        <w:r>
          <w:rPr>
            <w:noProof/>
            <w:webHidden/>
          </w:rPr>
          <w:tab/>
        </w:r>
        <w:r>
          <w:rPr>
            <w:noProof/>
            <w:webHidden/>
          </w:rPr>
          <w:fldChar w:fldCharType="begin"/>
        </w:r>
        <w:r>
          <w:rPr>
            <w:noProof/>
            <w:webHidden/>
          </w:rPr>
          <w:instrText xml:space="preserve"> PAGEREF _Toc238867500 \h </w:instrText>
        </w:r>
        <w:r>
          <w:rPr>
            <w:noProof/>
            <w:webHidden/>
          </w:rPr>
        </w:r>
        <w:r>
          <w:rPr>
            <w:noProof/>
            <w:webHidden/>
          </w:rPr>
          <w:fldChar w:fldCharType="separate"/>
        </w:r>
        <w:r w:rsidR="00493733">
          <w:rPr>
            <w:noProof/>
            <w:webHidden/>
          </w:rPr>
          <w:t>160</w:t>
        </w:r>
        <w:r>
          <w:rPr>
            <w:noProof/>
            <w:webHidden/>
          </w:rPr>
          <w:fldChar w:fldCharType="end"/>
        </w:r>
      </w:hyperlink>
    </w:p>
    <w:p w14:paraId="7E088328" w14:textId="4DF40EE7"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501" w:history="1">
        <w:r w:rsidRPr="000924C1">
          <w:rPr>
            <w:rStyle w:val="Hyperlink"/>
            <w:noProof/>
          </w:rPr>
          <w:t>Figure 60: NODs and Trustee Sales as a % of Total Sales,</w:t>
        </w:r>
        <w:r>
          <w:rPr>
            <w:noProof/>
            <w:webHidden/>
          </w:rPr>
          <w:tab/>
        </w:r>
        <w:r>
          <w:rPr>
            <w:noProof/>
            <w:webHidden/>
          </w:rPr>
          <w:fldChar w:fldCharType="begin"/>
        </w:r>
        <w:r>
          <w:rPr>
            <w:noProof/>
            <w:webHidden/>
          </w:rPr>
          <w:instrText xml:space="preserve"> PAGEREF _Toc238867501 \h </w:instrText>
        </w:r>
        <w:r>
          <w:rPr>
            <w:noProof/>
            <w:webHidden/>
          </w:rPr>
        </w:r>
        <w:r>
          <w:rPr>
            <w:noProof/>
            <w:webHidden/>
          </w:rPr>
          <w:fldChar w:fldCharType="separate"/>
        </w:r>
        <w:r w:rsidR="00493733">
          <w:rPr>
            <w:noProof/>
            <w:webHidden/>
          </w:rPr>
          <w:t>162</w:t>
        </w:r>
        <w:r>
          <w:rPr>
            <w:noProof/>
            <w:webHidden/>
          </w:rPr>
          <w:fldChar w:fldCharType="end"/>
        </w:r>
      </w:hyperlink>
    </w:p>
    <w:p w14:paraId="279C9549" w14:textId="5F401808"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502" w:history="1">
        <w:r w:rsidRPr="000924C1">
          <w:rPr>
            <w:rStyle w:val="Hyperlink"/>
            <w:noProof/>
          </w:rPr>
          <w:t>Figure 61: Projected NODs and Trustee Sales as a % of Total Sales,</w:t>
        </w:r>
        <w:r>
          <w:rPr>
            <w:noProof/>
            <w:webHidden/>
          </w:rPr>
          <w:tab/>
        </w:r>
        <w:r>
          <w:rPr>
            <w:noProof/>
            <w:webHidden/>
          </w:rPr>
          <w:fldChar w:fldCharType="begin"/>
        </w:r>
        <w:r>
          <w:rPr>
            <w:noProof/>
            <w:webHidden/>
          </w:rPr>
          <w:instrText xml:space="preserve"> PAGEREF _Toc238867502 \h </w:instrText>
        </w:r>
        <w:r>
          <w:rPr>
            <w:noProof/>
            <w:webHidden/>
          </w:rPr>
        </w:r>
        <w:r>
          <w:rPr>
            <w:noProof/>
            <w:webHidden/>
          </w:rPr>
          <w:fldChar w:fldCharType="separate"/>
        </w:r>
        <w:r w:rsidR="00493733">
          <w:rPr>
            <w:noProof/>
            <w:webHidden/>
          </w:rPr>
          <w:t>163</w:t>
        </w:r>
        <w:r>
          <w:rPr>
            <w:noProof/>
            <w:webHidden/>
          </w:rPr>
          <w:fldChar w:fldCharType="end"/>
        </w:r>
      </w:hyperlink>
    </w:p>
    <w:p w14:paraId="3D17DFD2" w14:textId="08FF7A96"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503" w:history="1">
        <w:r w:rsidRPr="000924C1">
          <w:rPr>
            <w:rStyle w:val="Hyperlink"/>
            <w:noProof/>
          </w:rPr>
          <w:t>Figure 62: National Home Ownership Rate, 1984-2005</w:t>
        </w:r>
        <w:r>
          <w:rPr>
            <w:noProof/>
            <w:webHidden/>
          </w:rPr>
          <w:tab/>
        </w:r>
        <w:r>
          <w:rPr>
            <w:noProof/>
            <w:webHidden/>
          </w:rPr>
          <w:fldChar w:fldCharType="begin"/>
        </w:r>
        <w:r>
          <w:rPr>
            <w:noProof/>
            <w:webHidden/>
          </w:rPr>
          <w:instrText xml:space="preserve"> PAGEREF _Toc238867503 \h </w:instrText>
        </w:r>
        <w:r>
          <w:rPr>
            <w:noProof/>
            <w:webHidden/>
          </w:rPr>
        </w:r>
        <w:r>
          <w:rPr>
            <w:noProof/>
            <w:webHidden/>
          </w:rPr>
          <w:fldChar w:fldCharType="separate"/>
        </w:r>
        <w:r w:rsidR="00493733">
          <w:rPr>
            <w:noProof/>
            <w:webHidden/>
          </w:rPr>
          <w:t>164</w:t>
        </w:r>
        <w:r>
          <w:rPr>
            <w:noProof/>
            <w:webHidden/>
          </w:rPr>
          <w:fldChar w:fldCharType="end"/>
        </w:r>
      </w:hyperlink>
    </w:p>
    <w:p w14:paraId="57F24E02" w14:textId="64F6ABC1"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504" w:history="1">
        <w:r w:rsidRPr="000924C1">
          <w:rPr>
            <w:rStyle w:val="Hyperlink"/>
            <w:noProof/>
          </w:rPr>
          <w:t>Figure 63: National Doomsday Scenario</w:t>
        </w:r>
        <w:r>
          <w:rPr>
            <w:noProof/>
            <w:webHidden/>
          </w:rPr>
          <w:tab/>
        </w:r>
        <w:r>
          <w:rPr>
            <w:noProof/>
            <w:webHidden/>
          </w:rPr>
          <w:fldChar w:fldCharType="begin"/>
        </w:r>
        <w:r>
          <w:rPr>
            <w:noProof/>
            <w:webHidden/>
          </w:rPr>
          <w:instrText xml:space="preserve"> PAGEREF _Toc238867504 \h </w:instrText>
        </w:r>
        <w:r>
          <w:rPr>
            <w:noProof/>
            <w:webHidden/>
          </w:rPr>
        </w:r>
        <w:r>
          <w:rPr>
            <w:noProof/>
            <w:webHidden/>
          </w:rPr>
          <w:fldChar w:fldCharType="separate"/>
        </w:r>
        <w:r w:rsidR="00493733">
          <w:rPr>
            <w:noProof/>
            <w:webHidden/>
          </w:rPr>
          <w:t>165</w:t>
        </w:r>
        <w:r>
          <w:rPr>
            <w:noProof/>
            <w:webHidden/>
          </w:rPr>
          <w:fldChar w:fldCharType="end"/>
        </w:r>
      </w:hyperlink>
    </w:p>
    <w:p w14:paraId="05A790F3" w14:textId="24A98941" w:rsidR="007E3004" w:rsidRDefault="007E3004">
      <w:pPr>
        <w:pStyle w:val="TableofFigures"/>
        <w:tabs>
          <w:tab w:val="right" w:leader="dot" w:pos="6758"/>
        </w:tabs>
        <w:rPr>
          <w:rFonts w:asciiTheme="minorHAnsi" w:hAnsiTheme="minorHAnsi"/>
          <w:noProof/>
          <w:kern w:val="2"/>
          <w:sz w:val="24"/>
          <w:szCs w:val="24"/>
          <w:lang w:bidi="ar-SA"/>
          <w14:ligatures w14:val="standardContextual"/>
        </w:rPr>
      </w:pPr>
      <w:hyperlink w:anchor="_Toc238867505" w:history="1">
        <w:r w:rsidRPr="000924C1">
          <w:rPr>
            <w:rStyle w:val="Hyperlink"/>
            <w:noProof/>
          </w:rPr>
          <w:t>Figure 64: Irvine, California, Doomsday Scenario</w:t>
        </w:r>
        <w:r>
          <w:rPr>
            <w:noProof/>
            <w:webHidden/>
          </w:rPr>
          <w:tab/>
        </w:r>
        <w:r>
          <w:rPr>
            <w:noProof/>
            <w:webHidden/>
          </w:rPr>
          <w:fldChar w:fldCharType="begin"/>
        </w:r>
        <w:r>
          <w:rPr>
            <w:noProof/>
            <w:webHidden/>
          </w:rPr>
          <w:instrText xml:space="preserve"> PAGEREF _Toc238867505 \h </w:instrText>
        </w:r>
        <w:r>
          <w:rPr>
            <w:noProof/>
            <w:webHidden/>
          </w:rPr>
        </w:r>
        <w:r>
          <w:rPr>
            <w:noProof/>
            <w:webHidden/>
          </w:rPr>
          <w:fldChar w:fldCharType="separate"/>
        </w:r>
        <w:r w:rsidR="00493733">
          <w:rPr>
            <w:noProof/>
            <w:webHidden/>
          </w:rPr>
          <w:t>166</w:t>
        </w:r>
        <w:r>
          <w:rPr>
            <w:noProof/>
            <w:webHidden/>
          </w:rPr>
          <w:fldChar w:fldCharType="end"/>
        </w:r>
      </w:hyperlink>
    </w:p>
    <w:p w14:paraId="74B2D3BB" w14:textId="0870752D" w:rsidR="00F53820" w:rsidRPr="00124B71" w:rsidRDefault="001858B5" w:rsidP="00F53820">
      <w:pPr>
        <w:rPr>
          <w:rFonts w:cs="Times New Roman"/>
          <w:szCs w:val="18"/>
        </w:rPr>
      </w:pPr>
      <w:r w:rsidRPr="00124B71">
        <w:rPr>
          <w:rFonts w:cs="Times New Roman"/>
          <w:szCs w:val="18"/>
        </w:rPr>
        <w:fldChar w:fldCharType="end"/>
      </w:r>
    </w:p>
    <w:p w14:paraId="0B71AB91" w14:textId="77777777" w:rsidR="00F53820" w:rsidRPr="00124B71" w:rsidRDefault="00F53820">
      <w:pPr>
        <w:rPr>
          <w:rFonts w:cs="Times New Roman"/>
        </w:rPr>
        <w:sectPr w:rsidR="00F53820" w:rsidRPr="00124B71" w:rsidSect="009729DE">
          <w:headerReference w:type="default" r:id="rId19"/>
          <w:footerReference w:type="default" r:id="rId20"/>
          <w:endnotePr>
            <w:numFmt w:val="decimal"/>
          </w:endnotePr>
          <w:type w:val="oddPage"/>
          <w:pgSz w:w="8640" w:h="12960" w:code="173"/>
          <w:pgMar w:top="1008" w:right="936" w:bottom="1080" w:left="936" w:header="504" w:footer="504" w:gutter="0"/>
          <w:pgNumType w:fmt="lowerRoman" w:chapStyle="1"/>
          <w:cols w:space="720"/>
          <w:docGrid w:linePitch="360"/>
        </w:sectPr>
      </w:pPr>
    </w:p>
    <w:p w14:paraId="22CF8C1B" w14:textId="77777777" w:rsidR="00C409D3" w:rsidRPr="00EF0EDA" w:rsidRDefault="00A644AE" w:rsidP="00C409D3">
      <w:pPr>
        <w:pStyle w:val="Heading1"/>
      </w:pPr>
      <w:bookmarkStart w:id="0" w:name="_Toc238867260"/>
      <w:r>
        <w:lastRenderedPageBreak/>
        <w:t>Preface</w:t>
      </w:r>
      <w:bookmarkEnd w:id="0"/>
    </w:p>
    <w:p w14:paraId="0F3EA4A7" w14:textId="77777777" w:rsidR="00423EA2" w:rsidRPr="00124B71" w:rsidRDefault="00DA4E7C" w:rsidP="008560E2">
      <w:pPr>
        <w:rPr>
          <w:rFonts w:cs="Times New Roman"/>
        </w:rPr>
      </w:pPr>
      <w:r w:rsidRPr="00124B71">
        <w:rPr>
          <w:rFonts w:cs="Times New Roman"/>
        </w:rPr>
        <w:t>I work as a development consultant in the real estate industry</w:t>
      </w:r>
      <w:r w:rsidR="00423EA2" w:rsidRPr="00124B71">
        <w:rPr>
          <w:rFonts w:cs="Times New Roman"/>
        </w:rPr>
        <w:t xml:space="preserve"> in Southern California</w:t>
      </w:r>
      <w:r w:rsidRPr="00124B71">
        <w:rPr>
          <w:rFonts w:cs="Times New Roman"/>
        </w:rPr>
        <w:t xml:space="preserve">. My education and experience has acquainted me with a variety of real estate markets, but residential real estate is the one with which I am most familiar. </w:t>
      </w:r>
      <w:r w:rsidR="00655D2A" w:rsidRPr="00124B71">
        <w:rPr>
          <w:rFonts w:cs="Times New Roman"/>
        </w:rPr>
        <w:t xml:space="preserve">I am not a realtor or a mortgage broker, and my livelihood, though dependent upon the real estate industry, it is not dependent upon facilitating a </w:t>
      </w:r>
      <w:r w:rsidR="00423EA2" w:rsidRPr="00124B71">
        <w:rPr>
          <w:rFonts w:cs="Times New Roman"/>
        </w:rPr>
        <w:t xml:space="preserve">home-sale </w:t>
      </w:r>
      <w:r w:rsidR="00655D2A" w:rsidRPr="00124B71">
        <w:rPr>
          <w:rFonts w:cs="Times New Roman"/>
        </w:rPr>
        <w:t xml:space="preserve">transaction. </w:t>
      </w:r>
      <w:r w:rsidR="00F95C80" w:rsidRPr="00124B71">
        <w:rPr>
          <w:rFonts w:cs="Times New Roman"/>
        </w:rPr>
        <w:t xml:space="preserve">What is presented here is both historical account and unbiased analysis. </w:t>
      </w:r>
      <w:r w:rsidR="00655D2A" w:rsidRPr="00124B71">
        <w:rPr>
          <w:rFonts w:cs="Times New Roman"/>
        </w:rPr>
        <w:t xml:space="preserve">My observations of the </w:t>
      </w:r>
      <w:r w:rsidR="00D55103" w:rsidRPr="00124B71">
        <w:rPr>
          <w:rFonts w:cs="Times New Roman"/>
        </w:rPr>
        <w:t xml:space="preserve">residential real estate </w:t>
      </w:r>
      <w:r w:rsidR="00655D2A" w:rsidRPr="00124B71">
        <w:rPr>
          <w:rFonts w:cs="Times New Roman"/>
        </w:rPr>
        <w:t>market are not tainted by any need or desire to convince anyone they should buy a house.</w:t>
      </w:r>
      <w:r w:rsidR="00D55103" w:rsidRPr="00124B71">
        <w:rPr>
          <w:rFonts w:cs="Times New Roman"/>
        </w:rPr>
        <w:t xml:space="preserve"> In fact, one of my motivations for writing about the Great Housing Bubble is to convince people </w:t>
      </w:r>
      <w:r w:rsidR="00D55103" w:rsidRPr="00124B71">
        <w:rPr>
          <w:rFonts w:cs="Times New Roman"/>
          <w:i/>
        </w:rPr>
        <w:t>not</w:t>
      </w:r>
      <w:r w:rsidR="00D55103" w:rsidRPr="00124B71">
        <w:rPr>
          <w:rFonts w:cs="Times New Roman"/>
        </w:rPr>
        <w:t xml:space="preserve"> to buy a house </w:t>
      </w:r>
      <w:r w:rsidR="00423EA2" w:rsidRPr="00124B71">
        <w:rPr>
          <w:rFonts w:cs="Times New Roman"/>
        </w:rPr>
        <w:t xml:space="preserve">when prices are inflated </w:t>
      </w:r>
      <w:r w:rsidR="00D55103" w:rsidRPr="00124B71">
        <w:rPr>
          <w:rFonts w:cs="Times New Roman"/>
        </w:rPr>
        <w:t>and save them from financial ruin.</w:t>
      </w:r>
      <w:r w:rsidR="00423EA2" w:rsidRPr="00124B71">
        <w:rPr>
          <w:rFonts w:cs="Times New Roman"/>
        </w:rPr>
        <w:t xml:space="preserve"> It saddens me to watch homebuyers get caught up in the bubble mythology and enter into a financial transaction that will have a strongly negative impact on their</w:t>
      </w:r>
      <w:r w:rsidR="00F95C80" w:rsidRPr="00124B71">
        <w:rPr>
          <w:rFonts w:cs="Times New Roman"/>
        </w:rPr>
        <w:t xml:space="preserve"> financial</w:t>
      </w:r>
      <w:r w:rsidR="00423EA2" w:rsidRPr="00124B71">
        <w:rPr>
          <w:rFonts w:cs="Times New Roman"/>
        </w:rPr>
        <w:t xml:space="preserve"> lives. People who have already made that decision cannot be helped</w:t>
      </w:r>
      <w:r w:rsidR="00655D2A" w:rsidRPr="00124B71">
        <w:rPr>
          <w:rFonts w:cs="Times New Roman"/>
        </w:rPr>
        <w:t xml:space="preserve"> </w:t>
      </w:r>
      <w:r w:rsidR="00F95C80" w:rsidRPr="00124B71">
        <w:rPr>
          <w:rFonts w:cs="Times New Roman"/>
        </w:rPr>
        <w:t>except at the expense of a naïve buyer. Sellers have the marketing machine of the National Association of Realtors</w:t>
      </w:r>
      <w:r w:rsidR="001858B5">
        <w:rPr>
          <w:rFonts w:cs="Times New Roman"/>
        </w:rPr>
        <w:fldChar w:fldCharType="begin"/>
      </w:r>
      <w:r w:rsidR="002321D5">
        <w:instrText xml:space="preserve"> XE "</w:instrText>
      </w:r>
      <w:r w:rsidR="002321D5" w:rsidRPr="00D5186C">
        <w:rPr>
          <w:rFonts w:cs="Times New Roman"/>
        </w:rPr>
        <w:instrText>National Association of Realtors</w:instrText>
      </w:r>
      <w:r w:rsidR="002321D5">
        <w:instrText xml:space="preserve">" </w:instrText>
      </w:r>
      <w:r w:rsidR="001858B5">
        <w:rPr>
          <w:rFonts w:cs="Times New Roman"/>
        </w:rPr>
        <w:fldChar w:fldCharType="end"/>
      </w:r>
      <w:r w:rsidR="00F95C80" w:rsidRPr="00124B71">
        <w:rPr>
          <w:rFonts w:cs="Times New Roman"/>
        </w:rPr>
        <w:t xml:space="preserve"> to help them. Buyers have few sources of unbiased information to assist their decision. Part of the purpose of this writing is to educat</w:t>
      </w:r>
      <w:r w:rsidR="005F2F77" w:rsidRPr="00124B71">
        <w:rPr>
          <w:rFonts w:cs="Times New Roman"/>
        </w:rPr>
        <w:t>e</w:t>
      </w:r>
      <w:r w:rsidR="00F95C80" w:rsidRPr="00124B71">
        <w:rPr>
          <w:rFonts w:cs="Times New Roman"/>
        </w:rPr>
        <w:t xml:space="preserve"> both buyers and sellers on the realities of the residential real estate market.</w:t>
      </w:r>
    </w:p>
    <w:p w14:paraId="713F6106" w14:textId="77777777" w:rsidR="001767A9" w:rsidRPr="00124B71" w:rsidRDefault="001767A9" w:rsidP="008560E2">
      <w:pPr>
        <w:rPr>
          <w:rFonts w:cs="Times New Roman"/>
        </w:rPr>
      </w:pPr>
      <w:r w:rsidRPr="00124B71">
        <w:rPr>
          <w:rFonts w:cs="Times New Roman"/>
        </w:rPr>
        <w:t>One of the difficulties of writing a book on the Great Housing Bubble in 200</w:t>
      </w:r>
      <w:r w:rsidR="009E4E1E" w:rsidRPr="00124B71">
        <w:rPr>
          <w:rFonts w:cs="Times New Roman"/>
        </w:rPr>
        <w:t>8</w:t>
      </w:r>
      <w:r w:rsidRPr="00124B71">
        <w:rPr>
          <w:rFonts w:cs="Times New Roman"/>
        </w:rPr>
        <w:t xml:space="preserve"> is that the bubble has not played itself out yet. There is a necessary change in tense required when speaking of events prior to 200</w:t>
      </w:r>
      <w:r w:rsidR="009E4E1E" w:rsidRPr="00124B71">
        <w:rPr>
          <w:rFonts w:cs="Times New Roman"/>
        </w:rPr>
        <w:t>8</w:t>
      </w:r>
      <w:r w:rsidRPr="00124B71">
        <w:rPr>
          <w:rFonts w:cs="Times New Roman"/>
        </w:rPr>
        <w:t xml:space="preserve"> and those projected to occur</w:t>
      </w:r>
      <w:r w:rsidR="00603204" w:rsidRPr="00124B71">
        <w:rPr>
          <w:rFonts w:cs="Times New Roman"/>
        </w:rPr>
        <w:t xml:space="preserve"> during and </w:t>
      </w:r>
      <w:r w:rsidRPr="00124B71">
        <w:rPr>
          <w:rFonts w:cs="Times New Roman"/>
        </w:rPr>
        <w:t>after 200</w:t>
      </w:r>
      <w:r w:rsidR="009E4E1E" w:rsidRPr="00124B71">
        <w:rPr>
          <w:rFonts w:cs="Times New Roman"/>
        </w:rPr>
        <w:t>8</w:t>
      </w:r>
      <w:r w:rsidRPr="00124B71">
        <w:rPr>
          <w:rFonts w:cs="Times New Roman"/>
        </w:rPr>
        <w:t xml:space="preserve">. Someone reading this in 5 years may look back on it as history, but for those of us living it now, it is a history not yet </w:t>
      </w:r>
      <w:r w:rsidR="005F2F77" w:rsidRPr="00124B71">
        <w:rPr>
          <w:rFonts w:cs="Times New Roman"/>
        </w:rPr>
        <w:t>lived</w:t>
      </w:r>
      <w:r w:rsidRPr="00124B71">
        <w:rPr>
          <w:rFonts w:cs="Times New Roman"/>
        </w:rPr>
        <w:t xml:space="preserve">. Much of what is </w:t>
      </w:r>
      <w:r w:rsidR="005F2F77" w:rsidRPr="00124B71">
        <w:rPr>
          <w:rFonts w:cs="Times New Roman"/>
        </w:rPr>
        <w:t>presented</w:t>
      </w:r>
      <w:r w:rsidRPr="00124B71">
        <w:rPr>
          <w:rFonts w:cs="Times New Roman"/>
        </w:rPr>
        <w:t xml:space="preserve"> here may not come to pass, or it may not happen in the way </w:t>
      </w:r>
      <w:r w:rsidR="005F2F77" w:rsidRPr="00124B71">
        <w:rPr>
          <w:rFonts w:cs="Times New Roman"/>
        </w:rPr>
        <w:t>hypothesized</w:t>
      </w:r>
      <w:r w:rsidRPr="00124B71">
        <w:rPr>
          <w:rFonts w:cs="Times New Roman"/>
        </w:rPr>
        <w:t xml:space="preserve"> in this book. History will judge whether this is prescient, or if </w:t>
      </w:r>
      <w:bookmarkStart w:id="1" w:name="28"/>
      <w:r w:rsidRPr="00124B71">
        <w:rPr>
          <w:rFonts w:cs="Times New Roman"/>
        </w:rPr>
        <w:t>it is “a tale</w:t>
      </w:r>
      <w:bookmarkStart w:id="2" w:name="29"/>
      <w:bookmarkEnd w:id="1"/>
      <w:r w:rsidRPr="00124B71">
        <w:rPr>
          <w:rFonts w:cs="Times New Roman"/>
        </w:rPr>
        <w:t xml:space="preserve"> told by an idiot, full of sound and fury,</w:t>
      </w:r>
      <w:bookmarkEnd w:id="2"/>
      <w:r w:rsidRPr="00124B71">
        <w:rPr>
          <w:rFonts w:cs="Times New Roman"/>
        </w:rPr>
        <w:t xml:space="preserve"> </w:t>
      </w:r>
      <w:bookmarkStart w:id="3" w:name="30"/>
      <w:r w:rsidRPr="00124B71">
        <w:rPr>
          <w:rFonts w:cs="Times New Roman"/>
        </w:rPr>
        <w:t>signifying nothing</w:t>
      </w:r>
      <w:bookmarkEnd w:id="3"/>
      <w:r w:rsidR="008D0A0A" w:rsidRPr="00124B71">
        <w:rPr>
          <w:rFonts w:cs="Times New Roman"/>
        </w:rPr>
        <w:t>.”</w:t>
      </w:r>
      <w:r w:rsidR="00641404" w:rsidRPr="00124B71">
        <w:rPr>
          <w:rFonts w:cs="Times New Roman"/>
        </w:rPr>
        <w:t xml:space="preserve"> </w:t>
      </w:r>
      <w:r w:rsidR="00A20A01" w:rsidRPr="00124B71">
        <w:rPr>
          <w:rStyle w:val="EndnoteReference"/>
          <w:rFonts w:cs="Times New Roman"/>
        </w:rPr>
        <w:endnoteReference w:id="1"/>
      </w:r>
    </w:p>
    <w:p w14:paraId="277A1286" w14:textId="77777777" w:rsidR="001767A9" w:rsidRPr="00EF0EDA" w:rsidRDefault="001767A9" w:rsidP="00966DFE">
      <w:pPr>
        <w:pStyle w:val="Heading2"/>
        <w:rPr>
          <w:rStyle w:val="Strong"/>
          <w:b/>
          <w:bCs/>
        </w:rPr>
      </w:pPr>
      <w:bookmarkStart w:id="4" w:name="_Toc238867261"/>
      <w:r w:rsidRPr="00EF0EDA">
        <w:rPr>
          <w:rStyle w:val="Strong"/>
          <w:b/>
          <w:bCs/>
        </w:rPr>
        <w:lastRenderedPageBreak/>
        <w:t>Irvine Housing Blog</w:t>
      </w:r>
      <w:bookmarkEnd w:id="4"/>
      <w:r w:rsidR="001858B5">
        <w:rPr>
          <w:rStyle w:val="Strong"/>
          <w:b/>
          <w:bCs/>
        </w:rPr>
        <w:fldChar w:fldCharType="begin"/>
      </w:r>
      <w:r w:rsidR="00BC72CA">
        <w:instrText xml:space="preserve"> XE "</w:instrText>
      </w:r>
      <w:r w:rsidR="00BC72CA" w:rsidRPr="00DB5906">
        <w:rPr>
          <w:rFonts w:cs="Times New Roman"/>
        </w:rPr>
        <w:instrText>Irvine Housing Blog</w:instrText>
      </w:r>
      <w:r w:rsidR="00BC72CA">
        <w:instrText xml:space="preserve">" </w:instrText>
      </w:r>
      <w:r w:rsidR="001858B5">
        <w:rPr>
          <w:rStyle w:val="Strong"/>
          <w:b/>
          <w:bCs/>
        </w:rPr>
        <w:fldChar w:fldCharType="end"/>
      </w:r>
    </w:p>
    <w:p w14:paraId="11257560" w14:textId="77777777" w:rsidR="00DA4E7C" w:rsidRPr="00124B71" w:rsidRDefault="00DA4E7C" w:rsidP="00DA4E7C">
      <w:pPr>
        <w:rPr>
          <w:rFonts w:cs="Times New Roman"/>
        </w:rPr>
      </w:pPr>
      <w:r w:rsidRPr="00124B71">
        <w:rPr>
          <w:rFonts w:cs="Times New Roman"/>
        </w:rPr>
        <w:t>I discovered Real Estate Bubble Blogs</w:t>
      </w:r>
      <w:r w:rsidR="00331A22" w:rsidRPr="00124B71">
        <w:rPr>
          <w:rFonts w:cs="Times New Roman"/>
        </w:rPr>
        <w:t xml:space="preserve"> in November of 2006. </w:t>
      </w:r>
      <w:r w:rsidRPr="00124B71">
        <w:rPr>
          <w:rStyle w:val="EndnoteReference"/>
          <w:rFonts w:cs="Times New Roman"/>
        </w:rPr>
        <w:endnoteReference w:id="2"/>
      </w:r>
      <w:r w:rsidRPr="00124B71">
        <w:rPr>
          <w:rFonts w:cs="Times New Roman"/>
        </w:rPr>
        <w:t xml:space="preserve"> Many were in existence much earlier, but I was not a big reader of blogs prior to this time. I first discovered the Irvine Housing Blog</w:t>
      </w:r>
      <w:r w:rsidR="001858B5">
        <w:rPr>
          <w:rFonts w:cs="Times New Roman"/>
        </w:rPr>
        <w:fldChar w:fldCharType="begin"/>
      </w:r>
      <w:r w:rsidR="00BC72CA">
        <w:instrText xml:space="preserve"> XE "</w:instrText>
      </w:r>
      <w:r w:rsidR="00BC72CA" w:rsidRPr="00DB5906">
        <w:rPr>
          <w:rFonts w:cs="Times New Roman"/>
        </w:rPr>
        <w:instrText>Irvine Housing Blog</w:instrText>
      </w:r>
      <w:r w:rsidR="00BC72CA">
        <w:instrText xml:space="preserve">" </w:instrText>
      </w:r>
      <w:r w:rsidR="001858B5">
        <w:rPr>
          <w:rFonts w:cs="Times New Roman"/>
        </w:rPr>
        <w:fldChar w:fldCharType="end"/>
      </w:r>
      <w:r w:rsidRPr="00124B71">
        <w:rPr>
          <w:rFonts w:cs="Times New Roman"/>
        </w:rPr>
        <w:t xml:space="preserve"> when my wife found a series of interesting posts on people who were attempting to sell properties for a quick profit (flipping,) and they were getting burned. I was quickly hooked. From the bl</w:t>
      </w:r>
      <w:r w:rsidR="00D75827">
        <w:rPr>
          <w:rFonts w:cs="Times New Roman"/>
        </w:rPr>
        <w:t>o</w:t>
      </w:r>
      <w:r w:rsidRPr="00124B71">
        <w:rPr>
          <w:rFonts w:cs="Times New Roman"/>
        </w:rPr>
        <w:t xml:space="preserve">groll (links to other blogs) I was able to locate several other bubble blogs, and I quickly became a regular reader and commenter on several blogs in this community. </w:t>
      </w:r>
    </w:p>
    <w:p w14:paraId="65149D6B" w14:textId="51E91FAA" w:rsidR="001767A9" w:rsidRPr="00124B71" w:rsidRDefault="001767A9" w:rsidP="008560E2">
      <w:pPr>
        <w:rPr>
          <w:rFonts w:cs="Times New Roman"/>
        </w:rPr>
      </w:pPr>
      <w:r w:rsidRPr="00124B71">
        <w:rPr>
          <w:rFonts w:cs="Times New Roman"/>
        </w:rPr>
        <w:t>In February of 2007, I was asked to write for the Irvine Housing Blog</w:t>
      </w:r>
      <w:r w:rsidR="001858B5">
        <w:rPr>
          <w:rFonts w:cs="Times New Roman"/>
        </w:rPr>
        <w:fldChar w:fldCharType="begin"/>
      </w:r>
      <w:r w:rsidR="00BC72CA">
        <w:instrText xml:space="preserve"> XE "</w:instrText>
      </w:r>
      <w:r w:rsidR="00BC72CA" w:rsidRPr="00DB5906">
        <w:rPr>
          <w:rFonts w:cs="Times New Roman"/>
        </w:rPr>
        <w:instrText>Irvine Housing Blog</w:instrText>
      </w:r>
      <w:r w:rsidR="00BC72CA">
        <w:instrText xml:space="preserve">" </w:instrText>
      </w:r>
      <w:r w:rsidR="001858B5">
        <w:rPr>
          <w:rFonts w:cs="Times New Roman"/>
        </w:rPr>
        <w:fldChar w:fldCharType="end"/>
      </w:r>
      <w:r w:rsidRPr="00124B71">
        <w:rPr>
          <w:rFonts w:cs="Times New Roman"/>
        </w:rPr>
        <w:t>. I had a great deal of pent-up energy for writing about the housing bubble. Over the months that followed I wrote a series of analysis posts which became the structure of this book.</w:t>
      </w:r>
      <w:r w:rsidR="009E4E1E" w:rsidRPr="00124B71">
        <w:rPr>
          <w:rFonts w:cs="Times New Roman"/>
        </w:rPr>
        <w:t xml:space="preserve"> </w:t>
      </w:r>
      <w:r w:rsidRPr="00124B71">
        <w:rPr>
          <w:rFonts w:cs="Times New Roman"/>
        </w:rPr>
        <w:t>Daniel Gross, a freelance writer published in Slate Magazine, the Washington Post and Newsweek, characterized the writing as follows</w:t>
      </w:r>
      <w:r w:rsidR="00C12738" w:rsidRPr="00124B71">
        <w:rPr>
          <w:rFonts w:cs="Times New Roman"/>
        </w:rPr>
        <w:t xml:space="preserve"> </w:t>
      </w:r>
      <w:sdt>
        <w:sdtPr>
          <w:rPr>
            <w:rFonts w:cs="Times New Roman"/>
          </w:rPr>
          <w:id w:val="74905016"/>
          <w:citation/>
        </w:sdtPr>
        <w:sdtContent>
          <w:r w:rsidR="001858B5" w:rsidRPr="00124B71">
            <w:rPr>
              <w:rFonts w:cs="Times New Roman"/>
            </w:rPr>
            <w:fldChar w:fldCharType="begin"/>
          </w:r>
          <w:r w:rsidR="00F43CEA" w:rsidRPr="00124B71">
            <w:rPr>
              <w:rFonts w:cs="Times New Roman"/>
            </w:rPr>
            <w:instrText xml:space="preserve"> CITATION Dan071 \l 1033 </w:instrText>
          </w:r>
          <w:r w:rsidR="001858B5" w:rsidRPr="00124B71">
            <w:rPr>
              <w:rFonts w:cs="Times New Roman"/>
            </w:rPr>
            <w:fldChar w:fldCharType="separate"/>
          </w:r>
          <w:r w:rsidR="007E3004" w:rsidRPr="007E3004">
            <w:rPr>
              <w:rFonts w:cs="Times New Roman"/>
              <w:noProof/>
            </w:rPr>
            <w:t>(Gross, The Real Morons of Orange County, 2007)</w:t>
          </w:r>
          <w:r w:rsidR="001858B5" w:rsidRPr="00124B71">
            <w:rPr>
              <w:rFonts w:cs="Times New Roman"/>
            </w:rPr>
            <w:fldChar w:fldCharType="end"/>
          </w:r>
        </w:sdtContent>
      </w:sdt>
      <w:r w:rsidRPr="00124B71">
        <w:rPr>
          <w:rFonts w:cs="Times New Roman"/>
        </w:rPr>
        <w:t>: "IrvineHousingblog, brilliantly drives home the same point with daily dispatches. The blog is a guide to the seventh circle of real estate hell</w:t>
      </w:r>
      <w:r w:rsidR="007C469A">
        <w:rPr>
          <w:rFonts w:cs="Times New Roman"/>
        </w:rPr>
        <w:t>–</w:t>
      </w:r>
      <w:r w:rsidRPr="00124B71">
        <w:rPr>
          <w:rFonts w:cs="Times New Roman"/>
        </w:rPr>
        <w:t>people who buy houses on spec with no money down. A typical entry chronicles the purchase price, tracks down the amount of debt on the property, and then calculates how much each party</w:t>
      </w:r>
      <w:r w:rsidR="007C469A">
        <w:rPr>
          <w:rFonts w:cs="Times New Roman"/>
        </w:rPr>
        <w:t>–</w:t>
      </w:r>
      <w:r w:rsidRPr="00124B71">
        <w:rPr>
          <w:rFonts w:cs="Times New Roman"/>
        </w:rPr>
        <w:t>the buyer, the first mortgage holder, the second mortgage holder</w:t>
      </w:r>
      <w:r w:rsidR="007C469A">
        <w:rPr>
          <w:rFonts w:cs="Times New Roman"/>
        </w:rPr>
        <w:t>–</w:t>
      </w:r>
      <w:r w:rsidRPr="00124B71">
        <w:rPr>
          <w:rFonts w:cs="Times New Roman"/>
        </w:rPr>
        <w:t>stands to lose assuming the seller receives the asking price."</w:t>
      </w:r>
    </w:p>
    <w:p w14:paraId="62E7FEE4" w14:textId="77777777" w:rsidR="001767A9" w:rsidRPr="00EF0EDA" w:rsidRDefault="001767A9" w:rsidP="00966DFE">
      <w:pPr>
        <w:pStyle w:val="Heading2"/>
        <w:rPr>
          <w:rStyle w:val="Strong"/>
          <w:b/>
          <w:bCs/>
        </w:rPr>
      </w:pPr>
      <w:bookmarkStart w:id="5" w:name="_Toc238867262"/>
      <w:r w:rsidRPr="00EF0EDA">
        <w:rPr>
          <w:rStyle w:val="Strong"/>
          <w:b/>
          <w:bCs/>
        </w:rPr>
        <w:t>The Reservoir of Schadenfreude</w:t>
      </w:r>
      <w:bookmarkEnd w:id="5"/>
      <w:r w:rsidR="001858B5">
        <w:rPr>
          <w:rStyle w:val="Strong"/>
          <w:b/>
          <w:bCs/>
        </w:rPr>
        <w:fldChar w:fldCharType="begin"/>
      </w:r>
      <w:r w:rsidR="00BC72CA">
        <w:instrText xml:space="preserve"> XE "</w:instrText>
      </w:r>
      <w:r w:rsidR="00BC72CA" w:rsidRPr="00472FB3">
        <w:rPr>
          <w:rFonts w:cs="Times New Roman"/>
        </w:rPr>
        <w:instrText>Schadenfreude</w:instrText>
      </w:r>
      <w:r w:rsidR="00BC72CA">
        <w:instrText xml:space="preserve">" </w:instrText>
      </w:r>
      <w:r w:rsidR="001858B5">
        <w:rPr>
          <w:rStyle w:val="Strong"/>
          <w:b/>
          <w:bCs/>
        </w:rPr>
        <w:fldChar w:fldCharType="end"/>
      </w:r>
    </w:p>
    <w:p w14:paraId="792A55AE" w14:textId="77777777" w:rsidR="001767A9" w:rsidRPr="00124B71" w:rsidRDefault="001767A9" w:rsidP="008560E2">
      <w:pPr>
        <w:rPr>
          <w:rFonts w:cs="Times New Roman"/>
        </w:rPr>
      </w:pPr>
      <w:r w:rsidRPr="00124B71">
        <w:rPr>
          <w:rFonts w:cs="Times New Roman"/>
        </w:rPr>
        <w:t>The readers of the Irvine Housing Blog</w:t>
      </w:r>
      <w:r w:rsidR="001858B5">
        <w:rPr>
          <w:rFonts w:cs="Times New Roman"/>
        </w:rPr>
        <w:fldChar w:fldCharType="begin"/>
      </w:r>
      <w:r w:rsidR="00BC72CA">
        <w:instrText xml:space="preserve"> XE "</w:instrText>
      </w:r>
      <w:r w:rsidR="00BC72CA" w:rsidRPr="00DB5906">
        <w:rPr>
          <w:rFonts w:cs="Times New Roman"/>
        </w:rPr>
        <w:instrText>Irvine Housing Blog</w:instrText>
      </w:r>
      <w:r w:rsidR="00BC72CA">
        <w:instrText xml:space="preserve">" </w:instrText>
      </w:r>
      <w:r w:rsidR="001858B5">
        <w:rPr>
          <w:rFonts w:cs="Times New Roman"/>
        </w:rPr>
        <w:fldChar w:fldCharType="end"/>
      </w:r>
      <w:r w:rsidRPr="00124B71">
        <w:rPr>
          <w:rFonts w:cs="Times New Roman"/>
        </w:rPr>
        <w:t xml:space="preserve"> have a voracious appetite for profiles of losing properties. They are not alone. Why do people get so much pleasure from </w:t>
      </w:r>
      <w:r w:rsidR="00A02F7A" w:rsidRPr="00124B71">
        <w:rPr>
          <w:rFonts w:cs="Times New Roman"/>
        </w:rPr>
        <w:t>seeing would-be real estate moguls lose a great deal of money</w:t>
      </w:r>
      <w:r w:rsidRPr="00124B71">
        <w:rPr>
          <w:rFonts w:cs="Times New Roman"/>
        </w:rPr>
        <w:t xml:space="preserve">? I can think of no other human endeavor </w:t>
      </w:r>
      <w:r w:rsidR="00367D44" w:rsidRPr="00124B71">
        <w:rPr>
          <w:rFonts w:cs="Times New Roman"/>
        </w:rPr>
        <w:t>that</w:t>
      </w:r>
      <w:r w:rsidRPr="00124B71">
        <w:rPr>
          <w:rFonts w:cs="Times New Roman"/>
        </w:rPr>
        <w:t xml:space="preserve"> has engendered so much pleasure in the misfortune of others</w:t>
      </w:r>
      <w:r w:rsidR="005F2F77" w:rsidRPr="00124B71">
        <w:rPr>
          <w:rFonts w:cs="Times New Roman"/>
        </w:rPr>
        <w:t xml:space="preserve"> by otherwise caring, compassionate people</w:t>
      </w:r>
      <w:r w:rsidRPr="00124B71">
        <w:rPr>
          <w:rFonts w:cs="Times New Roman"/>
        </w:rPr>
        <w:t>. In my opinion, the outpouring of schadenfreude we are seeing as the housing bubble deflates is a mixture of Greek tragedy and bad karma. In short, bubble participants should have seen it coming, and they are getting what they deserve.</w:t>
      </w:r>
    </w:p>
    <w:p w14:paraId="6825E0C8" w14:textId="77777777" w:rsidR="001767A9" w:rsidRPr="00124B71" w:rsidRDefault="001767A9" w:rsidP="00BE0098">
      <w:pPr>
        <w:rPr>
          <w:rFonts w:cs="Times New Roman"/>
        </w:rPr>
      </w:pPr>
      <w:r w:rsidRPr="00124B71">
        <w:rPr>
          <w:rFonts w:cs="Times New Roman"/>
        </w:rPr>
        <w:t>Schadenfreude</w:t>
      </w:r>
      <w:r w:rsidR="001858B5">
        <w:rPr>
          <w:rFonts w:cs="Times New Roman"/>
        </w:rPr>
        <w:fldChar w:fldCharType="begin"/>
      </w:r>
      <w:r w:rsidR="00BC72CA">
        <w:instrText xml:space="preserve"> XE "</w:instrText>
      </w:r>
      <w:r w:rsidR="00BC72CA" w:rsidRPr="00472FB3">
        <w:rPr>
          <w:rFonts w:cs="Times New Roman"/>
        </w:rPr>
        <w:instrText>Schadenfreude</w:instrText>
      </w:r>
      <w:r w:rsidR="00BC72CA">
        <w:instrText xml:space="preserve">" </w:instrText>
      </w:r>
      <w:r w:rsidR="001858B5">
        <w:rPr>
          <w:rFonts w:cs="Times New Roman"/>
        </w:rPr>
        <w:fldChar w:fldCharType="end"/>
      </w:r>
      <w:r w:rsidRPr="00124B71">
        <w:rPr>
          <w:rFonts w:cs="Times New Roman"/>
        </w:rPr>
        <w:t xml:space="preserve"> is not a spiritually uplifting</w:t>
      </w:r>
      <w:r w:rsidR="005F2F77" w:rsidRPr="00124B71">
        <w:rPr>
          <w:rFonts w:cs="Times New Roman"/>
        </w:rPr>
        <w:t xml:space="preserve"> emotional</w:t>
      </w:r>
      <w:r w:rsidRPr="00124B71">
        <w:rPr>
          <w:rFonts w:cs="Times New Roman"/>
        </w:rPr>
        <w:t xml:space="preserve"> response. Most religious traditions would counsel us against it. In Buddhist teaching, people are taught to cultivate feelings of compassion for the misfortune of others</w:t>
      </w:r>
      <w:r w:rsidR="007C469A">
        <w:rPr>
          <w:rFonts w:cs="Times New Roman"/>
        </w:rPr>
        <w:t>–</w:t>
      </w:r>
      <w:r w:rsidRPr="00124B71">
        <w:rPr>
          <w:rFonts w:cs="Times New Roman"/>
        </w:rPr>
        <w:t>feeling empathy and sadness for the slings and arrows of outrageous fortune when they impact another.</w:t>
      </w:r>
      <w:r w:rsidR="00331A22" w:rsidRPr="00124B71">
        <w:rPr>
          <w:rStyle w:val="EndnoteReference"/>
          <w:rFonts w:cs="Times New Roman"/>
        </w:rPr>
        <w:t xml:space="preserve"> </w:t>
      </w:r>
      <w:r w:rsidR="00331A22" w:rsidRPr="00124B71">
        <w:rPr>
          <w:rStyle w:val="EndnoteReference"/>
          <w:rFonts w:cs="Times New Roman"/>
        </w:rPr>
        <w:endnoteReference w:id="3"/>
      </w:r>
      <w:r w:rsidRPr="00124B71">
        <w:rPr>
          <w:rFonts w:cs="Times New Roman"/>
        </w:rPr>
        <w:t xml:space="preserve"> The near enemy of compassion is pity: it masquerades as compassion, but it has an element of separateness which detracts from the sense of Oneness with all things. Joy is good: Sympathetic joy, the joy in the happiness of another, is another pillar of a spiritual existence</w:t>
      </w:r>
      <w:r w:rsidR="00AD1B3C" w:rsidRPr="00124B71">
        <w:rPr>
          <w:rFonts w:cs="Times New Roman"/>
        </w:rPr>
        <w:t>;</w:t>
      </w:r>
      <w:r w:rsidRPr="00124B71">
        <w:rPr>
          <w:rFonts w:cs="Times New Roman"/>
        </w:rPr>
        <w:t xml:space="preserve"> </w:t>
      </w:r>
      <w:r w:rsidR="00AD1B3C" w:rsidRPr="00124B71">
        <w:rPr>
          <w:rFonts w:cs="Times New Roman"/>
        </w:rPr>
        <w:t>h</w:t>
      </w:r>
      <w:r w:rsidRPr="00124B71">
        <w:rPr>
          <w:rFonts w:cs="Times New Roman"/>
        </w:rPr>
        <w:t>owever, joy in the misfortune of another</w:t>
      </w:r>
      <w:r w:rsidR="007C469A">
        <w:rPr>
          <w:rFonts w:cs="Times New Roman"/>
        </w:rPr>
        <w:t>–</w:t>
      </w:r>
      <w:r w:rsidRPr="00124B71">
        <w:rPr>
          <w:rFonts w:cs="Times New Roman"/>
        </w:rPr>
        <w:t>schadenfreude</w:t>
      </w:r>
      <w:r w:rsidR="007C469A">
        <w:rPr>
          <w:rFonts w:cs="Times New Roman"/>
        </w:rPr>
        <w:t>–</w:t>
      </w:r>
      <w:r w:rsidRPr="00124B71">
        <w:rPr>
          <w:rFonts w:cs="Times New Roman"/>
        </w:rPr>
        <w:t>is not a skillful behavior leading to happiness. Even knowing that, many of us feel this joy anyway. Why is that?</w:t>
      </w:r>
    </w:p>
    <w:p w14:paraId="102D3A24" w14:textId="77777777" w:rsidR="001767A9" w:rsidRPr="00124B71" w:rsidRDefault="001767A9" w:rsidP="006301E2">
      <w:pPr>
        <w:rPr>
          <w:rFonts w:cs="Times New Roman"/>
        </w:rPr>
      </w:pPr>
      <w:r w:rsidRPr="00124B71">
        <w:rPr>
          <w:rFonts w:cs="Times New Roman"/>
        </w:rPr>
        <w:t>I recognized financing terms were creating artificially high prices early on. By 2004, I was telling people I knew</w:t>
      </w:r>
      <w:r w:rsidR="00367D44" w:rsidRPr="00124B71">
        <w:rPr>
          <w:rFonts w:cs="Times New Roman"/>
        </w:rPr>
        <w:t xml:space="preserve"> that</w:t>
      </w:r>
      <w:r w:rsidRPr="00124B71">
        <w:rPr>
          <w:rFonts w:cs="Times New Roman"/>
        </w:rPr>
        <w:t xml:space="preserve"> this was a problem which would cause a market crash. </w:t>
      </w:r>
      <w:r w:rsidR="00D55103" w:rsidRPr="00124B71">
        <w:rPr>
          <w:rFonts w:cs="Times New Roman"/>
        </w:rPr>
        <w:t>Most</w:t>
      </w:r>
      <w:r w:rsidRPr="00124B71">
        <w:rPr>
          <w:rFonts w:cs="Times New Roman"/>
        </w:rPr>
        <w:t xml:space="preserve"> people looked at me like I was crazy. “Real estate always </w:t>
      </w:r>
      <w:r w:rsidRPr="00124B71">
        <w:rPr>
          <w:rFonts w:cs="Times New Roman"/>
        </w:rPr>
        <w:lastRenderedPageBreak/>
        <w:t xml:space="preserve">goes up,” I was told. “The government would never allow prices to crash,” I was told. “If you </w:t>
      </w:r>
      <w:r w:rsidR="002F1ED3" w:rsidRPr="00124B71">
        <w:rPr>
          <w:rFonts w:cs="Times New Roman"/>
        </w:rPr>
        <w:t>do not</w:t>
      </w:r>
      <w:r w:rsidRPr="00124B71">
        <w:rPr>
          <w:rFonts w:cs="Times New Roman"/>
        </w:rPr>
        <w:t xml:space="preserve"> buy now you will be priced out forever,” I was told. </w:t>
      </w:r>
      <w:r w:rsidR="00367D44" w:rsidRPr="00124B71">
        <w:rPr>
          <w:rFonts w:cs="Times New Roman"/>
        </w:rPr>
        <w:t>This is</w:t>
      </w:r>
      <w:r w:rsidRPr="00124B71">
        <w:rPr>
          <w:rFonts w:cs="Times New Roman"/>
        </w:rPr>
        <w:t xml:space="preserve"> the intoxicated language of </w:t>
      </w:r>
      <w:r w:rsidR="00367D44" w:rsidRPr="00124B71">
        <w:rPr>
          <w:rFonts w:cs="Times New Roman"/>
        </w:rPr>
        <w:t>real estate junkies</w:t>
      </w:r>
      <w:r w:rsidRPr="00124B71">
        <w:rPr>
          <w:rFonts w:cs="Times New Roman"/>
        </w:rPr>
        <w:t xml:space="preserve"> who</w:t>
      </w:r>
      <w:r w:rsidR="00DA4E7C" w:rsidRPr="00124B71">
        <w:rPr>
          <w:rFonts w:cs="Times New Roman"/>
        </w:rPr>
        <w:t xml:space="preserve"> have</w:t>
      </w:r>
      <w:r w:rsidRPr="00124B71">
        <w:rPr>
          <w:rFonts w:cs="Times New Roman"/>
        </w:rPr>
        <w:t xml:space="preserve"> </w:t>
      </w:r>
      <w:r w:rsidR="00367D44" w:rsidRPr="00124B71">
        <w:rPr>
          <w:rFonts w:cs="Times New Roman"/>
        </w:rPr>
        <w:t>overdosed on</w:t>
      </w:r>
      <w:r w:rsidR="00DA4E7C" w:rsidRPr="00124B71">
        <w:rPr>
          <w:rFonts w:cs="Times New Roman"/>
        </w:rPr>
        <w:t xml:space="preserve"> </w:t>
      </w:r>
      <w:r w:rsidR="00D55103" w:rsidRPr="00124B71">
        <w:rPr>
          <w:rFonts w:cs="Times New Roman"/>
        </w:rPr>
        <w:t xml:space="preserve">the </w:t>
      </w:r>
      <w:r w:rsidR="00DA4E7C" w:rsidRPr="00124B71">
        <w:rPr>
          <w:rFonts w:cs="Times New Roman"/>
        </w:rPr>
        <w:t>real</w:t>
      </w:r>
      <w:r w:rsidR="00D55103" w:rsidRPr="00124B71">
        <w:rPr>
          <w:rFonts w:cs="Times New Roman"/>
        </w:rPr>
        <w:t>-</w:t>
      </w:r>
      <w:r w:rsidR="00DA4E7C" w:rsidRPr="00124B71">
        <w:rPr>
          <w:rFonts w:cs="Times New Roman"/>
        </w:rPr>
        <w:t>estate</w:t>
      </w:r>
      <w:r w:rsidR="00D55103" w:rsidRPr="00124B71">
        <w:rPr>
          <w:rFonts w:cs="Times New Roman"/>
        </w:rPr>
        <w:t>-</w:t>
      </w:r>
      <w:r w:rsidR="00DA4E7C" w:rsidRPr="00124B71">
        <w:rPr>
          <w:rFonts w:cs="Times New Roman"/>
        </w:rPr>
        <w:t>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kool aid</w:t>
      </w:r>
      <w:r w:rsidR="001858B5">
        <w:rPr>
          <w:rFonts w:cs="Times New Roman"/>
        </w:rPr>
        <w:fldChar w:fldCharType="begin"/>
      </w:r>
      <w:r w:rsidR="00BC72CA">
        <w:instrText xml:space="preserve"> XE "</w:instrText>
      </w:r>
      <w:r w:rsidR="00BC72CA" w:rsidRPr="008D3D51">
        <w:rPr>
          <w:rFonts w:cs="Times New Roman"/>
        </w:rPr>
        <w:instrText>kool aid</w:instrText>
      </w:r>
      <w:r w:rsidR="00BC72CA">
        <w:instrText xml:space="preserve">" </w:instrText>
      </w:r>
      <w:r w:rsidR="001858B5">
        <w:rPr>
          <w:rFonts w:cs="Times New Roman"/>
        </w:rPr>
        <w:fldChar w:fldCharType="end"/>
      </w:r>
      <w:r w:rsidRPr="00124B71">
        <w:rPr>
          <w:rFonts w:cs="Times New Roman"/>
        </w:rPr>
        <w:t>. If these statements had been offered in a defensive manner of someone who is being made to realize they made a serious mistake, I could have felt sympathy for them</w:t>
      </w:r>
      <w:r w:rsidR="00294B18" w:rsidRPr="00124B71">
        <w:rPr>
          <w:rFonts w:cs="Times New Roman"/>
        </w:rPr>
        <w:t>;</w:t>
      </w:r>
      <w:r w:rsidRPr="00124B71">
        <w:rPr>
          <w:rFonts w:cs="Times New Roman"/>
        </w:rPr>
        <w:t xml:space="preserve"> I would have been able to disarm their defensiveness and helped them see the light. However, what I generally got was a smug assuredness of someone who truly believed </w:t>
      </w:r>
      <w:r w:rsidR="005F2F77" w:rsidRPr="00124B71">
        <w:rPr>
          <w:rFonts w:cs="Times New Roman"/>
        </w:rPr>
        <w:t>he was</w:t>
      </w:r>
      <w:r w:rsidRPr="00124B71">
        <w:rPr>
          <w:rFonts w:cs="Times New Roman"/>
        </w:rPr>
        <w:t xml:space="preserve"> right and I was wrong; not just </w:t>
      </w:r>
      <w:r w:rsidR="00EF6494" w:rsidRPr="00124B71">
        <w:rPr>
          <w:rFonts w:cs="Times New Roman"/>
        </w:rPr>
        <w:t xml:space="preserve">that I </w:t>
      </w:r>
      <w:r w:rsidRPr="00124B71">
        <w:rPr>
          <w:rFonts w:cs="Times New Roman"/>
        </w:rPr>
        <w:t xml:space="preserve">was </w:t>
      </w:r>
      <w:r w:rsidR="00DA4E7C" w:rsidRPr="00124B71">
        <w:rPr>
          <w:rFonts w:cs="Times New Roman"/>
        </w:rPr>
        <w:t>wrong;</w:t>
      </w:r>
      <w:r w:rsidRPr="00124B71">
        <w:rPr>
          <w:rFonts w:cs="Times New Roman"/>
        </w:rPr>
        <w:t xml:space="preserve"> I was a stupid, cowardly fool who did not have the brains or the </w:t>
      </w:r>
      <w:r w:rsidR="00D55103" w:rsidRPr="00124B71">
        <w:rPr>
          <w:rFonts w:cs="Times New Roman"/>
        </w:rPr>
        <w:t>bravery</w:t>
      </w:r>
      <w:r w:rsidRPr="00124B71">
        <w:rPr>
          <w:rFonts w:cs="Times New Roman"/>
        </w:rPr>
        <w:t xml:space="preserve"> to take the free money being given out.</w:t>
      </w:r>
      <w:r w:rsidR="00CE1B0A" w:rsidRPr="00124B71">
        <w:rPr>
          <w:rFonts w:cs="Times New Roman"/>
        </w:rPr>
        <w:t xml:space="preserve"> This was particularly surprising given my line of work. It was as if a patient after getting a diagnosis of cancer told the doctor that the physician did not understand the tissue growth was a natural, healthy process. The buyers caught up in </w:t>
      </w:r>
      <w:r w:rsidR="001A34D5">
        <w:rPr>
          <w:rFonts w:cs="Times New Roman"/>
        </w:rPr>
        <w:t>the Great Housing Bubble</w:t>
      </w:r>
      <w:r w:rsidR="00CE1B0A" w:rsidRPr="00124B71">
        <w:rPr>
          <w:rFonts w:cs="Times New Roman"/>
        </w:rPr>
        <w:t xml:space="preserve"> did not recognize the financial cancer even when an expert in the field told them how dangerous it was.</w:t>
      </w:r>
    </w:p>
    <w:p w14:paraId="321C369E" w14:textId="77777777" w:rsidR="001767A9" w:rsidRPr="00124B71" w:rsidRDefault="001767A9" w:rsidP="008560E2">
      <w:pPr>
        <w:rPr>
          <w:rFonts w:cs="Times New Roman"/>
        </w:rPr>
      </w:pPr>
      <w:r w:rsidRPr="00124B71">
        <w:rPr>
          <w:rFonts w:cs="Times New Roman"/>
        </w:rPr>
        <w:t xml:space="preserve">During the bubble rally, those of us who chose not to participate were labeled as “bitter renters.” </w:t>
      </w:r>
      <w:r w:rsidR="005F2F77" w:rsidRPr="00124B71">
        <w:rPr>
          <w:rFonts w:cs="Times New Roman"/>
        </w:rPr>
        <w:t>It was suggested we were</w:t>
      </w:r>
      <w:r w:rsidRPr="00124B71">
        <w:rPr>
          <w:rFonts w:cs="Times New Roman"/>
        </w:rPr>
        <w:t xml:space="preserve"> envious of the good fortune of homeowners as their property values rose, as they took on insane amounts of debt, and as they </w:t>
      </w:r>
      <w:r w:rsidR="005F2F77" w:rsidRPr="00124B71">
        <w:rPr>
          <w:rFonts w:cs="Times New Roman"/>
        </w:rPr>
        <w:t>blithely</w:t>
      </w:r>
      <w:r w:rsidRPr="00124B71">
        <w:rPr>
          <w:rFonts w:cs="Times New Roman"/>
        </w:rPr>
        <w:t xml:space="preserve"> finance</w:t>
      </w:r>
      <w:r w:rsidR="005F2F77" w:rsidRPr="00124B71">
        <w:rPr>
          <w:rFonts w:cs="Times New Roman"/>
        </w:rPr>
        <w:t>d</w:t>
      </w:r>
      <w:r w:rsidRPr="00124B71">
        <w:rPr>
          <w:rFonts w:cs="Times New Roman"/>
        </w:rPr>
        <w:t xml:space="preserve"> a lifestyle well beyond their means. This was undoubtedly true for some, but in my opinion, this is not the primary reason so many derive so much pleasure from the misfortune of those now suffering from declining property values.</w:t>
      </w:r>
      <w:r w:rsidR="008E7652" w:rsidRPr="00124B71">
        <w:rPr>
          <w:rFonts w:cs="Times New Roman"/>
        </w:rPr>
        <w:t xml:space="preserve"> </w:t>
      </w:r>
      <w:r w:rsidRPr="00124B71">
        <w:rPr>
          <w:rFonts w:cs="Times New Roman"/>
        </w:rPr>
        <w:t>These same people who chided us for being envious actually wanted us to be envious: they wanted us to know they were the winners in our competitive society; they wanted us to view them as superior. This act of putting themselves above us create</w:t>
      </w:r>
      <w:r w:rsidR="008E7652" w:rsidRPr="00124B71">
        <w:rPr>
          <w:rFonts w:cs="Times New Roman"/>
        </w:rPr>
        <w:t>d</w:t>
      </w:r>
      <w:r w:rsidRPr="00124B71">
        <w:rPr>
          <w:rFonts w:cs="Times New Roman"/>
        </w:rPr>
        <w:t xml:space="preserve"> a separation which prevent</w:t>
      </w:r>
      <w:r w:rsidR="008E7652" w:rsidRPr="00124B71">
        <w:rPr>
          <w:rFonts w:cs="Times New Roman"/>
        </w:rPr>
        <w:t>ed</w:t>
      </w:r>
      <w:r w:rsidRPr="00124B71">
        <w:rPr>
          <w:rFonts w:cs="Times New Roman"/>
        </w:rPr>
        <w:t xml:space="preserve"> us from feeling sympathetic joy for their good fortune, and it prevent</w:t>
      </w:r>
      <w:r w:rsidR="008E7652" w:rsidRPr="00124B71">
        <w:rPr>
          <w:rFonts w:cs="Times New Roman"/>
        </w:rPr>
        <w:t>ed</w:t>
      </w:r>
      <w:r w:rsidRPr="00124B71">
        <w:rPr>
          <w:rFonts w:cs="Times New Roman"/>
        </w:rPr>
        <w:t xml:space="preserve"> us from feeling compassion for them when they f</w:t>
      </w:r>
      <w:r w:rsidR="008E7652" w:rsidRPr="00124B71">
        <w:rPr>
          <w:rFonts w:cs="Times New Roman"/>
        </w:rPr>
        <w:t>e</w:t>
      </w:r>
      <w:r w:rsidRPr="00124B71">
        <w:rPr>
          <w:rFonts w:cs="Times New Roman"/>
        </w:rPr>
        <w:t>ll.</w:t>
      </w:r>
    </w:p>
    <w:p w14:paraId="7F68266F" w14:textId="77777777" w:rsidR="001767A9" w:rsidRPr="00124B71" w:rsidRDefault="001767A9" w:rsidP="008560E2">
      <w:pPr>
        <w:rPr>
          <w:rFonts w:cs="Times New Roman"/>
        </w:rPr>
      </w:pPr>
      <w:r w:rsidRPr="00124B71">
        <w:rPr>
          <w:rFonts w:cs="Times New Roman"/>
        </w:rPr>
        <w:t xml:space="preserve">In our collective unconscious which manifests in our dreams and our mythology, water is often symbolic of our emotions or our emotional state. Have you noticed people are often categorized as deep or shallow? If you are in </w:t>
      </w:r>
      <w:r w:rsidR="00EF6494" w:rsidRPr="00124B71">
        <w:rPr>
          <w:rFonts w:cs="Times New Roman"/>
        </w:rPr>
        <w:t>debt you often feel “underwater.</w:t>
      </w:r>
      <w:r w:rsidRPr="00124B71">
        <w:rPr>
          <w:rFonts w:cs="Times New Roman"/>
        </w:rPr>
        <w:t>”</w:t>
      </w:r>
      <w:r w:rsidR="00D14FA4" w:rsidRPr="00124B71">
        <w:rPr>
          <w:rFonts w:cs="Times New Roman"/>
        </w:rPr>
        <w:t xml:space="preserve"> </w:t>
      </w:r>
      <w:r w:rsidRPr="00124B71">
        <w:rPr>
          <w:rFonts w:cs="Times New Roman"/>
        </w:rPr>
        <w:t xml:space="preserve">Anger is much like water: if not given an outlet, it will fill a reservoir until it reaches a breaking point and is expressed in a flood of emotional rage. </w:t>
      </w:r>
      <w:r w:rsidRPr="00124B71">
        <w:rPr>
          <w:rStyle w:val="Strong"/>
          <w:rFonts w:cs="Times New Roman"/>
          <w:b w:val="0"/>
        </w:rPr>
        <w:t xml:space="preserve">Each encounter with a pathologic, kool-aid-drinking housing bull </w:t>
      </w:r>
      <w:r w:rsidR="00557BD7" w:rsidRPr="00124B71">
        <w:rPr>
          <w:rStyle w:val="Strong"/>
          <w:rFonts w:cs="Times New Roman"/>
          <w:b w:val="0"/>
        </w:rPr>
        <w:t>during the bubble rally</w:t>
      </w:r>
      <w:r w:rsidRPr="00124B71">
        <w:rPr>
          <w:rStyle w:val="Strong"/>
          <w:rFonts w:cs="Times New Roman"/>
          <w:b w:val="0"/>
        </w:rPr>
        <w:t xml:space="preserve"> has added to this reservoir, and reveling in failed flips is an outlet for this pool of toxic emotional waste.</w:t>
      </w:r>
    </w:p>
    <w:p w14:paraId="599764C3" w14:textId="77777777" w:rsidR="001767A9" w:rsidRPr="00124B71" w:rsidRDefault="001767A9" w:rsidP="008560E2">
      <w:pPr>
        <w:rPr>
          <w:rFonts w:cs="Times New Roman"/>
        </w:rPr>
      </w:pPr>
      <w:r w:rsidRPr="00124B71">
        <w:rPr>
          <w:rFonts w:cs="Times New Roman"/>
        </w:rPr>
        <w:t>There is an element of tragedy in every disaster, but financial bubbles are some of the most interesting because they are completely man made. They are created by the</w:t>
      </w:r>
      <w:r w:rsidR="005F2F77" w:rsidRPr="00124B71">
        <w:rPr>
          <w:rFonts w:cs="Times New Roman"/>
        </w:rPr>
        <w:t xml:space="preserve"> accumulation of</w:t>
      </w:r>
      <w:r w:rsidRPr="00124B71">
        <w:rPr>
          <w:rFonts w:cs="Times New Roman"/>
        </w:rPr>
        <w:t xml:space="preserve"> individual decisions of buyers who are motivated by greed, foolish pride, and a false sense of security. Each of these people should have known better. Many of them were warned of their impending doom</w:t>
      </w:r>
      <w:r w:rsidR="00EF6494" w:rsidRPr="00124B71">
        <w:rPr>
          <w:rFonts w:cs="Times New Roman"/>
        </w:rPr>
        <w:t xml:space="preserve"> by those who saw trouble brewing,</w:t>
      </w:r>
      <w:r w:rsidRPr="00124B71">
        <w:rPr>
          <w:rFonts w:cs="Times New Roman"/>
        </w:rPr>
        <w:t xml:space="preserve"> and</w:t>
      </w:r>
      <w:r w:rsidR="00EF6494" w:rsidRPr="00124B71">
        <w:rPr>
          <w:rFonts w:cs="Times New Roman"/>
        </w:rPr>
        <w:t xml:space="preserve"> yet, many</w:t>
      </w:r>
      <w:r w:rsidRPr="00124B71">
        <w:rPr>
          <w:rFonts w:cs="Times New Roman"/>
        </w:rPr>
        <w:t xml:space="preserve"> chose to go down the path to the Dark Side</w:t>
      </w:r>
      <w:r w:rsidR="00EF6494" w:rsidRPr="00124B71">
        <w:rPr>
          <w:rFonts w:cs="Times New Roman"/>
        </w:rPr>
        <w:t>.</w:t>
      </w:r>
      <w:r w:rsidR="008E7652" w:rsidRPr="00124B71">
        <w:rPr>
          <w:rFonts w:cs="Times New Roman"/>
        </w:rPr>
        <w:t xml:space="preserve"> </w:t>
      </w:r>
      <w:r w:rsidRPr="00124B71">
        <w:rPr>
          <w:rFonts w:cs="Times New Roman"/>
        </w:rPr>
        <w:t xml:space="preserve">Newton’s Third Law states, “For every action, there is an equal and opposite reaction.” The Law of Karma states, “For every event that occurs, there will follow another event whose existence was caused by the first, and this second event will be pleasant or unpleasant according as its cause was skillful or unskillful.” </w:t>
      </w:r>
      <w:r w:rsidR="009E4E1E" w:rsidRPr="00124B71">
        <w:rPr>
          <w:rFonts w:cs="Times New Roman"/>
        </w:rPr>
        <w:t xml:space="preserve">It became obvious as the crash </w:t>
      </w:r>
      <w:r w:rsidR="008C3BD0" w:rsidRPr="00124B71">
        <w:rPr>
          <w:rFonts w:cs="Times New Roman"/>
        </w:rPr>
        <w:t>began;</w:t>
      </w:r>
      <w:r w:rsidRPr="00124B71">
        <w:rPr>
          <w:rFonts w:cs="Times New Roman"/>
        </w:rPr>
        <w:t xml:space="preserve"> the behavior of </w:t>
      </w:r>
      <w:r w:rsidRPr="00124B71">
        <w:rPr>
          <w:rFonts w:cs="Times New Roman"/>
        </w:rPr>
        <w:lastRenderedPageBreak/>
        <w:t xml:space="preserve">buyers </w:t>
      </w:r>
      <w:r w:rsidR="00557BD7" w:rsidRPr="00124B71">
        <w:rPr>
          <w:rFonts w:cs="Times New Roman"/>
        </w:rPr>
        <w:t>during the bubble rally</w:t>
      </w:r>
      <w:r w:rsidRPr="00124B71">
        <w:rPr>
          <w:rFonts w:cs="Times New Roman"/>
        </w:rPr>
        <w:t xml:space="preserve"> </w:t>
      </w:r>
      <w:r w:rsidR="00557BD7" w:rsidRPr="00124B71">
        <w:rPr>
          <w:rFonts w:cs="Times New Roman"/>
        </w:rPr>
        <w:t>was</w:t>
      </w:r>
      <w:r w:rsidRPr="00124B71">
        <w:rPr>
          <w:rFonts w:cs="Times New Roman"/>
        </w:rPr>
        <w:t xml:space="preserve"> </w:t>
      </w:r>
      <w:r w:rsidR="009E4E1E" w:rsidRPr="00124B71">
        <w:rPr>
          <w:rFonts w:cs="Times New Roman"/>
        </w:rPr>
        <w:t xml:space="preserve">not </w:t>
      </w:r>
      <w:r w:rsidRPr="00124B71">
        <w:rPr>
          <w:rFonts w:cs="Times New Roman"/>
        </w:rPr>
        <w:t>skillful</w:t>
      </w:r>
      <w:r w:rsidR="009E4E1E" w:rsidRPr="00124B71">
        <w:rPr>
          <w:rFonts w:cs="Times New Roman"/>
        </w:rPr>
        <w:t>.</w:t>
      </w:r>
      <w:r w:rsidR="008E7652" w:rsidRPr="00124B71">
        <w:rPr>
          <w:rFonts w:cs="Times New Roman"/>
        </w:rPr>
        <w:t xml:space="preserve"> </w:t>
      </w:r>
      <w:r w:rsidRPr="00124B71">
        <w:rPr>
          <w:rFonts w:cs="Times New Roman"/>
        </w:rPr>
        <w:t xml:space="preserve">Whether it is Newton’s Third Law, Karma, or a Calvinist form of retributive justice, as this bubble deflates, </w:t>
      </w:r>
      <w:r w:rsidR="005F2F77" w:rsidRPr="00124B71">
        <w:rPr>
          <w:rFonts w:cs="Times New Roman"/>
        </w:rPr>
        <w:t>many of</w:t>
      </w:r>
      <w:r w:rsidRPr="00124B71">
        <w:rPr>
          <w:rFonts w:cs="Times New Roman"/>
        </w:rPr>
        <w:t xml:space="preserve"> the participants in this bubble are about to experience a great deal of hardship. Like many others, I will enjoy their suffering until my reservoir of schadenfreude is emptied. For the sake of my own personal spiritual well being, I hope this happens soon so I can </w:t>
      </w:r>
      <w:r w:rsidR="005F2F77" w:rsidRPr="00124B71">
        <w:rPr>
          <w:rFonts w:cs="Times New Roman"/>
        </w:rPr>
        <w:t>regain my normal emotional balance and rekindle my f</w:t>
      </w:r>
      <w:r w:rsidRPr="00124B71">
        <w:rPr>
          <w:rFonts w:cs="Times New Roman"/>
        </w:rPr>
        <w:t>eeling</w:t>
      </w:r>
      <w:r w:rsidR="005F2F77" w:rsidRPr="00124B71">
        <w:rPr>
          <w:rFonts w:cs="Times New Roman"/>
        </w:rPr>
        <w:t>s of</w:t>
      </w:r>
      <w:r w:rsidRPr="00124B71">
        <w:rPr>
          <w:rFonts w:cs="Times New Roman"/>
        </w:rPr>
        <w:t xml:space="preserve"> compassion for my fellow </w:t>
      </w:r>
      <w:r w:rsidR="00EF6494" w:rsidRPr="00124B71">
        <w:rPr>
          <w:rFonts w:cs="Times New Roman"/>
        </w:rPr>
        <w:t>human beings</w:t>
      </w:r>
      <w:r w:rsidRPr="00124B71">
        <w:rPr>
          <w:rFonts w:cs="Times New Roman"/>
        </w:rPr>
        <w:t>.</w:t>
      </w:r>
    </w:p>
    <w:p w14:paraId="20017105" w14:textId="77777777" w:rsidR="007A24AA" w:rsidRDefault="007A24AA" w:rsidP="00EB0D02">
      <w:pPr>
        <w:sectPr w:rsidR="007A24AA" w:rsidSect="009729DE">
          <w:headerReference w:type="default" r:id="rId21"/>
          <w:footerReference w:type="first" r:id="rId22"/>
          <w:endnotePr>
            <w:numFmt w:val="decimal"/>
          </w:endnotePr>
          <w:type w:val="oddPage"/>
          <w:pgSz w:w="8640" w:h="12960" w:code="173"/>
          <w:pgMar w:top="1008" w:right="936" w:bottom="1080" w:left="936" w:header="504" w:footer="504" w:gutter="0"/>
          <w:pgNumType w:fmt="lowerRoman"/>
          <w:cols w:space="720"/>
          <w:titlePg/>
          <w:docGrid w:linePitch="360"/>
        </w:sectPr>
      </w:pPr>
    </w:p>
    <w:p w14:paraId="7259A108" w14:textId="77777777" w:rsidR="00F75D17" w:rsidRPr="00EF0EDA" w:rsidRDefault="00A644AE" w:rsidP="00EB0D02">
      <w:pPr>
        <w:pStyle w:val="Heading1"/>
      </w:pPr>
      <w:bookmarkStart w:id="6" w:name="_Toc238867263"/>
      <w:r w:rsidRPr="00EB0D02">
        <w:lastRenderedPageBreak/>
        <w:t>Introduction</w:t>
      </w:r>
      <w:bookmarkEnd w:id="6"/>
      <w:r w:rsidR="00F75D17" w:rsidRPr="00EF0EDA">
        <w:t xml:space="preserve"> </w:t>
      </w:r>
    </w:p>
    <w:p w14:paraId="7383B666" w14:textId="77777777" w:rsidR="00F75D17" w:rsidRPr="00124B71" w:rsidRDefault="00F75D17">
      <w:pPr>
        <w:rPr>
          <w:rFonts w:cs="Times New Roman"/>
        </w:rPr>
      </w:pPr>
      <w:r w:rsidRPr="00124B71">
        <w:rPr>
          <w:rFonts w:cs="Times New Roman"/>
        </w:rPr>
        <w:t>Why did house prices fall? This is the</w:t>
      </w:r>
      <w:r w:rsidR="005F2F77" w:rsidRPr="00124B71">
        <w:rPr>
          <w:rFonts w:cs="Times New Roman"/>
        </w:rPr>
        <w:t xml:space="preserve"> fundamental</w:t>
      </w:r>
      <w:r w:rsidRPr="00124B71">
        <w:rPr>
          <w:rFonts w:cs="Times New Roman"/>
        </w:rPr>
        <w:t xml:space="preserve"> question </w:t>
      </w:r>
      <w:r w:rsidR="005F2F77" w:rsidRPr="00124B71">
        <w:rPr>
          <w:rFonts w:cs="Times New Roman"/>
        </w:rPr>
        <w:t xml:space="preserve">to </w:t>
      </w:r>
      <w:r w:rsidRPr="00124B71">
        <w:rPr>
          <w:rFonts w:cs="Times New Roman"/>
        </w:rPr>
        <w:t xml:space="preserve">most Americans, and </w:t>
      </w:r>
      <w:r w:rsidR="005F2F77" w:rsidRPr="00124B71">
        <w:rPr>
          <w:rFonts w:cs="Times New Roman"/>
        </w:rPr>
        <w:t xml:space="preserve">to </w:t>
      </w:r>
      <w:r w:rsidRPr="00124B71">
        <w:rPr>
          <w:rFonts w:cs="Times New Roman"/>
        </w:rPr>
        <w:t xml:space="preserve">those who lent them money. Most homeowners did not care why residential real estate prices rose; they assumed prices always rose, and they should simply enjoy their good fortune. It was not until prices </w:t>
      </w:r>
      <w:r w:rsidR="005F2F77" w:rsidRPr="00124B71">
        <w:rPr>
          <w:rFonts w:cs="Times New Roman"/>
        </w:rPr>
        <w:t>began to fall</w:t>
      </w:r>
      <w:r w:rsidRPr="00124B71">
        <w:rPr>
          <w:rFonts w:cs="Times New Roman"/>
        </w:rPr>
        <w:t xml:space="preserve"> that people were left searching for answers. This book examines the causes of the breathtaking rise in prices and the catastrophic fall that ensued to answer the question on every homeowner</w:t>
      </w:r>
      <w:r w:rsidR="00F95C80" w:rsidRPr="00124B71">
        <w:rPr>
          <w:rFonts w:cs="Times New Roman"/>
        </w:rPr>
        <w:t>’</w:t>
      </w:r>
      <w:r w:rsidRPr="00124B71">
        <w:rPr>
          <w:rFonts w:cs="Times New Roman"/>
        </w:rPr>
        <w:t xml:space="preserve">s mind: “Why did </w:t>
      </w:r>
      <w:r w:rsidR="00DA4E7C" w:rsidRPr="00124B71">
        <w:rPr>
          <w:rFonts w:cs="Times New Roman"/>
        </w:rPr>
        <w:t xml:space="preserve">house </w:t>
      </w:r>
      <w:r w:rsidRPr="00124B71">
        <w:rPr>
          <w:rFonts w:cs="Times New Roman"/>
        </w:rPr>
        <w:t>prices fall?”</w:t>
      </w:r>
    </w:p>
    <w:p w14:paraId="1EF9690F" w14:textId="77777777" w:rsidR="007C389F" w:rsidRPr="00124B71" w:rsidRDefault="00CE1B0A" w:rsidP="007C389F">
      <w:pPr>
        <w:rPr>
          <w:rFonts w:cs="Times New Roman"/>
        </w:rPr>
      </w:pPr>
      <w:r w:rsidRPr="00124B71">
        <w:rPr>
          <w:rFonts w:cs="Times New Roman"/>
        </w:rPr>
        <w:t>Even though the decline is nowhere near over in 2008, already the</w:t>
      </w:r>
      <w:r w:rsidR="007C389F" w:rsidRPr="00124B71">
        <w:rPr>
          <w:rFonts w:cs="Times New Roman"/>
        </w:rPr>
        <w:t xml:space="preserve"> Great Housing Bubble witnessed the largest decline in house prices since the Great Depression</w:t>
      </w:r>
      <w:r w:rsidR="001858B5">
        <w:rPr>
          <w:rFonts w:cs="Times New Roman"/>
        </w:rPr>
        <w:fldChar w:fldCharType="begin"/>
      </w:r>
      <w:r w:rsidR="002321D5">
        <w:instrText xml:space="preserve"> XE "</w:instrText>
      </w:r>
      <w:r w:rsidR="002321D5" w:rsidRPr="00FE6E68">
        <w:rPr>
          <w:rFonts w:cs="Times New Roman"/>
        </w:rPr>
        <w:instrText>Great Depression</w:instrText>
      </w:r>
      <w:r w:rsidR="002321D5">
        <w:instrText xml:space="preserve">" </w:instrText>
      </w:r>
      <w:r w:rsidR="001858B5">
        <w:rPr>
          <w:rFonts w:cs="Times New Roman"/>
        </w:rPr>
        <w:fldChar w:fldCharType="end"/>
      </w:r>
      <w:r w:rsidR="007C389F" w:rsidRPr="00124B71">
        <w:rPr>
          <w:rFonts w:cs="Times New Roman"/>
        </w:rPr>
        <w:t xml:space="preserve">. The asset bubble for the Great Depression was the stock market while the asset bubble for </w:t>
      </w:r>
      <w:r w:rsidR="001A34D5">
        <w:rPr>
          <w:rFonts w:cs="Times New Roman"/>
        </w:rPr>
        <w:t>the Great Housing Bubble</w:t>
      </w:r>
      <w:r w:rsidR="007C389F" w:rsidRPr="00124B71">
        <w:rPr>
          <w:rFonts w:cs="Times New Roman"/>
        </w:rPr>
        <w:t xml:space="preserve"> was residential real estate. </w:t>
      </w:r>
      <w:r w:rsidR="005F2F77" w:rsidRPr="00124B71">
        <w:rPr>
          <w:rFonts w:cs="Times New Roman"/>
        </w:rPr>
        <w:t>The title of the book, the Great Housing Bubble, is an allusion to the Great Depression of the 1930s. Both of these dramatic events were the result of a wild expansion of credit and a subsequent crash in asset prices that stressed the banking system and led to a dramatic economic slowdown</w:t>
      </w:r>
      <w:r w:rsidR="00331A22" w:rsidRPr="00124B71">
        <w:rPr>
          <w:rFonts w:cs="Times New Roman"/>
        </w:rPr>
        <w:t>.</w:t>
      </w:r>
      <w:r w:rsidR="00641404" w:rsidRPr="00124B71">
        <w:rPr>
          <w:rFonts w:cs="Times New Roman"/>
        </w:rPr>
        <w:t xml:space="preserve"> </w:t>
      </w:r>
      <w:r w:rsidR="005F2F77" w:rsidRPr="00124B71">
        <w:rPr>
          <w:rStyle w:val="EndnoteReference"/>
          <w:rFonts w:cs="Times New Roman"/>
        </w:rPr>
        <w:endnoteReference w:id="4"/>
      </w:r>
    </w:p>
    <w:p w14:paraId="61401D9E" w14:textId="77777777" w:rsidR="007A4178" w:rsidRPr="00124B71" w:rsidRDefault="00FF48B7">
      <w:pPr>
        <w:rPr>
          <w:rFonts w:cs="Times New Roman"/>
        </w:rPr>
      </w:pPr>
      <w:r w:rsidRPr="00124B71">
        <w:rPr>
          <w:rFonts w:cs="Times New Roman"/>
        </w:rPr>
        <w:t xml:space="preserve">The book is arranged into </w:t>
      </w:r>
      <w:r w:rsidR="00181D08" w:rsidRPr="00124B71">
        <w:rPr>
          <w:rFonts w:cs="Times New Roman"/>
        </w:rPr>
        <w:t xml:space="preserve">10 </w:t>
      </w:r>
      <w:r w:rsidRPr="00124B71">
        <w:rPr>
          <w:rFonts w:cs="Times New Roman"/>
        </w:rPr>
        <w:t>chapters. The first 4 chapters provide background information and are used to define terms and provide a broad conceptual understanding of residential real estate economics</w:t>
      </w:r>
      <w:r w:rsidR="005F2F77" w:rsidRPr="00124B71">
        <w:rPr>
          <w:rFonts w:cs="Times New Roman"/>
        </w:rPr>
        <w:t>, chapters 5 through 8 discuss the structural and psychological factors that inflated and deflated the bubble, and the final two chapters describe methods of coping with the housing bubble</w:t>
      </w:r>
      <w:r w:rsidRPr="00124B71">
        <w:rPr>
          <w:rFonts w:cs="Times New Roman"/>
        </w:rPr>
        <w:t>. Chapter 1 is a general description of financial bubbles as a psychological phenomenon and the unique beliefs of residential real estate bubbles. Chapter 2 details the financing environment surrounding residential real estate. It defines and categorizes the types of borrowers and the types of loan programs available, and it illustrates how financing impacts</w:t>
      </w:r>
      <w:r w:rsidR="007A4178" w:rsidRPr="00124B71">
        <w:rPr>
          <w:rFonts w:cs="Times New Roman"/>
        </w:rPr>
        <w:t xml:space="preserve"> the wealth of individual owners and the economy as a whole. Chapter 3 summarizes the mathematics determining the value of residential real estate</w:t>
      </w:r>
      <w:r w:rsidR="007C389F" w:rsidRPr="00124B71">
        <w:rPr>
          <w:rFonts w:cs="Times New Roman"/>
        </w:rPr>
        <w:t xml:space="preserve"> and examines issues pertaining to the rent-versus-own decision</w:t>
      </w:r>
      <w:r w:rsidR="007A4178" w:rsidRPr="00124B71">
        <w:rPr>
          <w:rFonts w:cs="Times New Roman"/>
        </w:rPr>
        <w:t>, and chapter 4 delves into the fine points</w:t>
      </w:r>
      <w:r w:rsidRPr="00124B71">
        <w:rPr>
          <w:rFonts w:cs="Times New Roman"/>
        </w:rPr>
        <w:t xml:space="preserve"> </w:t>
      </w:r>
      <w:r w:rsidR="007A4178" w:rsidRPr="00124B71">
        <w:rPr>
          <w:rFonts w:cs="Times New Roman"/>
        </w:rPr>
        <w:t xml:space="preserve">of determining the value of individual lots and raw land. Chapter 5 illuminates the credit bubble </w:t>
      </w:r>
      <w:r w:rsidR="0011165A" w:rsidRPr="00124B71">
        <w:rPr>
          <w:rFonts w:cs="Times New Roman"/>
        </w:rPr>
        <w:t>(</w:t>
      </w:r>
      <w:r w:rsidR="007A4178" w:rsidRPr="00124B71">
        <w:rPr>
          <w:rFonts w:cs="Times New Roman"/>
        </w:rPr>
        <w:t>which was largely responsible for the real estate bubble</w:t>
      </w:r>
      <w:r w:rsidR="0011165A" w:rsidRPr="00124B71">
        <w:rPr>
          <w:rFonts w:cs="Times New Roman"/>
        </w:rPr>
        <w:t>)</w:t>
      </w:r>
      <w:r w:rsidR="007A4178" w:rsidRPr="00124B71">
        <w:rPr>
          <w:rFonts w:cs="Times New Roman"/>
        </w:rPr>
        <w:t xml:space="preserve"> with rigorous detail on the structure of the secondary mortgage </w:t>
      </w:r>
      <w:r w:rsidR="007A4178" w:rsidRPr="00124B71">
        <w:rPr>
          <w:rFonts w:cs="Times New Roman"/>
        </w:rPr>
        <w:lastRenderedPageBreak/>
        <w:t>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007C389F" w:rsidRPr="00124B71">
        <w:rPr>
          <w:rFonts w:cs="Times New Roman"/>
        </w:rPr>
        <w:t xml:space="preserve"> and how the expansion of credit through this market inflated the housing bubble</w:t>
      </w:r>
      <w:r w:rsidR="007A4178" w:rsidRPr="00124B71">
        <w:rPr>
          <w:rFonts w:cs="Times New Roman"/>
        </w:rPr>
        <w:t xml:space="preserve">. Chapter 6 looks at the housing bubble, its various measurements, and explains why the bubble burst. Chapter 7 is a </w:t>
      </w:r>
      <w:r w:rsidR="007C389F" w:rsidRPr="00124B71">
        <w:rPr>
          <w:rFonts w:cs="Times New Roman"/>
        </w:rPr>
        <w:t xml:space="preserve">review of </w:t>
      </w:r>
      <w:r w:rsidR="007A4178" w:rsidRPr="00124B71">
        <w:rPr>
          <w:rFonts w:cs="Times New Roman"/>
        </w:rPr>
        <w:t xml:space="preserve">the psychology of </w:t>
      </w:r>
      <w:r w:rsidR="007C389F" w:rsidRPr="00124B71">
        <w:rPr>
          <w:rFonts w:cs="Times New Roman"/>
        </w:rPr>
        <w:t>real estate bubbles. Financial bubbles are primarily psychological phenomenon, and the various aspects of investor psychology are explored to see how they shape the market. Chapter 8 is a projection of future house prices based on the data and conditions as they existed in early 2008. Chapter 9 contains advice for both sellers and buyers who plan to be active while prices are declining. Chapter 10 is a review of the causes of the bubble and proposals for reforms to prevent residential real estate bubbles from happening again.</w:t>
      </w:r>
    </w:p>
    <w:p w14:paraId="73BD26F0" w14:textId="77777777" w:rsidR="00F75D17" w:rsidRPr="00124B71" w:rsidRDefault="007C389F" w:rsidP="009E4E1E">
      <w:pPr>
        <w:rPr>
          <w:rFonts w:cs="Times New Roman"/>
        </w:rPr>
      </w:pPr>
      <w:r w:rsidRPr="00124B71">
        <w:rPr>
          <w:rFonts w:cs="Times New Roman"/>
        </w:rPr>
        <w:t>The examples and data used in the analysis are national in scope</w:t>
      </w:r>
      <w:r w:rsidR="00181D08" w:rsidRPr="00124B71">
        <w:rPr>
          <w:rFonts w:cs="Times New Roman"/>
        </w:rPr>
        <w:t>,</w:t>
      </w:r>
      <w:r w:rsidRPr="00124B71">
        <w:rPr>
          <w:rFonts w:cs="Times New Roman"/>
        </w:rPr>
        <w:t xml:space="preserve"> and</w:t>
      </w:r>
      <w:r w:rsidR="00181D08" w:rsidRPr="00124B71">
        <w:rPr>
          <w:rFonts w:cs="Times New Roman"/>
        </w:rPr>
        <w:t xml:space="preserve"> they are also</w:t>
      </w:r>
      <w:r w:rsidRPr="00124B71">
        <w:rPr>
          <w:rFonts w:cs="Times New Roman"/>
        </w:rPr>
        <w:t xml:space="preserve"> focused on</w:t>
      </w:r>
      <w:r w:rsidR="00D942C9" w:rsidRPr="00124B71">
        <w:rPr>
          <w:rFonts w:cs="Times New Roman"/>
        </w:rPr>
        <w:t xml:space="preserve"> the local residential real estate market in Irvine, California. </w:t>
      </w:r>
      <w:r w:rsidR="00F75D17" w:rsidRPr="00124B71">
        <w:rPr>
          <w:rFonts w:cs="Times New Roman"/>
        </w:rPr>
        <w:t xml:space="preserve">The Great Housing Bubble is a national phenomenon; however, the national statistics soften the extremes and make the rise and fall look less </w:t>
      </w:r>
      <w:r w:rsidR="00FF48B7" w:rsidRPr="00124B71">
        <w:rPr>
          <w:rFonts w:cs="Times New Roman"/>
        </w:rPr>
        <w:t>remarkable</w:t>
      </w:r>
      <w:r w:rsidR="00F75D17" w:rsidRPr="00124B71">
        <w:rPr>
          <w:rFonts w:cs="Times New Roman"/>
        </w:rPr>
        <w:t xml:space="preserve">. In some local markets, the price changes are truly </w:t>
      </w:r>
      <w:r w:rsidR="00FF48B7" w:rsidRPr="00124B71">
        <w:rPr>
          <w:rFonts w:cs="Times New Roman"/>
        </w:rPr>
        <w:t>extraordinary</w:t>
      </w:r>
      <w:r w:rsidR="00F75D17" w:rsidRPr="00124B71">
        <w:rPr>
          <w:rFonts w:cs="Times New Roman"/>
        </w:rPr>
        <w:t xml:space="preserve">, and it is through examining these markets that the story of the bubble is best told. </w:t>
      </w:r>
      <w:r w:rsidR="0011165A" w:rsidRPr="00124B71">
        <w:rPr>
          <w:rFonts w:cs="Times New Roman"/>
        </w:rPr>
        <w:t>A</w:t>
      </w:r>
      <w:r w:rsidR="00D942C9" w:rsidRPr="00124B71">
        <w:rPr>
          <w:rFonts w:cs="Times New Roman"/>
        </w:rPr>
        <w:t xml:space="preserve"> fine exemplar of the Great Housing Bubble is Irvine, California. </w:t>
      </w:r>
      <w:r w:rsidR="00F75D17" w:rsidRPr="00124B71">
        <w:rPr>
          <w:rFonts w:cs="Times New Roman"/>
        </w:rPr>
        <w:t xml:space="preserve">Irvine is a large, master-planned community of over 200,000 residents. The high incomes of Irvine residents are reflected in the rental rates for properties which are consistently near the highest in the nation. High </w:t>
      </w:r>
      <w:r w:rsidR="00FF48B7" w:rsidRPr="00124B71">
        <w:rPr>
          <w:rFonts w:cs="Times New Roman"/>
        </w:rPr>
        <w:t xml:space="preserve">incomes and </w:t>
      </w:r>
      <w:r w:rsidR="00F75D17" w:rsidRPr="00124B71">
        <w:rPr>
          <w:rFonts w:cs="Times New Roman"/>
        </w:rPr>
        <w:t xml:space="preserve">rents translate into high real estate prices, even at the bottom of down cycles. When </w:t>
      </w:r>
      <w:r w:rsidR="0011165A" w:rsidRPr="00124B71">
        <w:rPr>
          <w:rFonts w:cs="Times New Roman"/>
        </w:rPr>
        <w:t>reviewing</w:t>
      </w:r>
      <w:r w:rsidR="00F75D17" w:rsidRPr="00124B71">
        <w:rPr>
          <w:rFonts w:cs="Times New Roman"/>
        </w:rPr>
        <w:t xml:space="preserve"> the properties in Irvine and the price tags attached to them, it is not uncommon for outsiders to believe a decimal point has been misplaced. The lessons learned from the Irvine experience are universal. Though </w:t>
      </w:r>
      <w:r w:rsidR="00FF48B7" w:rsidRPr="00124B71">
        <w:rPr>
          <w:rFonts w:cs="Times New Roman"/>
        </w:rPr>
        <w:t xml:space="preserve">many </w:t>
      </w:r>
      <w:r w:rsidR="00F75D17" w:rsidRPr="00124B71">
        <w:rPr>
          <w:rFonts w:cs="Times New Roman"/>
        </w:rPr>
        <w:t>the examples from this work focus on Irvine, this is a book about the Great Housing Bubble of which Irvine was both a catalyst and one of its biggest participants.</w:t>
      </w:r>
    </w:p>
    <w:p w14:paraId="3A8BBEA6" w14:textId="306E81DE" w:rsidR="00F75D17" w:rsidRPr="00EF0EDA" w:rsidRDefault="008C3BDC" w:rsidP="008C3BDC">
      <w:pPr>
        <w:pStyle w:val="Caption"/>
      </w:pPr>
      <w:bookmarkStart w:id="7" w:name="_Toc238867427"/>
      <w:r>
        <w:t xml:space="preserve">Table </w:t>
      </w:r>
      <w:fldSimple w:instr=" SEQ Table \* ARABIC ">
        <w:r w:rsidR="00493733">
          <w:rPr>
            <w:noProof/>
          </w:rPr>
          <w:t>1</w:t>
        </w:r>
      </w:fldSimple>
      <w:r w:rsidR="00317936">
        <w:t xml:space="preserve">: </w:t>
      </w:r>
      <w:r w:rsidR="00F75D17" w:rsidRPr="00EF0EDA">
        <w:t>Top Subprime</w:t>
      </w:r>
      <w:r w:rsidR="001858B5">
        <w:fldChar w:fldCharType="begin"/>
      </w:r>
      <w:r w:rsidR="00E84A0F">
        <w:instrText xml:space="preserve"> XE "</w:instrText>
      </w:r>
      <w:r w:rsidR="00E84A0F" w:rsidRPr="007B2D35">
        <w:rPr>
          <w:rFonts w:cs="Times New Roman"/>
        </w:rPr>
        <w:instrText>Subprime</w:instrText>
      </w:r>
      <w:r w:rsidR="00E84A0F">
        <w:instrText xml:space="preserve">" </w:instrText>
      </w:r>
      <w:r w:rsidR="001858B5">
        <w:fldChar w:fldCharType="end"/>
      </w:r>
      <w:r w:rsidR="00F75D17" w:rsidRPr="00EF0EDA">
        <w:t xml:space="preserve"> Lenders 2006</w:t>
      </w:r>
      <w:bookmarkEnd w:id="7"/>
    </w:p>
    <w:tbl>
      <w:tblPr>
        <w:tblW w:w="0" w:type="auto"/>
        <w:tblInd w:w="93" w:type="dxa"/>
        <w:tblLook w:val="04A0" w:firstRow="1" w:lastRow="0" w:firstColumn="1" w:lastColumn="0" w:noHBand="0" w:noVBand="1"/>
      </w:tblPr>
      <w:tblGrid>
        <w:gridCol w:w="647"/>
        <w:gridCol w:w="1957"/>
        <w:gridCol w:w="1539"/>
      </w:tblGrid>
      <w:tr w:rsidR="008029FD" w:rsidRPr="00AD7CFF" w14:paraId="161C4A69" w14:textId="77777777" w:rsidTr="008029FD">
        <w:trPr>
          <w:trHeight w:val="173"/>
        </w:trPr>
        <w:tc>
          <w:tcPr>
            <w:tcW w:w="0" w:type="auto"/>
            <w:tcBorders>
              <w:left w:val="nil"/>
              <w:bottom w:val="single" w:sz="4" w:space="0" w:color="auto"/>
              <w:right w:val="nil"/>
            </w:tcBorders>
            <w:noWrap/>
            <w:vAlign w:val="bottom"/>
            <w:hideMark/>
          </w:tcPr>
          <w:p w14:paraId="1E1DAAB7" w14:textId="77777777" w:rsidR="008029FD" w:rsidRPr="00AD7CFF" w:rsidRDefault="008029FD" w:rsidP="00910A94">
            <w:pPr>
              <w:keepNext/>
              <w:keepLines/>
              <w:ind w:firstLine="0"/>
              <w:jc w:val="center"/>
              <w:rPr>
                <w:rFonts w:eastAsia="Times New Roman" w:cs="Times New Roman"/>
                <w:b/>
                <w:color w:val="000000"/>
                <w:sz w:val="18"/>
                <w:szCs w:val="18"/>
                <w:lang w:bidi="ar-SA"/>
              </w:rPr>
            </w:pPr>
            <w:r w:rsidRPr="00AD7CFF">
              <w:rPr>
                <w:rFonts w:eastAsia="Times New Roman" w:cs="Times New Roman"/>
                <w:b/>
                <w:color w:val="000000"/>
                <w:sz w:val="18"/>
                <w:szCs w:val="18"/>
                <w:lang w:bidi="ar-SA"/>
              </w:rPr>
              <w:t>Rank</w:t>
            </w:r>
          </w:p>
        </w:tc>
        <w:tc>
          <w:tcPr>
            <w:tcW w:w="0" w:type="auto"/>
            <w:tcBorders>
              <w:left w:val="nil"/>
              <w:bottom w:val="single" w:sz="4" w:space="0" w:color="auto"/>
              <w:right w:val="nil"/>
            </w:tcBorders>
            <w:noWrap/>
            <w:vAlign w:val="bottom"/>
            <w:hideMark/>
          </w:tcPr>
          <w:p w14:paraId="732B0219" w14:textId="77777777" w:rsidR="008029FD" w:rsidRPr="00AD7CFF" w:rsidRDefault="008029FD" w:rsidP="00910A94">
            <w:pPr>
              <w:keepNext/>
              <w:keepLines/>
              <w:ind w:firstLine="0"/>
              <w:rPr>
                <w:rFonts w:eastAsia="Times New Roman" w:cs="Times New Roman"/>
                <w:b/>
                <w:color w:val="000000"/>
                <w:sz w:val="18"/>
                <w:szCs w:val="18"/>
                <w:lang w:bidi="ar-SA"/>
              </w:rPr>
            </w:pPr>
            <w:r w:rsidRPr="00AD7CFF">
              <w:rPr>
                <w:rFonts w:eastAsia="Times New Roman" w:cs="Times New Roman"/>
                <w:b/>
                <w:color w:val="000000"/>
                <w:sz w:val="18"/>
                <w:szCs w:val="18"/>
                <w:lang w:bidi="ar-SA"/>
              </w:rPr>
              <w:t>Lender</w:t>
            </w:r>
          </w:p>
        </w:tc>
        <w:tc>
          <w:tcPr>
            <w:tcW w:w="0" w:type="auto"/>
            <w:tcBorders>
              <w:left w:val="nil"/>
              <w:bottom w:val="single" w:sz="4" w:space="0" w:color="auto"/>
              <w:right w:val="nil"/>
            </w:tcBorders>
            <w:noWrap/>
            <w:vAlign w:val="bottom"/>
            <w:hideMark/>
          </w:tcPr>
          <w:p w14:paraId="53FC6E32" w14:textId="77777777" w:rsidR="008029FD" w:rsidRPr="00AD7CFF" w:rsidRDefault="008029FD" w:rsidP="00910A94">
            <w:pPr>
              <w:keepNext/>
              <w:keepLines/>
              <w:ind w:firstLine="0"/>
              <w:jc w:val="center"/>
              <w:rPr>
                <w:rFonts w:eastAsia="Times New Roman" w:cs="Times New Roman"/>
                <w:b/>
                <w:color w:val="000000"/>
                <w:sz w:val="18"/>
                <w:szCs w:val="18"/>
                <w:lang w:bidi="ar-SA"/>
              </w:rPr>
            </w:pPr>
            <w:r w:rsidRPr="00AD7CFF">
              <w:rPr>
                <w:rFonts w:eastAsia="Times New Roman" w:cs="Times New Roman"/>
                <w:b/>
                <w:color w:val="000000"/>
                <w:sz w:val="18"/>
                <w:szCs w:val="18"/>
                <w:lang w:bidi="ar-SA"/>
              </w:rPr>
              <w:t>Market Share %</w:t>
            </w:r>
          </w:p>
        </w:tc>
      </w:tr>
      <w:tr w:rsidR="008029FD" w:rsidRPr="00AD7CFF" w14:paraId="2B4A02CE" w14:textId="77777777" w:rsidTr="008029FD">
        <w:trPr>
          <w:trHeight w:val="173"/>
        </w:trPr>
        <w:tc>
          <w:tcPr>
            <w:tcW w:w="0" w:type="auto"/>
            <w:tcBorders>
              <w:top w:val="single" w:sz="4" w:space="0" w:color="auto"/>
              <w:left w:val="nil"/>
              <w:bottom w:val="nil"/>
              <w:right w:val="nil"/>
            </w:tcBorders>
            <w:noWrap/>
            <w:vAlign w:val="bottom"/>
            <w:hideMark/>
          </w:tcPr>
          <w:p w14:paraId="565F543E"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1</w:t>
            </w:r>
          </w:p>
        </w:tc>
        <w:tc>
          <w:tcPr>
            <w:tcW w:w="0" w:type="auto"/>
            <w:tcBorders>
              <w:top w:val="single" w:sz="4" w:space="0" w:color="auto"/>
              <w:left w:val="nil"/>
              <w:bottom w:val="nil"/>
              <w:right w:val="nil"/>
            </w:tcBorders>
            <w:noWrap/>
            <w:vAlign w:val="bottom"/>
            <w:hideMark/>
          </w:tcPr>
          <w:p w14:paraId="222FADE9"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Wells Fargo</w:t>
            </w:r>
          </w:p>
        </w:tc>
        <w:tc>
          <w:tcPr>
            <w:tcW w:w="0" w:type="auto"/>
            <w:tcBorders>
              <w:top w:val="single" w:sz="4" w:space="0" w:color="auto"/>
              <w:left w:val="nil"/>
              <w:bottom w:val="nil"/>
              <w:right w:val="nil"/>
            </w:tcBorders>
            <w:noWrap/>
            <w:vAlign w:val="bottom"/>
            <w:hideMark/>
          </w:tcPr>
          <w:p w14:paraId="1A2F7FE4"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13.0%</w:t>
            </w:r>
          </w:p>
        </w:tc>
      </w:tr>
      <w:tr w:rsidR="008029FD" w:rsidRPr="00AD7CFF" w14:paraId="639694C1" w14:textId="77777777" w:rsidTr="008029FD">
        <w:trPr>
          <w:trHeight w:val="173"/>
        </w:trPr>
        <w:tc>
          <w:tcPr>
            <w:tcW w:w="0" w:type="auto"/>
            <w:tcBorders>
              <w:top w:val="nil"/>
              <w:left w:val="nil"/>
              <w:bottom w:val="nil"/>
              <w:right w:val="nil"/>
            </w:tcBorders>
            <w:noWrap/>
            <w:vAlign w:val="bottom"/>
            <w:hideMark/>
          </w:tcPr>
          <w:p w14:paraId="515A5C6C"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2</w:t>
            </w:r>
          </w:p>
        </w:tc>
        <w:tc>
          <w:tcPr>
            <w:tcW w:w="0" w:type="auto"/>
            <w:tcBorders>
              <w:top w:val="nil"/>
              <w:left w:val="nil"/>
              <w:bottom w:val="nil"/>
              <w:right w:val="nil"/>
            </w:tcBorders>
            <w:noWrap/>
            <w:vAlign w:val="bottom"/>
            <w:hideMark/>
          </w:tcPr>
          <w:p w14:paraId="12986EEF"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HSBC Finance</w:t>
            </w:r>
          </w:p>
        </w:tc>
        <w:tc>
          <w:tcPr>
            <w:tcW w:w="0" w:type="auto"/>
            <w:tcBorders>
              <w:top w:val="nil"/>
              <w:left w:val="nil"/>
              <w:bottom w:val="nil"/>
              <w:right w:val="nil"/>
            </w:tcBorders>
            <w:noWrap/>
            <w:vAlign w:val="bottom"/>
            <w:hideMark/>
          </w:tcPr>
          <w:p w14:paraId="7CE4762D"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8.3%</w:t>
            </w:r>
          </w:p>
        </w:tc>
      </w:tr>
      <w:tr w:rsidR="008029FD" w:rsidRPr="00AD7CFF" w14:paraId="695BAAB6" w14:textId="77777777" w:rsidTr="008029FD">
        <w:trPr>
          <w:trHeight w:val="173"/>
        </w:trPr>
        <w:tc>
          <w:tcPr>
            <w:tcW w:w="0" w:type="auto"/>
            <w:tcBorders>
              <w:top w:val="nil"/>
              <w:left w:val="nil"/>
              <w:bottom w:val="nil"/>
              <w:right w:val="nil"/>
            </w:tcBorders>
            <w:noWrap/>
            <w:vAlign w:val="bottom"/>
            <w:hideMark/>
          </w:tcPr>
          <w:p w14:paraId="22D5AC6C"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3</w:t>
            </w:r>
          </w:p>
        </w:tc>
        <w:tc>
          <w:tcPr>
            <w:tcW w:w="0" w:type="auto"/>
            <w:tcBorders>
              <w:top w:val="nil"/>
              <w:left w:val="nil"/>
              <w:bottom w:val="nil"/>
              <w:right w:val="nil"/>
            </w:tcBorders>
            <w:noWrap/>
            <w:vAlign w:val="bottom"/>
            <w:hideMark/>
          </w:tcPr>
          <w:p w14:paraId="7A446BD2"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New Century</w:t>
            </w:r>
            <w:r w:rsidR="001858B5" w:rsidRPr="00AD7CFF">
              <w:rPr>
                <w:rFonts w:eastAsia="Times New Roman" w:cs="Times New Roman"/>
                <w:color w:val="000000"/>
                <w:sz w:val="18"/>
                <w:szCs w:val="18"/>
                <w:lang w:bidi="ar-SA"/>
              </w:rPr>
              <w:fldChar w:fldCharType="begin"/>
            </w:r>
            <w:r w:rsidR="002321D5" w:rsidRPr="00AD7CFF">
              <w:rPr>
                <w:sz w:val="18"/>
              </w:rPr>
              <w:instrText xml:space="preserve"> XE "</w:instrText>
            </w:r>
            <w:r w:rsidR="002321D5" w:rsidRPr="00AD7CFF">
              <w:rPr>
                <w:rFonts w:cs="Times New Roman"/>
                <w:sz w:val="18"/>
              </w:rPr>
              <w:instrText>New Century</w:instrText>
            </w:r>
            <w:r w:rsidR="002321D5" w:rsidRPr="00AD7CFF">
              <w:rPr>
                <w:sz w:val="18"/>
              </w:rPr>
              <w:instrText xml:space="preserve">" </w:instrText>
            </w:r>
            <w:r w:rsidR="001858B5" w:rsidRPr="00AD7CFF">
              <w:rPr>
                <w:rFonts w:eastAsia="Times New Roman" w:cs="Times New Roman"/>
                <w:color w:val="000000"/>
                <w:sz w:val="18"/>
                <w:szCs w:val="18"/>
                <w:lang w:bidi="ar-SA"/>
              </w:rPr>
              <w:fldChar w:fldCharType="end"/>
            </w:r>
          </w:p>
        </w:tc>
        <w:tc>
          <w:tcPr>
            <w:tcW w:w="0" w:type="auto"/>
            <w:tcBorders>
              <w:top w:val="nil"/>
              <w:left w:val="nil"/>
              <w:bottom w:val="nil"/>
              <w:right w:val="nil"/>
            </w:tcBorders>
            <w:noWrap/>
            <w:vAlign w:val="bottom"/>
            <w:hideMark/>
          </w:tcPr>
          <w:p w14:paraId="2DE94729"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8.1%</w:t>
            </w:r>
          </w:p>
        </w:tc>
      </w:tr>
      <w:tr w:rsidR="008029FD" w:rsidRPr="00AD7CFF" w14:paraId="0FD53A4B" w14:textId="77777777" w:rsidTr="008029FD">
        <w:trPr>
          <w:trHeight w:val="173"/>
        </w:trPr>
        <w:tc>
          <w:tcPr>
            <w:tcW w:w="0" w:type="auto"/>
            <w:tcBorders>
              <w:top w:val="nil"/>
              <w:left w:val="nil"/>
              <w:bottom w:val="nil"/>
              <w:right w:val="nil"/>
            </w:tcBorders>
            <w:noWrap/>
            <w:vAlign w:val="bottom"/>
            <w:hideMark/>
          </w:tcPr>
          <w:p w14:paraId="7CB0F882"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4</w:t>
            </w:r>
          </w:p>
        </w:tc>
        <w:tc>
          <w:tcPr>
            <w:tcW w:w="0" w:type="auto"/>
            <w:tcBorders>
              <w:top w:val="nil"/>
              <w:left w:val="nil"/>
              <w:bottom w:val="nil"/>
              <w:right w:val="nil"/>
            </w:tcBorders>
            <w:noWrap/>
            <w:vAlign w:val="bottom"/>
            <w:hideMark/>
          </w:tcPr>
          <w:p w14:paraId="2C3A7EC0"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Countrywide Financial</w:t>
            </w:r>
          </w:p>
        </w:tc>
        <w:tc>
          <w:tcPr>
            <w:tcW w:w="0" w:type="auto"/>
            <w:tcBorders>
              <w:top w:val="nil"/>
              <w:left w:val="nil"/>
              <w:bottom w:val="nil"/>
              <w:right w:val="nil"/>
            </w:tcBorders>
            <w:noWrap/>
            <w:vAlign w:val="bottom"/>
            <w:hideMark/>
          </w:tcPr>
          <w:p w14:paraId="5B1D5866"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6.3%</w:t>
            </w:r>
          </w:p>
        </w:tc>
      </w:tr>
      <w:tr w:rsidR="008029FD" w:rsidRPr="00AD7CFF" w14:paraId="6B81FD44" w14:textId="77777777" w:rsidTr="008029FD">
        <w:trPr>
          <w:trHeight w:val="173"/>
        </w:trPr>
        <w:tc>
          <w:tcPr>
            <w:tcW w:w="0" w:type="auto"/>
            <w:tcBorders>
              <w:top w:val="nil"/>
              <w:left w:val="nil"/>
              <w:bottom w:val="nil"/>
              <w:right w:val="nil"/>
            </w:tcBorders>
            <w:noWrap/>
            <w:vAlign w:val="bottom"/>
            <w:hideMark/>
          </w:tcPr>
          <w:p w14:paraId="0229FEAE"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5</w:t>
            </w:r>
          </w:p>
        </w:tc>
        <w:tc>
          <w:tcPr>
            <w:tcW w:w="0" w:type="auto"/>
            <w:tcBorders>
              <w:top w:val="nil"/>
              <w:left w:val="nil"/>
              <w:bottom w:val="nil"/>
              <w:right w:val="nil"/>
            </w:tcBorders>
            <w:noWrap/>
            <w:vAlign w:val="bottom"/>
            <w:hideMark/>
          </w:tcPr>
          <w:p w14:paraId="201C0BDD"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CitiMortgage</w:t>
            </w:r>
          </w:p>
        </w:tc>
        <w:tc>
          <w:tcPr>
            <w:tcW w:w="0" w:type="auto"/>
            <w:tcBorders>
              <w:top w:val="nil"/>
              <w:left w:val="nil"/>
              <w:bottom w:val="nil"/>
              <w:right w:val="nil"/>
            </w:tcBorders>
            <w:noWrap/>
            <w:vAlign w:val="bottom"/>
            <w:hideMark/>
          </w:tcPr>
          <w:p w14:paraId="6EFFEF08"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5.9%</w:t>
            </w:r>
          </w:p>
        </w:tc>
      </w:tr>
      <w:tr w:rsidR="008029FD" w:rsidRPr="00AD7CFF" w14:paraId="0AE2E3FC" w14:textId="77777777" w:rsidTr="008029FD">
        <w:trPr>
          <w:trHeight w:val="173"/>
        </w:trPr>
        <w:tc>
          <w:tcPr>
            <w:tcW w:w="0" w:type="auto"/>
            <w:tcBorders>
              <w:top w:val="nil"/>
              <w:left w:val="nil"/>
              <w:bottom w:val="nil"/>
              <w:right w:val="nil"/>
            </w:tcBorders>
            <w:noWrap/>
            <w:vAlign w:val="bottom"/>
            <w:hideMark/>
          </w:tcPr>
          <w:p w14:paraId="74DE012D"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6</w:t>
            </w:r>
          </w:p>
        </w:tc>
        <w:tc>
          <w:tcPr>
            <w:tcW w:w="0" w:type="auto"/>
            <w:tcBorders>
              <w:top w:val="nil"/>
              <w:left w:val="nil"/>
              <w:bottom w:val="nil"/>
              <w:right w:val="nil"/>
            </w:tcBorders>
            <w:noWrap/>
            <w:vAlign w:val="bottom"/>
            <w:hideMark/>
          </w:tcPr>
          <w:p w14:paraId="03E015B6"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WMC Mortgage</w:t>
            </w:r>
          </w:p>
        </w:tc>
        <w:tc>
          <w:tcPr>
            <w:tcW w:w="0" w:type="auto"/>
            <w:tcBorders>
              <w:top w:val="nil"/>
              <w:left w:val="nil"/>
              <w:bottom w:val="nil"/>
              <w:right w:val="nil"/>
            </w:tcBorders>
            <w:noWrap/>
            <w:vAlign w:val="bottom"/>
            <w:hideMark/>
          </w:tcPr>
          <w:p w14:paraId="46AD8C0F"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5.2%</w:t>
            </w:r>
          </w:p>
        </w:tc>
      </w:tr>
      <w:tr w:rsidR="008029FD" w:rsidRPr="00AD7CFF" w14:paraId="176CFFE0" w14:textId="77777777" w:rsidTr="008029FD">
        <w:trPr>
          <w:trHeight w:val="173"/>
        </w:trPr>
        <w:tc>
          <w:tcPr>
            <w:tcW w:w="0" w:type="auto"/>
            <w:tcBorders>
              <w:top w:val="nil"/>
              <w:left w:val="nil"/>
              <w:bottom w:val="nil"/>
              <w:right w:val="nil"/>
            </w:tcBorders>
            <w:noWrap/>
            <w:vAlign w:val="bottom"/>
            <w:hideMark/>
          </w:tcPr>
          <w:p w14:paraId="3D50E76E"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7</w:t>
            </w:r>
          </w:p>
        </w:tc>
        <w:tc>
          <w:tcPr>
            <w:tcW w:w="0" w:type="auto"/>
            <w:tcBorders>
              <w:top w:val="nil"/>
              <w:left w:val="nil"/>
              <w:bottom w:val="nil"/>
              <w:right w:val="nil"/>
            </w:tcBorders>
            <w:noWrap/>
            <w:vAlign w:val="bottom"/>
            <w:hideMark/>
          </w:tcPr>
          <w:p w14:paraId="63CB393B"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Fremont Investment</w:t>
            </w:r>
          </w:p>
        </w:tc>
        <w:tc>
          <w:tcPr>
            <w:tcW w:w="0" w:type="auto"/>
            <w:tcBorders>
              <w:top w:val="nil"/>
              <w:left w:val="nil"/>
              <w:bottom w:val="nil"/>
              <w:right w:val="nil"/>
            </w:tcBorders>
            <w:noWrap/>
            <w:vAlign w:val="bottom"/>
            <w:hideMark/>
          </w:tcPr>
          <w:p w14:paraId="065F7736"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5.0%</w:t>
            </w:r>
          </w:p>
        </w:tc>
      </w:tr>
      <w:tr w:rsidR="008029FD" w:rsidRPr="00AD7CFF" w14:paraId="06A41CBE" w14:textId="77777777" w:rsidTr="008029FD">
        <w:trPr>
          <w:trHeight w:val="173"/>
        </w:trPr>
        <w:tc>
          <w:tcPr>
            <w:tcW w:w="0" w:type="auto"/>
            <w:tcBorders>
              <w:top w:val="nil"/>
              <w:left w:val="nil"/>
              <w:bottom w:val="nil"/>
              <w:right w:val="nil"/>
            </w:tcBorders>
            <w:noWrap/>
            <w:vAlign w:val="bottom"/>
            <w:hideMark/>
          </w:tcPr>
          <w:p w14:paraId="4BA10320"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8</w:t>
            </w:r>
          </w:p>
        </w:tc>
        <w:tc>
          <w:tcPr>
            <w:tcW w:w="0" w:type="auto"/>
            <w:tcBorders>
              <w:top w:val="nil"/>
              <w:left w:val="nil"/>
              <w:bottom w:val="nil"/>
              <w:right w:val="nil"/>
            </w:tcBorders>
            <w:noWrap/>
            <w:vAlign w:val="bottom"/>
            <w:hideMark/>
          </w:tcPr>
          <w:p w14:paraId="7B01B8CA"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Ameriquest</w:t>
            </w:r>
            <w:r w:rsidR="001858B5" w:rsidRPr="00AD7CFF">
              <w:rPr>
                <w:rFonts w:eastAsia="Times New Roman" w:cs="Times New Roman"/>
                <w:color w:val="000000"/>
                <w:sz w:val="18"/>
                <w:szCs w:val="18"/>
                <w:lang w:bidi="ar-SA"/>
              </w:rPr>
              <w:fldChar w:fldCharType="begin"/>
            </w:r>
            <w:r w:rsidR="002321D5" w:rsidRPr="00AD7CFF">
              <w:rPr>
                <w:sz w:val="18"/>
              </w:rPr>
              <w:instrText xml:space="preserve"> XE "</w:instrText>
            </w:r>
            <w:r w:rsidR="002321D5" w:rsidRPr="00AD7CFF">
              <w:rPr>
                <w:rFonts w:cs="Times New Roman"/>
                <w:sz w:val="18"/>
              </w:rPr>
              <w:instrText>Ameriquest</w:instrText>
            </w:r>
            <w:r w:rsidR="002321D5" w:rsidRPr="00AD7CFF">
              <w:rPr>
                <w:sz w:val="18"/>
              </w:rPr>
              <w:instrText xml:space="preserve">" </w:instrText>
            </w:r>
            <w:r w:rsidR="001858B5" w:rsidRPr="00AD7CFF">
              <w:rPr>
                <w:rFonts w:eastAsia="Times New Roman" w:cs="Times New Roman"/>
                <w:color w:val="000000"/>
                <w:sz w:val="18"/>
                <w:szCs w:val="18"/>
                <w:lang w:bidi="ar-SA"/>
              </w:rPr>
              <w:fldChar w:fldCharType="end"/>
            </w:r>
          </w:p>
        </w:tc>
        <w:tc>
          <w:tcPr>
            <w:tcW w:w="0" w:type="auto"/>
            <w:tcBorders>
              <w:top w:val="nil"/>
              <w:left w:val="nil"/>
              <w:bottom w:val="nil"/>
              <w:right w:val="nil"/>
            </w:tcBorders>
            <w:noWrap/>
            <w:vAlign w:val="bottom"/>
            <w:hideMark/>
          </w:tcPr>
          <w:p w14:paraId="0C1B193E"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4.6%</w:t>
            </w:r>
          </w:p>
        </w:tc>
      </w:tr>
      <w:tr w:rsidR="008029FD" w:rsidRPr="00AD7CFF" w14:paraId="4D9A2FAB" w14:textId="77777777" w:rsidTr="008029FD">
        <w:trPr>
          <w:trHeight w:val="173"/>
        </w:trPr>
        <w:tc>
          <w:tcPr>
            <w:tcW w:w="0" w:type="auto"/>
            <w:tcBorders>
              <w:top w:val="nil"/>
              <w:left w:val="nil"/>
              <w:bottom w:val="nil"/>
              <w:right w:val="nil"/>
            </w:tcBorders>
            <w:noWrap/>
            <w:vAlign w:val="bottom"/>
            <w:hideMark/>
          </w:tcPr>
          <w:p w14:paraId="60EF67DC"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9</w:t>
            </w:r>
          </w:p>
        </w:tc>
        <w:tc>
          <w:tcPr>
            <w:tcW w:w="0" w:type="auto"/>
            <w:tcBorders>
              <w:top w:val="nil"/>
              <w:left w:val="nil"/>
              <w:bottom w:val="nil"/>
              <w:right w:val="nil"/>
            </w:tcBorders>
            <w:noWrap/>
            <w:vAlign w:val="bottom"/>
            <w:hideMark/>
          </w:tcPr>
          <w:p w14:paraId="5B703DA9"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Option One</w:t>
            </w:r>
            <w:r w:rsidR="001858B5" w:rsidRPr="00AD7CFF">
              <w:rPr>
                <w:rFonts w:eastAsia="Times New Roman" w:cs="Times New Roman"/>
                <w:color w:val="000000"/>
                <w:sz w:val="18"/>
                <w:szCs w:val="18"/>
                <w:lang w:bidi="ar-SA"/>
              </w:rPr>
              <w:fldChar w:fldCharType="begin"/>
            </w:r>
            <w:r w:rsidR="002321D5" w:rsidRPr="00AD7CFF">
              <w:rPr>
                <w:sz w:val="18"/>
              </w:rPr>
              <w:instrText xml:space="preserve"> XE "</w:instrText>
            </w:r>
            <w:r w:rsidR="002321D5" w:rsidRPr="00AD7CFF">
              <w:rPr>
                <w:rFonts w:cs="Times New Roman"/>
                <w:sz w:val="18"/>
              </w:rPr>
              <w:instrText>Option One</w:instrText>
            </w:r>
            <w:r w:rsidR="002321D5" w:rsidRPr="00AD7CFF">
              <w:rPr>
                <w:sz w:val="18"/>
              </w:rPr>
              <w:instrText xml:space="preserve">" </w:instrText>
            </w:r>
            <w:r w:rsidR="001858B5" w:rsidRPr="00AD7CFF">
              <w:rPr>
                <w:rFonts w:eastAsia="Times New Roman" w:cs="Times New Roman"/>
                <w:color w:val="000000"/>
                <w:sz w:val="18"/>
                <w:szCs w:val="18"/>
                <w:lang w:bidi="ar-SA"/>
              </w:rPr>
              <w:fldChar w:fldCharType="end"/>
            </w:r>
          </w:p>
        </w:tc>
        <w:tc>
          <w:tcPr>
            <w:tcW w:w="0" w:type="auto"/>
            <w:tcBorders>
              <w:top w:val="nil"/>
              <w:left w:val="nil"/>
              <w:bottom w:val="nil"/>
              <w:right w:val="nil"/>
            </w:tcBorders>
            <w:noWrap/>
            <w:vAlign w:val="bottom"/>
            <w:hideMark/>
          </w:tcPr>
          <w:p w14:paraId="7BFA54F5"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4.5%</w:t>
            </w:r>
          </w:p>
        </w:tc>
      </w:tr>
      <w:tr w:rsidR="008029FD" w:rsidRPr="00AD7CFF" w14:paraId="08BBB95A" w14:textId="77777777" w:rsidTr="008029FD">
        <w:trPr>
          <w:trHeight w:val="173"/>
        </w:trPr>
        <w:tc>
          <w:tcPr>
            <w:tcW w:w="0" w:type="auto"/>
            <w:tcBorders>
              <w:top w:val="nil"/>
              <w:left w:val="nil"/>
              <w:bottom w:val="nil"/>
              <w:right w:val="nil"/>
            </w:tcBorders>
            <w:noWrap/>
            <w:vAlign w:val="bottom"/>
            <w:hideMark/>
          </w:tcPr>
          <w:p w14:paraId="2F2385EB"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10</w:t>
            </w:r>
          </w:p>
        </w:tc>
        <w:tc>
          <w:tcPr>
            <w:tcW w:w="0" w:type="auto"/>
            <w:tcBorders>
              <w:top w:val="nil"/>
              <w:left w:val="nil"/>
              <w:bottom w:val="nil"/>
              <w:right w:val="nil"/>
            </w:tcBorders>
            <w:noWrap/>
            <w:vAlign w:val="bottom"/>
            <w:hideMark/>
          </w:tcPr>
          <w:p w14:paraId="00D55733"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First Franklin</w:t>
            </w:r>
          </w:p>
        </w:tc>
        <w:tc>
          <w:tcPr>
            <w:tcW w:w="0" w:type="auto"/>
            <w:tcBorders>
              <w:top w:val="nil"/>
              <w:left w:val="nil"/>
              <w:bottom w:val="nil"/>
              <w:right w:val="nil"/>
            </w:tcBorders>
            <w:noWrap/>
            <w:vAlign w:val="bottom"/>
            <w:hideMark/>
          </w:tcPr>
          <w:p w14:paraId="137EF64E"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4.3%</w:t>
            </w:r>
          </w:p>
        </w:tc>
      </w:tr>
      <w:tr w:rsidR="008029FD" w:rsidRPr="00AD7CFF" w14:paraId="3BDB3FFA" w14:textId="77777777" w:rsidTr="008029FD">
        <w:trPr>
          <w:trHeight w:val="173"/>
        </w:trPr>
        <w:tc>
          <w:tcPr>
            <w:tcW w:w="0" w:type="auto"/>
            <w:tcBorders>
              <w:top w:val="nil"/>
              <w:left w:val="nil"/>
              <w:bottom w:val="nil"/>
              <w:right w:val="nil"/>
            </w:tcBorders>
            <w:noWrap/>
            <w:vAlign w:val="bottom"/>
            <w:hideMark/>
          </w:tcPr>
          <w:p w14:paraId="24C2545A"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11</w:t>
            </w:r>
          </w:p>
        </w:tc>
        <w:tc>
          <w:tcPr>
            <w:tcW w:w="0" w:type="auto"/>
            <w:tcBorders>
              <w:top w:val="nil"/>
              <w:left w:val="nil"/>
              <w:bottom w:val="nil"/>
              <w:right w:val="nil"/>
            </w:tcBorders>
            <w:noWrap/>
            <w:vAlign w:val="bottom"/>
            <w:hideMark/>
          </w:tcPr>
          <w:p w14:paraId="4E2AC7B0"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Washington Mutual</w:t>
            </w:r>
          </w:p>
        </w:tc>
        <w:tc>
          <w:tcPr>
            <w:tcW w:w="0" w:type="auto"/>
            <w:tcBorders>
              <w:top w:val="nil"/>
              <w:left w:val="nil"/>
              <w:bottom w:val="nil"/>
              <w:right w:val="nil"/>
            </w:tcBorders>
            <w:noWrap/>
            <w:vAlign w:val="bottom"/>
            <w:hideMark/>
          </w:tcPr>
          <w:p w14:paraId="5A3B9BF7"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4.2%</w:t>
            </w:r>
          </w:p>
        </w:tc>
      </w:tr>
      <w:tr w:rsidR="008029FD" w:rsidRPr="00AD7CFF" w14:paraId="6D2C5476" w14:textId="77777777" w:rsidTr="008029FD">
        <w:trPr>
          <w:trHeight w:val="173"/>
        </w:trPr>
        <w:tc>
          <w:tcPr>
            <w:tcW w:w="0" w:type="auto"/>
            <w:tcBorders>
              <w:top w:val="nil"/>
              <w:left w:val="nil"/>
              <w:bottom w:val="nil"/>
              <w:right w:val="nil"/>
            </w:tcBorders>
            <w:noWrap/>
            <w:vAlign w:val="bottom"/>
            <w:hideMark/>
          </w:tcPr>
          <w:p w14:paraId="65322D37"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12</w:t>
            </w:r>
          </w:p>
        </w:tc>
        <w:tc>
          <w:tcPr>
            <w:tcW w:w="0" w:type="auto"/>
            <w:tcBorders>
              <w:top w:val="nil"/>
              <w:left w:val="nil"/>
              <w:bottom w:val="nil"/>
              <w:right w:val="nil"/>
            </w:tcBorders>
            <w:noWrap/>
            <w:vAlign w:val="bottom"/>
            <w:hideMark/>
          </w:tcPr>
          <w:p w14:paraId="50FD7730"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Residential Funding</w:t>
            </w:r>
          </w:p>
        </w:tc>
        <w:tc>
          <w:tcPr>
            <w:tcW w:w="0" w:type="auto"/>
            <w:tcBorders>
              <w:top w:val="nil"/>
              <w:left w:val="nil"/>
              <w:bottom w:val="nil"/>
              <w:right w:val="nil"/>
            </w:tcBorders>
            <w:noWrap/>
            <w:vAlign w:val="bottom"/>
            <w:hideMark/>
          </w:tcPr>
          <w:p w14:paraId="26D24EF8"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3.4%</w:t>
            </w:r>
          </w:p>
        </w:tc>
      </w:tr>
      <w:tr w:rsidR="008029FD" w:rsidRPr="00AD7CFF" w14:paraId="4181E3C6" w14:textId="77777777" w:rsidTr="008029FD">
        <w:trPr>
          <w:trHeight w:val="173"/>
        </w:trPr>
        <w:tc>
          <w:tcPr>
            <w:tcW w:w="0" w:type="auto"/>
            <w:tcBorders>
              <w:top w:val="nil"/>
              <w:left w:val="nil"/>
              <w:bottom w:val="nil"/>
              <w:right w:val="nil"/>
            </w:tcBorders>
            <w:noWrap/>
            <w:vAlign w:val="bottom"/>
            <w:hideMark/>
          </w:tcPr>
          <w:p w14:paraId="58B120F0"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13</w:t>
            </w:r>
          </w:p>
        </w:tc>
        <w:tc>
          <w:tcPr>
            <w:tcW w:w="0" w:type="auto"/>
            <w:tcBorders>
              <w:top w:val="nil"/>
              <w:left w:val="nil"/>
              <w:bottom w:val="nil"/>
              <w:right w:val="nil"/>
            </w:tcBorders>
            <w:noWrap/>
            <w:vAlign w:val="bottom"/>
            <w:hideMark/>
          </w:tcPr>
          <w:p w14:paraId="1E496A96"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Aegis Mortgage</w:t>
            </w:r>
          </w:p>
        </w:tc>
        <w:tc>
          <w:tcPr>
            <w:tcW w:w="0" w:type="auto"/>
            <w:tcBorders>
              <w:top w:val="nil"/>
              <w:left w:val="nil"/>
              <w:bottom w:val="nil"/>
              <w:right w:val="nil"/>
            </w:tcBorders>
            <w:noWrap/>
            <w:vAlign w:val="bottom"/>
            <w:hideMark/>
          </w:tcPr>
          <w:p w14:paraId="018AB657"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2.7%</w:t>
            </w:r>
          </w:p>
        </w:tc>
      </w:tr>
      <w:tr w:rsidR="008029FD" w:rsidRPr="00AD7CFF" w14:paraId="28947DFE" w14:textId="77777777" w:rsidTr="008029FD">
        <w:trPr>
          <w:trHeight w:val="173"/>
        </w:trPr>
        <w:tc>
          <w:tcPr>
            <w:tcW w:w="0" w:type="auto"/>
            <w:tcBorders>
              <w:top w:val="nil"/>
              <w:left w:val="nil"/>
              <w:bottom w:val="nil"/>
              <w:right w:val="nil"/>
            </w:tcBorders>
            <w:noWrap/>
            <w:vAlign w:val="bottom"/>
            <w:hideMark/>
          </w:tcPr>
          <w:p w14:paraId="2F0BF74D"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14</w:t>
            </w:r>
          </w:p>
        </w:tc>
        <w:tc>
          <w:tcPr>
            <w:tcW w:w="0" w:type="auto"/>
            <w:tcBorders>
              <w:top w:val="nil"/>
              <w:left w:val="nil"/>
              <w:bottom w:val="nil"/>
              <w:right w:val="nil"/>
            </w:tcBorders>
            <w:noWrap/>
            <w:vAlign w:val="bottom"/>
            <w:hideMark/>
          </w:tcPr>
          <w:p w14:paraId="791B1824"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American General</w:t>
            </w:r>
          </w:p>
        </w:tc>
        <w:tc>
          <w:tcPr>
            <w:tcW w:w="0" w:type="auto"/>
            <w:tcBorders>
              <w:top w:val="nil"/>
              <w:left w:val="nil"/>
              <w:bottom w:val="nil"/>
              <w:right w:val="nil"/>
            </w:tcBorders>
            <w:noWrap/>
            <w:vAlign w:val="bottom"/>
            <w:hideMark/>
          </w:tcPr>
          <w:p w14:paraId="1F7A0EBF"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2.4%</w:t>
            </w:r>
          </w:p>
        </w:tc>
      </w:tr>
      <w:tr w:rsidR="008029FD" w:rsidRPr="00AD7CFF" w14:paraId="06FC142F" w14:textId="77777777" w:rsidTr="008029FD">
        <w:trPr>
          <w:trHeight w:val="173"/>
        </w:trPr>
        <w:tc>
          <w:tcPr>
            <w:tcW w:w="0" w:type="auto"/>
            <w:tcBorders>
              <w:top w:val="nil"/>
              <w:left w:val="nil"/>
              <w:bottom w:val="single" w:sz="4" w:space="0" w:color="auto"/>
              <w:right w:val="nil"/>
            </w:tcBorders>
            <w:noWrap/>
            <w:vAlign w:val="bottom"/>
            <w:hideMark/>
          </w:tcPr>
          <w:p w14:paraId="63B2537C" w14:textId="77777777" w:rsidR="008029FD" w:rsidRPr="00AD7CFF" w:rsidRDefault="008029FD" w:rsidP="00C14B25">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15</w:t>
            </w:r>
          </w:p>
        </w:tc>
        <w:tc>
          <w:tcPr>
            <w:tcW w:w="0" w:type="auto"/>
            <w:tcBorders>
              <w:top w:val="nil"/>
              <w:left w:val="nil"/>
              <w:bottom w:val="single" w:sz="4" w:space="0" w:color="auto"/>
              <w:right w:val="nil"/>
            </w:tcBorders>
            <w:noWrap/>
            <w:vAlign w:val="bottom"/>
            <w:hideMark/>
          </w:tcPr>
          <w:p w14:paraId="4B39B08F"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Accredited Lenders</w:t>
            </w:r>
          </w:p>
        </w:tc>
        <w:tc>
          <w:tcPr>
            <w:tcW w:w="0" w:type="auto"/>
            <w:tcBorders>
              <w:top w:val="nil"/>
              <w:left w:val="nil"/>
              <w:bottom w:val="single" w:sz="4" w:space="0" w:color="auto"/>
              <w:right w:val="nil"/>
            </w:tcBorders>
            <w:noWrap/>
            <w:vAlign w:val="bottom"/>
            <w:hideMark/>
          </w:tcPr>
          <w:p w14:paraId="7F374918"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2.3%</w:t>
            </w:r>
          </w:p>
        </w:tc>
      </w:tr>
      <w:tr w:rsidR="008029FD" w:rsidRPr="00AD7CFF" w14:paraId="3D51A29A" w14:textId="77777777" w:rsidTr="008029FD">
        <w:trPr>
          <w:trHeight w:val="173"/>
        </w:trPr>
        <w:tc>
          <w:tcPr>
            <w:tcW w:w="0" w:type="auto"/>
            <w:tcBorders>
              <w:top w:val="nil"/>
              <w:left w:val="nil"/>
              <w:bottom w:val="nil"/>
              <w:right w:val="nil"/>
            </w:tcBorders>
            <w:noWrap/>
            <w:vAlign w:val="bottom"/>
            <w:hideMark/>
          </w:tcPr>
          <w:p w14:paraId="0F9F094C" w14:textId="77777777" w:rsidR="008029FD" w:rsidRPr="00AD7CFF" w:rsidRDefault="008029FD" w:rsidP="00C14B25">
            <w:pPr>
              <w:keepNext/>
              <w:keepLines/>
              <w:ind w:firstLine="0"/>
              <w:jc w:val="center"/>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63346141" w14:textId="77777777" w:rsidR="008029FD" w:rsidRPr="00AD7CFF" w:rsidRDefault="008029FD" w:rsidP="00C14B25">
            <w:pPr>
              <w:keepNext/>
              <w:keepLines/>
              <w:ind w:firstLine="0"/>
              <w:rPr>
                <w:rFonts w:eastAsia="Times New Roman" w:cs="Times New Roman"/>
                <w:color w:val="000000"/>
                <w:sz w:val="18"/>
                <w:szCs w:val="18"/>
                <w:lang w:bidi="ar-SA"/>
              </w:rPr>
            </w:pPr>
            <w:r w:rsidRPr="00AD7CFF">
              <w:rPr>
                <w:rFonts w:eastAsia="Times New Roman" w:cs="Times New Roman"/>
                <w:color w:val="000000"/>
                <w:sz w:val="18"/>
                <w:szCs w:val="18"/>
                <w:lang w:bidi="ar-SA"/>
              </w:rPr>
              <w:t>Top 15 Lenders</w:t>
            </w:r>
          </w:p>
        </w:tc>
        <w:tc>
          <w:tcPr>
            <w:tcW w:w="0" w:type="auto"/>
            <w:tcBorders>
              <w:top w:val="single" w:sz="4" w:space="0" w:color="auto"/>
              <w:left w:val="nil"/>
              <w:bottom w:val="single" w:sz="4" w:space="0" w:color="auto"/>
              <w:right w:val="nil"/>
            </w:tcBorders>
            <w:noWrap/>
            <w:vAlign w:val="bottom"/>
            <w:hideMark/>
          </w:tcPr>
          <w:p w14:paraId="6B83E0BD" w14:textId="77777777" w:rsidR="008029FD" w:rsidRPr="00AD7CFF" w:rsidRDefault="008029FD" w:rsidP="008029FD">
            <w:pPr>
              <w:keepNext/>
              <w:keepLines/>
              <w:ind w:firstLine="0"/>
              <w:jc w:val="center"/>
              <w:rPr>
                <w:rFonts w:eastAsia="Times New Roman" w:cs="Times New Roman"/>
                <w:color w:val="000000"/>
                <w:sz w:val="18"/>
                <w:szCs w:val="18"/>
                <w:lang w:bidi="ar-SA"/>
              </w:rPr>
            </w:pPr>
            <w:r w:rsidRPr="00AD7CFF">
              <w:rPr>
                <w:rFonts w:eastAsia="Times New Roman" w:cs="Times New Roman"/>
                <w:color w:val="000000"/>
                <w:sz w:val="18"/>
                <w:szCs w:val="18"/>
                <w:lang w:bidi="ar-SA"/>
              </w:rPr>
              <w:t>80.2%</w:t>
            </w:r>
          </w:p>
        </w:tc>
      </w:tr>
      <w:tr w:rsidR="00F75D17" w:rsidRPr="00AD7CFF" w14:paraId="163A631F" w14:textId="77777777" w:rsidTr="00E97B37">
        <w:trPr>
          <w:gridAfter w:val="1"/>
          <w:trHeight w:val="173"/>
        </w:trPr>
        <w:tc>
          <w:tcPr>
            <w:tcW w:w="0" w:type="auto"/>
            <w:gridSpan w:val="2"/>
            <w:tcBorders>
              <w:top w:val="single" w:sz="4" w:space="0" w:color="auto"/>
              <w:left w:val="nil"/>
              <w:bottom w:val="nil"/>
              <w:right w:val="nil"/>
            </w:tcBorders>
            <w:noWrap/>
            <w:vAlign w:val="bottom"/>
            <w:hideMark/>
          </w:tcPr>
          <w:p w14:paraId="7FD7D604" w14:textId="77777777" w:rsidR="00F75D17" w:rsidRPr="00AD7CFF" w:rsidRDefault="00F75D17" w:rsidP="00C14B25">
            <w:pPr>
              <w:keepNext/>
              <w:keepLines/>
              <w:ind w:firstLine="0"/>
              <w:rPr>
                <w:rFonts w:eastAsia="Times New Roman" w:cs="Times New Roman"/>
                <w:i/>
                <w:color w:val="000000"/>
                <w:sz w:val="18"/>
                <w:szCs w:val="18"/>
                <w:lang w:bidi="ar-SA"/>
              </w:rPr>
            </w:pPr>
            <w:r w:rsidRPr="00AD7CFF">
              <w:rPr>
                <w:rFonts w:eastAsia="Times New Roman" w:cs="Times New Roman"/>
                <w:i/>
                <w:color w:val="000000"/>
                <w:sz w:val="18"/>
                <w:szCs w:val="18"/>
                <w:lang w:bidi="ar-SA"/>
              </w:rPr>
              <w:t>Source: Inside B&amp;C Lending</w:t>
            </w:r>
          </w:p>
        </w:tc>
      </w:tr>
    </w:tbl>
    <w:p w14:paraId="58F965EA" w14:textId="77777777" w:rsidR="00F75D17" w:rsidRPr="00124B71" w:rsidRDefault="00F75D17">
      <w:pPr>
        <w:rPr>
          <w:rFonts w:cs="Times New Roman"/>
        </w:rPr>
      </w:pPr>
    </w:p>
    <w:p w14:paraId="72C7B10C" w14:textId="77777777" w:rsidR="00E97B37" w:rsidRPr="00124B71" w:rsidRDefault="00E97B37" w:rsidP="00E97B37">
      <w:pPr>
        <w:rPr>
          <w:rFonts w:cs="Times New Roman"/>
        </w:rPr>
      </w:pPr>
      <w:r w:rsidRPr="00124B71">
        <w:rPr>
          <w:rFonts w:cs="Times New Roman"/>
        </w:rPr>
        <w:lastRenderedPageBreak/>
        <w:t>The epicenter of the Great Housing Bubble is located in Irvine, California. One of the primary causes of the bubble was the lowering of lending standards and the extension of credit to people who could not handle the responsibility: Subprime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Pr="00124B71">
        <w:rPr>
          <w:rFonts w:cs="Times New Roman"/>
        </w:rPr>
        <w:t xml:space="preserve"> borrowers. The word “subprime” has become indelibly linked to the Great Housing Bubble. It is one of the causal factors that make the bubble unique, and the collapse of subprime is widely regarded as the pin-prick which began the bubble’s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Pr="00124B71">
        <w:rPr>
          <w:rFonts w:cs="Times New Roman"/>
        </w:rPr>
        <w:t>. Irvine, California, is the center of the subprime universe. Three of the top ten subprime lenders, New Century</w:t>
      </w:r>
      <w:r w:rsidR="001858B5">
        <w:rPr>
          <w:rFonts w:cs="Times New Roman"/>
        </w:rPr>
        <w:fldChar w:fldCharType="begin"/>
      </w:r>
      <w:r w:rsidR="002321D5">
        <w:instrText xml:space="preserve"> XE "</w:instrText>
      </w:r>
      <w:r w:rsidR="002321D5" w:rsidRPr="00C24401">
        <w:rPr>
          <w:rFonts w:cs="Times New Roman"/>
        </w:rPr>
        <w:instrText>New Century</w:instrText>
      </w:r>
      <w:r w:rsidR="002321D5">
        <w:instrText xml:space="preserve">" </w:instrText>
      </w:r>
      <w:r w:rsidR="001858B5">
        <w:rPr>
          <w:rFonts w:cs="Times New Roman"/>
        </w:rPr>
        <w:fldChar w:fldCharType="end"/>
      </w:r>
      <w:r w:rsidRPr="00124B71">
        <w:rPr>
          <w:rFonts w:cs="Times New Roman"/>
        </w:rPr>
        <w:t>, Ameriquest</w:t>
      </w:r>
      <w:r w:rsidR="001858B5">
        <w:rPr>
          <w:rFonts w:cs="Times New Roman"/>
        </w:rPr>
        <w:fldChar w:fldCharType="begin"/>
      </w:r>
      <w:r w:rsidR="002321D5">
        <w:instrText xml:space="preserve"> XE "</w:instrText>
      </w:r>
      <w:r w:rsidR="002321D5" w:rsidRPr="00C24401">
        <w:rPr>
          <w:rFonts w:cs="Times New Roman"/>
        </w:rPr>
        <w:instrText>Ameriquest</w:instrText>
      </w:r>
      <w:r w:rsidR="002321D5">
        <w:instrText xml:space="preserve">" </w:instrText>
      </w:r>
      <w:r w:rsidR="001858B5">
        <w:rPr>
          <w:rFonts w:cs="Times New Roman"/>
        </w:rPr>
        <w:fldChar w:fldCharType="end"/>
      </w:r>
      <w:r w:rsidRPr="00124B71">
        <w:rPr>
          <w:rFonts w:cs="Times New Roman"/>
        </w:rPr>
        <w:t>, and Option One</w:t>
      </w:r>
      <w:r w:rsidR="001858B5">
        <w:rPr>
          <w:rFonts w:cs="Times New Roman"/>
        </w:rPr>
        <w:fldChar w:fldCharType="begin"/>
      </w:r>
      <w:r w:rsidR="002321D5">
        <w:instrText xml:space="preserve"> XE "</w:instrText>
      </w:r>
      <w:r w:rsidR="002321D5" w:rsidRPr="00811033">
        <w:rPr>
          <w:rFonts w:cs="Times New Roman"/>
        </w:rPr>
        <w:instrText>Option One</w:instrText>
      </w:r>
      <w:r w:rsidR="002321D5">
        <w:instrText xml:space="preserve">" </w:instrText>
      </w:r>
      <w:r w:rsidR="001858B5">
        <w:rPr>
          <w:rFonts w:cs="Times New Roman"/>
        </w:rPr>
        <w:fldChar w:fldCharType="end"/>
      </w:r>
      <w:r w:rsidRPr="00124B71">
        <w:rPr>
          <w:rFonts w:cs="Times New Roman"/>
        </w:rPr>
        <w:t xml:space="preserve">, are (or were) headquartered in Irvine. Most subprime lenders have processing offices in Irvine due to the large number of trained personnel living in the area. Irvine’s New Century Financial, formerly the </w:t>
      </w:r>
      <w:r w:rsidR="00D22856">
        <w:rPr>
          <w:rFonts w:cs="Times New Roman"/>
        </w:rPr>
        <w:t>second</w:t>
      </w:r>
      <w:r w:rsidRPr="00124B71">
        <w:rPr>
          <w:rFonts w:cs="Times New Roman"/>
        </w:rPr>
        <w:t xml:space="preserve"> largest subprime operator, is heralded as the poster child of the bubble. The company name “New Century” implies a new era and a new paradigm. It embodies the fallacious beliefs and ideas that inflated the Great Housing Bubble.</w:t>
      </w:r>
    </w:p>
    <w:p w14:paraId="71E020E7" w14:textId="77777777" w:rsidR="00F75D17" w:rsidRPr="00124B71" w:rsidRDefault="00500949">
      <w:pPr>
        <w:rPr>
          <w:rFonts w:cs="Times New Roman"/>
        </w:rPr>
      </w:pPr>
      <w:r w:rsidRPr="00124B71">
        <w:rPr>
          <w:rFonts w:cs="Times New Roman"/>
        </w:rPr>
        <w:t>V</w:t>
      </w:r>
      <w:r w:rsidR="00F75D17" w:rsidRPr="00124B71">
        <w:rPr>
          <w:rFonts w:cs="Times New Roman"/>
        </w:rPr>
        <w:t>olatility in real estate prices is not new to California. During the 1970’s, real estate prices detached from typical valuations of three-times yearly income seen in the rest of the country. Once residents realized they could push up prices in their real estate markets to dizzying heights, they have been doing it ever since. Greed springs eternal. The Great Housing Bubble is the third such bubble in the last 30 years</w:t>
      </w:r>
      <w:r w:rsidR="0011165A" w:rsidRPr="00124B71">
        <w:rPr>
          <w:rFonts w:cs="Times New Roman"/>
        </w:rPr>
        <w:t>, and it is the largest of all</w:t>
      </w:r>
      <w:r w:rsidR="00F75D17" w:rsidRPr="00124B71">
        <w:rPr>
          <w:rFonts w:cs="Times New Roman"/>
        </w:rPr>
        <w:t xml:space="preserve">. </w:t>
      </w:r>
      <w:r w:rsidR="0011165A" w:rsidRPr="00124B71">
        <w:rPr>
          <w:rFonts w:cs="Times New Roman"/>
        </w:rPr>
        <w:t xml:space="preserve">The detachment from traditional measures of valuation was so extreme that it is difficult for many to comprehend. </w:t>
      </w:r>
      <w:r w:rsidR="00F75D17" w:rsidRPr="00124B71">
        <w:rPr>
          <w:rFonts w:cs="Times New Roman"/>
        </w:rPr>
        <w:t>Each time</w:t>
      </w:r>
      <w:r w:rsidR="0011165A" w:rsidRPr="00124B71">
        <w:rPr>
          <w:rFonts w:cs="Times New Roman"/>
        </w:rPr>
        <w:t xml:space="preserve"> the bubble bursts,</w:t>
      </w:r>
      <w:r w:rsidR="00F75D17" w:rsidRPr="00124B71">
        <w:rPr>
          <w:rFonts w:cs="Times New Roman"/>
        </w:rPr>
        <w:t xml:space="preserve"> the crash is incorrectly blamed on some outside force, and each time the rally is thought to be different than the rally in previous cycles</w:t>
      </w:r>
      <w:r w:rsidR="0011165A" w:rsidRPr="00124B71">
        <w:rPr>
          <w:rFonts w:cs="Times New Roman"/>
        </w:rPr>
        <w:t>.</w:t>
      </w:r>
      <w:r w:rsidR="00F75D17" w:rsidRPr="00124B71">
        <w:rPr>
          <w:rFonts w:cs="Times New Roman"/>
        </w:rPr>
        <w:t xml:space="preserve"> </w:t>
      </w:r>
      <w:r w:rsidR="0011165A" w:rsidRPr="00124B71">
        <w:rPr>
          <w:rFonts w:cs="Times New Roman"/>
        </w:rPr>
        <w:t>I</w:t>
      </w:r>
      <w:r w:rsidR="00F75D17" w:rsidRPr="00124B71">
        <w:rPr>
          <w:rFonts w:cs="Times New Roman"/>
        </w:rPr>
        <w:t xml:space="preserve">t never is.  </w:t>
      </w:r>
    </w:p>
    <w:p w14:paraId="3E5B2E63" w14:textId="77777777" w:rsidR="005825BB" w:rsidRPr="00124B71" w:rsidRDefault="005825BB" w:rsidP="005825BB">
      <w:pPr>
        <w:ind w:firstLine="0"/>
        <w:rPr>
          <w:rFonts w:cs="Times New Roman"/>
        </w:rPr>
        <w:sectPr w:rsidR="005825BB" w:rsidRPr="00124B71" w:rsidSect="009729DE">
          <w:headerReference w:type="even" r:id="rId23"/>
          <w:headerReference w:type="default" r:id="rId24"/>
          <w:endnotePr>
            <w:numFmt w:val="decimal"/>
          </w:endnotePr>
          <w:type w:val="oddPage"/>
          <w:pgSz w:w="8640" w:h="12960" w:code="173"/>
          <w:pgMar w:top="1008" w:right="936" w:bottom="1080" w:left="936" w:header="504" w:footer="504" w:gutter="0"/>
          <w:pgNumType w:fmt="lowerRoman"/>
          <w:cols w:space="720"/>
          <w:titlePg/>
          <w:docGrid w:linePitch="360"/>
        </w:sectPr>
      </w:pPr>
    </w:p>
    <w:p w14:paraId="4B0F582B" w14:textId="77777777" w:rsidR="00F57534" w:rsidRPr="00EF0EDA" w:rsidRDefault="00F57534" w:rsidP="00C409D3">
      <w:pPr>
        <w:pStyle w:val="Heading1"/>
      </w:pPr>
      <w:bookmarkStart w:id="8" w:name="_Toc238867264"/>
      <w:r w:rsidRPr="00EF0EDA">
        <w:lastRenderedPageBreak/>
        <w:t>What is a Bubble?</w:t>
      </w:r>
      <w:bookmarkEnd w:id="8"/>
    </w:p>
    <w:p w14:paraId="26B6390C" w14:textId="77777777" w:rsidR="00F57534" w:rsidRPr="00124B71" w:rsidRDefault="00F57534" w:rsidP="00F57534">
      <w:pPr>
        <w:rPr>
          <w:rFonts w:cs="Times New Roman"/>
        </w:rPr>
      </w:pPr>
      <w:r w:rsidRPr="00124B71">
        <w:rPr>
          <w:rFonts w:cs="Times New Roman"/>
        </w:rPr>
        <w:t>A financial bubble</w:t>
      </w:r>
      <w:r w:rsidR="001858B5">
        <w:rPr>
          <w:rFonts w:cs="Times New Roman"/>
        </w:rPr>
        <w:fldChar w:fldCharType="begin"/>
      </w:r>
      <w:r w:rsidR="002321D5">
        <w:instrText xml:space="preserve"> XE "</w:instrText>
      </w:r>
      <w:r w:rsidR="002321D5" w:rsidRPr="005E11A5">
        <w:rPr>
          <w:rFonts w:cs="Times New Roman"/>
        </w:rPr>
        <w:instrText>financial bubble</w:instrText>
      </w:r>
      <w:r w:rsidR="002321D5">
        <w:instrText xml:space="preserve">" </w:instrText>
      </w:r>
      <w:r w:rsidR="001858B5">
        <w:rPr>
          <w:rFonts w:cs="Times New Roman"/>
        </w:rPr>
        <w:fldChar w:fldCharType="end"/>
      </w:r>
      <w:r w:rsidRPr="00124B71">
        <w:rPr>
          <w:rFonts w:cs="Times New Roman"/>
        </w:rPr>
        <w:t xml:space="preserve"> is a temporary situation where asset prices become elevated beyond any realistic fundamental valuations because the general public believes </w:t>
      </w:r>
      <w:r w:rsidR="008D0A0A" w:rsidRPr="00124B71">
        <w:rPr>
          <w:rFonts w:cs="Times New Roman"/>
        </w:rPr>
        <w:t xml:space="preserve">current pricing is justified by probable </w:t>
      </w:r>
      <w:r w:rsidRPr="00124B71">
        <w:rPr>
          <w:rFonts w:cs="Times New Roman"/>
        </w:rPr>
        <w:t>future price increases. If this belief is widespread enough to cause significant numbers of people to purchase the asset at inflated prices, then prices will continue to rise.</w:t>
      </w:r>
      <w:r w:rsidR="006074CA" w:rsidRPr="00124B71">
        <w:rPr>
          <w:rFonts w:cs="Times New Roman"/>
        </w:rPr>
        <w:t xml:space="preserve"> This will convince even more people</w:t>
      </w:r>
      <w:r w:rsidR="008D0A0A" w:rsidRPr="00124B71">
        <w:rPr>
          <w:rFonts w:cs="Times New Roman"/>
        </w:rPr>
        <w:t xml:space="preserve"> that</w:t>
      </w:r>
      <w:r w:rsidR="006074CA" w:rsidRPr="00124B71">
        <w:rPr>
          <w:rFonts w:cs="Times New Roman"/>
        </w:rPr>
        <w:t xml:space="preserve"> prices will continue to rise</w:t>
      </w:r>
      <w:r w:rsidR="00CD70D9" w:rsidRPr="00124B71">
        <w:rPr>
          <w:rFonts w:cs="Times New Roman"/>
        </w:rPr>
        <w:t>.</w:t>
      </w:r>
      <w:r w:rsidR="008D0A0A" w:rsidRPr="00124B71">
        <w:rPr>
          <w:rFonts w:cs="Times New Roman"/>
        </w:rPr>
        <w:t xml:space="preserve"> This</w:t>
      </w:r>
      <w:r w:rsidR="006074CA" w:rsidRPr="00124B71">
        <w:rPr>
          <w:rFonts w:cs="Times New Roman"/>
        </w:rPr>
        <w:t xml:space="preserve"> facilitat</w:t>
      </w:r>
      <w:r w:rsidR="008D0A0A" w:rsidRPr="00124B71">
        <w:rPr>
          <w:rFonts w:cs="Times New Roman"/>
        </w:rPr>
        <w:t>es</w:t>
      </w:r>
      <w:r w:rsidR="006074CA" w:rsidRPr="00124B71">
        <w:rPr>
          <w:rFonts w:cs="Times New Roman"/>
        </w:rPr>
        <w:t xml:space="preserve"> even more buying. Once </w:t>
      </w:r>
      <w:r w:rsidR="008D0A0A" w:rsidRPr="00124B71">
        <w:rPr>
          <w:rFonts w:cs="Times New Roman"/>
        </w:rPr>
        <w:t>initiated</w:t>
      </w:r>
      <w:r w:rsidR="006074CA" w:rsidRPr="00124B71">
        <w:rPr>
          <w:rFonts w:cs="Times New Roman"/>
        </w:rPr>
        <w:t>, this reaction is self-sustaining, and</w:t>
      </w:r>
      <w:r w:rsidRPr="00124B71">
        <w:rPr>
          <w:rFonts w:cs="Times New Roman"/>
        </w:rPr>
        <w:t xml:space="preserve"> </w:t>
      </w:r>
      <w:r w:rsidR="006074CA" w:rsidRPr="00124B71">
        <w:rPr>
          <w:rFonts w:cs="Times New Roman"/>
        </w:rPr>
        <w:t>t</w:t>
      </w:r>
      <w:r w:rsidRPr="00124B71">
        <w:rPr>
          <w:rFonts w:cs="Times New Roman"/>
        </w:rPr>
        <w:t>h</w:t>
      </w:r>
      <w:r w:rsidR="006074CA" w:rsidRPr="00124B71">
        <w:rPr>
          <w:rFonts w:cs="Times New Roman"/>
        </w:rPr>
        <w:t>e</w:t>
      </w:r>
      <w:r w:rsidRPr="00124B71">
        <w:rPr>
          <w:rFonts w:cs="Times New Roman"/>
        </w:rPr>
        <w:t xml:space="preserve"> phenomenon is entirely psychological. </w:t>
      </w:r>
      <w:r w:rsidR="00F95C80" w:rsidRPr="00124B71">
        <w:rPr>
          <w:rFonts w:cs="Times New Roman"/>
        </w:rPr>
        <w:t>When</w:t>
      </w:r>
      <w:r w:rsidRPr="00124B71">
        <w:rPr>
          <w:rFonts w:cs="Times New Roman"/>
        </w:rPr>
        <w:t xml:space="preserve"> the pool of buyers is exhausted and the volume of buying declines, prices stop rising</w:t>
      </w:r>
      <w:r w:rsidR="008D0A0A" w:rsidRPr="00124B71">
        <w:rPr>
          <w:rFonts w:cs="Times New Roman"/>
        </w:rPr>
        <w:t>;</w:t>
      </w:r>
      <w:r w:rsidRPr="00124B71">
        <w:rPr>
          <w:rFonts w:cs="Times New Roman"/>
        </w:rPr>
        <w:t xml:space="preserve"> the belief in future price increases diminishes. When the remaining potential buyers no longer believe in future price increases, the primary motivating factor</w:t>
      </w:r>
      <w:r w:rsidR="000F68A3" w:rsidRPr="00124B71">
        <w:rPr>
          <w:rFonts w:cs="Times New Roman"/>
        </w:rPr>
        <w:t xml:space="preserve"> to purchase is eliminated; </w:t>
      </w:r>
      <w:r w:rsidR="00C22CE8" w:rsidRPr="00124B71">
        <w:rPr>
          <w:rFonts w:cs="Times New Roman"/>
        </w:rPr>
        <w:t>p</w:t>
      </w:r>
      <w:r w:rsidR="000F68A3" w:rsidRPr="00124B71">
        <w:rPr>
          <w:rFonts w:cs="Times New Roman"/>
        </w:rPr>
        <w:t>rices fall. The temporary rise and fall of asset prices is the defining characteristic of a bubble.</w:t>
      </w:r>
    </w:p>
    <w:p w14:paraId="37B74984" w14:textId="77777777" w:rsidR="000F68A3" w:rsidRPr="00124B71" w:rsidRDefault="000F68A3" w:rsidP="00F57534">
      <w:pPr>
        <w:rPr>
          <w:rFonts w:cs="Times New Roman"/>
        </w:rPr>
      </w:pPr>
      <w:r w:rsidRPr="00124B71">
        <w:rPr>
          <w:rFonts w:cs="Times New Roman"/>
        </w:rPr>
        <w:t>The bubble mentality is summed up in three typical beliefs:</w:t>
      </w:r>
    </w:p>
    <w:p w14:paraId="0D8C23B9" w14:textId="77777777" w:rsidR="000F68A3" w:rsidRPr="00EF0EDA" w:rsidRDefault="000F68A3" w:rsidP="000F68A3">
      <w:pPr>
        <w:pStyle w:val="ListParagraph"/>
        <w:numPr>
          <w:ilvl w:val="0"/>
          <w:numId w:val="30"/>
        </w:numPr>
      </w:pPr>
      <w:r w:rsidRPr="00EF0EDA">
        <w:t>The expectation of future price increases.</w:t>
      </w:r>
    </w:p>
    <w:p w14:paraId="544330B8" w14:textId="77777777" w:rsidR="000F68A3" w:rsidRPr="00EF0EDA" w:rsidRDefault="000F68A3" w:rsidP="000F68A3">
      <w:pPr>
        <w:pStyle w:val="ListParagraph"/>
        <w:numPr>
          <w:ilvl w:val="0"/>
          <w:numId w:val="30"/>
        </w:numPr>
      </w:pPr>
      <w:r w:rsidRPr="00EF0EDA">
        <w:t>The belief that prices cannot fall.</w:t>
      </w:r>
    </w:p>
    <w:p w14:paraId="30B0EBBF" w14:textId="77777777" w:rsidR="000F68A3" w:rsidRPr="00EF0EDA" w:rsidRDefault="000F68A3" w:rsidP="000F68A3">
      <w:pPr>
        <w:pStyle w:val="ListParagraph"/>
        <w:numPr>
          <w:ilvl w:val="0"/>
          <w:numId w:val="30"/>
        </w:numPr>
      </w:pPr>
      <w:r w:rsidRPr="00EF0EDA">
        <w:t>The worry that failure to buy</w:t>
      </w:r>
      <w:r w:rsidR="002C3917" w:rsidRPr="00EF0EDA">
        <w:t xml:space="preserve"> now</w:t>
      </w:r>
      <w:r w:rsidRPr="00EF0EDA">
        <w:t xml:space="preserve"> will result in permanent inability to obtain the asset.</w:t>
      </w:r>
    </w:p>
    <w:p w14:paraId="0E50BD41" w14:textId="77777777" w:rsidR="000F68A3" w:rsidRPr="00124B71" w:rsidRDefault="000F68A3" w:rsidP="000F68A3">
      <w:pPr>
        <w:rPr>
          <w:rFonts w:cs="Times New Roman"/>
        </w:rPr>
      </w:pPr>
      <w:r w:rsidRPr="00124B71">
        <w:rPr>
          <w:rFonts w:cs="Times New Roman"/>
        </w:rPr>
        <w:t>The Great Housing Bubble was characterized by the acceptance of these beliefs by the general public, and the exploitation of these beliefs by the entire real estate industrial complex, particularly the sales mechanism of the National Association of Realtors</w:t>
      </w:r>
      <w:r w:rsidR="001858B5">
        <w:rPr>
          <w:rFonts w:cs="Times New Roman"/>
        </w:rPr>
        <w:fldChar w:fldCharType="begin"/>
      </w:r>
      <w:r w:rsidR="002321D5">
        <w:instrText xml:space="preserve"> XE "</w:instrText>
      </w:r>
      <w:r w:rsidR="002321D5" w:rsidRPr="00D5186C">
        <w:rPr>
          <w:rFonts w:cs="Times New Roman"/>
        </w:rPr>
        <w:instrText>National Association of Realtors</w:instrText>
      </w:r>
      <w:r w:rsidR="002321D5">
        <w:instrText xml:space="preserve">" </w:instrText>
      </w:r>
      <w:r w:rsidR="001858B5">
        <w:rPr>
          <w:rFonts w:cs="Times New Roman"/>
        </w:rPr>
        <w:fldChar w:fldCharType="end"/>
      </w:r>
      <w:r w:rsidRPr="00124B71">
        <w:rPr>
          <w:rFonts w:cs="Times New Roman"/>
        </w:rPr>
        <w:t>.</w:t>
      </w:r>
    </w:p>
    <w:p w14:paraId="4A79294D" w14:textId="77777777" w:rsidR="00DB40DA" w:rsidRPr="00124B71" w:rsidRDefault="00F95C80" w:rsidP="000F68A3">
      <w:pPr>
        <w:rPr>
          <w:rFonts w:cs="Times New Roman"/>
        </w:rPr>
      </w:pPr>
      <w:r w:rsidRPr="00124B71">
        <w:rPr>
          <w:rFonts w:cs="Times New Roman"/>
        </w:rPr>
        <w:t>S</w:t>
      </w:r>
      <w:r w:rsidR="00DB40DA" w:rsidRPr="00124B71">
        <w:rPr>
          <w:rFonts w:cs="Times New Roman"/>
        </w:rPr>
        <w:t>pe</w:t>
      </w:r>
      <w:r w:rsidRPr="00124B71">
        <w:rPr>
          <w:rFonts w:cs="Times New Roman"/>
        </w:rPr>
        <w:t xml:space="preserve">culative bubbles are caused by </w:t>
      </w:r>
      <w:r w:rsidR="00DB40DA" w:rsidRPr="00124B71">
        <w:rPr>
          <w:rFonts w:cs="Times New Roman"/>
        </w:rPr>
        <w:t>precipitating factors.</w:t>
      </w:r>
      <w:r w:rsidR="00E4385D" w:rsidRPr="00124B71">
        <w:rPr>
          <w:rStyle w:val="EndnoteReference"/>
          <w:rFonts w:cs="Times New Roman"/>
        </w:rPr>
        <w:endnoteReference w:id="5"/>
      </w:r>
      <w:r w:rsidRPr="00124B71">
        <w:rPr>
          <w:rFonts w:cs="Times New Roman"/>
        </w:rPr>
        <w:t xml:space="preserve"> </w:t>
      </w:r>
      <w:r w:rsidR="00DB40DA" w:rsidRPr="00124B71">
        <w:rPr>
          <w:rFonts w:cs="Times New Roman"/>
        </w:rPr>
        <w:t>Like a spark ignit</w:t>
      </w:r>
      <w:r w:rsidR="008D0A0A" w:rsidRPr="00124B71">
        <w:rPr>
          <w:rFonts w:cs="Times New Roman"/>
        </w:rPr>
        <w:t>ing</w:t>
      </w:r>
      <w:r w:rsidR="00DB40DA" w:rsidRPr="00124B71">
        <w:rPr>
          <w:rFonts w:cs="Times New Roman"/>
        </w:rPr>
        <w:t xml:space="preserve"> a flame, a precipitating factor</w:t>
      </w:r>
      <w:r w:rsidR="001858B5">
        <w:rPr>
          <w:rFonts w:cs="Times New Roman"/>
        </w:rPr>
        <w:fldChar w:fldCharType="begin"/>
      </w:r>
      <w:r w:rsidR="002321D5">
        <w:instrText xml:space="preserve"> XE "</w:instrText>
      </w:r>
      <w:r w:rsidR="002321D5" w:rsidRPr="00787AAA">
        <w:rPr>
          <w:rFonts w:cs="Times New Roman"/>
        </w:rPr>
        <w:instrText>precipitating factor</w:instrText>
      </w:r>
      <w:r w:rsidR="002321D5">
        <w:instrText xml:space="preserve">" </w:instrText>
      </w:r>
      <w:r w:rsidR="001858B5">
        <w:rPr>
          <w:rFonts w:cs="Times New Roman"/>
        </w:rPr>
        <w:fldChar w:fldCharType="end"/>
      </w:r>
      <w:r w:rsidR="00DB40DA" w:rsidRPr="00124B71">
        <w:rPr>
          <w:rFonts w:cs="Times New Roman"/>
        </w:rPr>
        <w:t xml:space="preserve"> serves as a catalyst to begin the initial price increases that change the psychology of market participants and activate</w:t>
      </w:r>
      <w:r w:rsidR="008C3BDC" w:rsidRPr="00124B71">
        <w:rPr>
          <w:rFonts w:cs="Times New Roman"/>
        </w:rPr>
        <w:t>s</w:t>
      </w:r>
      <w:r w:rsidR="00DB40DA" w:rsidRPr="00124B71">
        <w:rPr>
          <w:rFonts w:cs="Times New Roman"/>
        </w:rPr>
        <w:t xml:space="preserve"> the beliefs listed above. </w:t>
      </w:r>
      <w:r w:rsidR="00F936A9" w:rsidRPr="00124B71">
        <w:rPr>
          <w:rFonts w:cs="Times New Roman"/>
        </w:rPr>
        <w:t>There is usually no single factor but rather a combination of factors that stimulates prices to begin a speculative mania</w:t>
      </w:r>
      <w:r w:rsidR="001858B5">
        <w:rPr>
          <w:rFonts w:cs="Times New Roman"/>
        </w:rPr>
        <w:fldChar w:fldCharType="begin"/>
      </w:r>
      <w:r w:rsidR="00FA2AEF">
        <w:instrText xml:space="preserve"> XE "</w:instrText>
      </w:r>
      <w:r w:rsidR="00FA2AEF" w:rsidRPr="009244C7">
        <w:rPr>
          <w:rFonts w:cs="Times New Roman"/>
        </w:rPr>
        <w:instrText>speculative mania</w:instrText>
      </w:r>
      <w:r w:rsidR="00FA2AEF">
        <w:instrText xml:space="preserve">" </w:instrText>
      </w:r>
      <w:r w:rsidR="001858B5">
        <w:rPr>
          <w:rFonts w:cs="Times New Roman"/>
        </w:rPr>
        <w:fldChar w:fldCharType="end"/>
      </w:r>
      <w:r w:rsidR="00F936A9" w:rsidRPr="00124B71">
        <w:rPr>
          <w:rFonts w:cs="Times New Roman"/>
        </w:rPr>
        <w:t xml:space="preserve">. The Great Housing Bubble was </w:t>
      </w:r>
      <w:r w:rsidR="006655A7" w:rsidRPr="00124B71">
        <w:rPr>
          <w:rFonts w:cs="Times New Roman"/>
        </w:rPr>
        <w:t>precipitated by innovation in structured finance</w:t>
      </w:r>
      <w:r w:rsidR="001858B5">
        <w:rPr>
          <w:rFonts w:cs="Times New Roman"/>
        </w:rPr>
        <w:fldChar w:fldCharType="begin"/>
      </w:r>
      <w:r w:rsidR="003247C5">
        <w:instrText xml:space="preserve"> XE "</w:instrText>
      </w:r>
      <w:r w:rsidR="003247C5" w:rsidRPr="009F3643">
        <w:rPr>
          <w:rFonts w:cs="Times New Roman"/>
        </w:rPr>
        <w:instrText>structured finance</w:instrText>
      </w:r>
      <w:r w:rsidR="003247C5">
        <w:instrText xml:space="preserve">" </w:instrText>
      </w:r>
      <w:r w:rsidR="001858B5">
        <w:rPr>
          <w:rFonts w:cs="Times New Roman"/>
        </w:rPr>
        <w:fldChar w:fldCharType="end"/>
      </w:r>
      <w:r w:rsidR="006655A7" w:rsidRPr="00124B71">
        <w:rPr>
          <w:rFonts w:cs="Times New Roman"/>
        </w:rPr>
        <w:t xml:space="preserve"> and the expansion of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006655A7" w:rsidRPr="00124B71">
        <w:rPr>
          <w:rFonts w:cs="Times New Roman"/>
        </w:rPr>
        <w:t xml:space="preserve">, the lowering of lending standards and the growth of subprime lending, and to a lesser degree the lowering of </w:t>
      </w:r>
      <w:r w:rsidR="006655A7" w:rsidRPr="00124B71">
        <w:rPr>
          <w:rFonts w:cs="Times New Roman"/>
        </w:rPr>
        <w:lastRenderedPageBreak/>
        <w:t>the F</w:t>
      </w:r>
      <w:r w:rsidR="00847408">
        <w:rPr>
          <w:rFonts w:cs="Times New Roman"/>
        </w:rPr>
        <w:t>ederal</w:t>
      </w:r>
      <w:r w:rsidR="001858B5">
        <w:rPr>
          <w:rFonts w:cs="Times New Roman"/>
        </w:rPr>
        <w:fldChar w:fldCharType="begin"/>
      </w:r>
      <w:r w:rsidR="005E6B29">
        <w:instrText xml:space="preserve"> XE "</w:instrText>
      </w:r>
      <w:r w:rsidR="005E6B29" w:rsidRPr="00A95B0B">
        <w:rPr>
          <w:rFonts w:cs="Times New Roman"/>
        </w:rPr>
        <w:instrText>FED</w:instrText>
      </w:r>
      <w:r w:rsidR="005E6B29">
        <w:instrText xml:space="preserve">" </w:instrText>
      </w:r>
      <w:r w:rsidR="001858B5">
        <w:rPr>
          <w:rFonts w:cs="Times New Roman"/>
        </w:rPr>
        <w:fldChar w:fldCharType="end"/>
      </w:r>
      <w:r w:rsidR="006655A7" w:rsidRPr="00124B71">
        <w:rPr>
          <w:rFonts w:cs="Times New Roman"/>
        </w:rPr>
        <w:t xml:space="preserve"> </w:t>
      </w:r>
      <w:r w:rsidR="00847408">
        <w:rPr>
          <w:rFonts w:cs="Times New Roman"/>
        </w:rPr>
        <w:t>F</w:t>
      </w:r>
      <w:r w:rsidR="006655A7" w:rsidRPr="00124B71">
        <w:rPr>
          <w:rFonts w:cs="Times New Roman"/>
        </w:rPr>
        <w:t xml:space="preserve">unds </w:t>
      </w:r>
      <w:r w:rsidR="00847408">
        <w:rPr>
          <w:rFonts w:cs="Times New Roman"/>
        </w:rPr>
        <w:t>R</w:t>
      </w:r>
      <w:r w:rsidR="006655A7" w:rsidRPr="00124B71">
        <w:rPr>
          <w:rFonts w:cs="Times New Roman"/>
        </w:rPr>
        <w:t xml:space="preserve">ate. All of these causes </w:t>
      </w:r>
      <w:r w:rsidR="00AF138A" w:rsidRPr="00124B71">
        <w:rPr>
          <w:rFonts w:cs="Times New Roman"/>
        </w:rPr>
        <w:t>are</w:t>
      </w:r>
      <w:r w:rsidR="006655A7" w:rsidRPr="00124B71">
        <w:rPr>
          <w:rFonts w:cs="Times New Roman"/>
        </w:rPr>
        <w:t xml:space="preserve"> discussed in detail in later sections.</w:t>
      </w:r>
    </w:p>
    <w:p w14:paraId="25323BC7" w14:textId="77777777" w:rsidR="000F68A3" w:rsidRPr="00EF0EDA" w:rsidRDefault="000F68A3" w:rsidP="000F68A3">
      <w:pPr>
        <w:pStyle w:val="Heading2"/>
      </w:pPr>
      <w:bookmarkStart w:id="9" w:name="_Toc238867265"/>
      <w:r w:rsidRPr="00EF0EDA">
        <w:t>Real Estate Only Goes Up</w:t>
      </w:r>
      <w:bookmarkEnd w:id="9"/>
    </w:p>
    <w:p w14:paraId="132BFBBD" w14:textId="77777777" w:rsidR="000F68A3" w:rsidRPr="00124B71" w:rsidRDefault="000F68A3" w:rsidP="000F68A3">
      <w:pPr>
        <w:rPr>
          <w:rFonts w:cs="Times New Roman"/>
        </w:rPr>
      </w:pPr>
      <w:r w:rsidRPr="00124B71">
        <w:rPr>
          <w:rFonts w:cs="Times New Roman"/>
        </w:rPr>
        <w:t>The mantra of the National Association of Realtors</w:t>
      </w:r>
      <w:r w:rsidR="001858B5">
        <w:rPr>
          <w:rFonts w:cs="Times New Roman"/>
        </w:rPr>
        <w:fldChar w:fldCharType="begin"/>
      </w:r>
      <w:r w:rsidR="002321D5">
        <w:instrText xml:space="preserve"> XE "</w:instrText>
      </w:r>
      <w:r w:rsidR="002321D5" w:rsidRPr="00D5186C">
        <w:rPr>
          <w:rFonts w:cs="Times New Roman"/>
        </w:rPr>
        <w:instrText>National Association of Realtors</w:instrText>
      </w:r>
      <w:r w:rsidR="002321D5">
        <w:instrText xml:space="preserve">" </w:instrText>
      </w:r>
      <w:r w:rsidR="001858B5">
        <w:rPr>
          <w:rFonts w:cs="Times New Roman"/>
        </w:rPr>
        <w:fldChar w:fldCharType="end"/>
      </w:r>
      <w:r w:rsidRPr="00124B71">
        <w:rPr>
          <w:rFonts w:cs="Times New Roman"/>
        </w:rPr>
        <w:t xml:space="preserve"> is “real estate only goes up.” This </w:t>
      </w:r>
      <w:r w:rsidR="002C3917" w:rsidRPr="00124B71">
        <w:rPr>
          <w:rFonts w:cs="Times New Roman"/>
        </w:rPr>
        <w:t>economic fallacy</w:t>
      </w:r>
      <w:r w:rsidRPr="00124B71">
        <w:rPr>
          <w:rFonts w:cs="Times New Roman"/>
        </w:rPr>
        <w:t xml:space="preserve"> fosters the belief in future price increases and</w:t>
      </w:r>
      <w:r w:rsidR="00F06565" w:rsidRPr="00124B71">
        <w:rPr>
          <w:rFonts w:cs="Times New Roman"/>
        </w:rPr>
        <w:t xml:space="preserve"> the limited risk of buying real estate. In general real estate prices do increase because salaries across the country do tend to increase with the general level of inflation, and it is through wages that people make payments for real estate assets.</w:t>
      </w:r>
      <w:r w:rsidR="00331A22" w:rsidRPr="00124B71">
        <w:rPr>
          <w:rStyle w:val="EndnoteReference"/>
          <w:rFonts w:cs="Times New Roman"/>
        </w:rPr>
        <w:t xml:space="preserve"> </w:t>
      </w:r>
      <w:r w:rsidR="00331A22" w:rsidRPr="00124B71">
        <w:rPr>
          <w:rStyle w:val="EndnoteReference"/>
          <w:rFonts w:cs="Times New Roman"/>
        </w:rPr>
        <w:endnoteReference w:id="6"/>
      </w:r>
      <w:r w:rsidR="00F06565" w:rsidRPr="00124B71">
        <w:rPr>
          <w:rFonts w:cs="Times New Roman"/>
        </w:rPr>
        <w:t xml:space="preserve"> When the economy is strong and unemployment</w:t>
      </w:r>
      <w:r w:rsidR="001858B5">
        <w:rPr>
          <w:rFonts w:cs="Times New Roman"/>
        </w:rPr>
        <w:fldChar w:fldCharType="begin"/>
      </w:r>
      <w:r w:rsidR="00FB4BC9">
        <w:instrText xml:space="preserve"> XE "</w:instrText>
      </w:r>
      <w:r w:rsidR="00FB4BC9" w:rsidRPr="00E7306C">
        <w:rPr>
          <w:rFonts w:cs="Times New Roman"/>
        </w:rPr>
        <w:instrText>unemployment</w:instrText>
      </w:r>
      <w:r w:rsidR="00FB4BC9">
        <w:instrText xml:space="preserve">" </w:instrText>
      </w:r>
      <w:r w:rsidR="001858B5">
        <w:rPr>
          <w:rFonts w:cs="Times New Roman"/>
        </w:rPr>
        <w:fldChar w:fldCharType="end"/>
      </w:r>
      <w:r w:rsidR="00F06565" w:rsidRPr="00124B71">
        <w:rPr>
          <w:rFonts w:cs="Times New Roman"/>
        </w:rPr>
        <w:t xml:space="preserve"> is low, prices for residential real estate tend to rise. Therefore, the fundamental valuation of real estate does go up most of the time. However, prices can, and often do, rise faster than the fundamental valuation of real estate, and it is in these instances when there is a price bubble.</w:t>
      </w:r>
    </w:p>
    <w:p w14:paraId="19654F37" w14:textId="77777777" w:rsidR="00A849A0" w:rsidRPr="00124B71" w:rsidRDefault="00A849A0" w:rsidP="000F68A3">
      <w:pPr>
        <w:rPr>
          <w:rFonts w:cs="Times New Roman"/>
        </w:rPr>
      </w:pPr>
      <w:r w:rsidRPr="00124B71">
        <w:rPr>
          <w:rFonts w:cs="Times New Roman"/>
        </w:rPr>
        <w:t>Greed is a powerful motivating factor for the purchase of assets. It is a natural response for people to desire to make money by doing nothing more than owning an asset</w:t>
      </w:r>
      <w:r w:rsidR="00331A22" w:rsidRPr="00124B71">
        <w:rPr>
          <w:rFonts w:cs="Times New Roman"/>
        </w:rPr>
        <w:t>.</w:t>
      </w:r>
      <w:r w:rsidR="00641404" w:rsidRPr="00124B71">
        <w:rPr>
          <w:rFonts w:cs="Times New Roman"/>
        </w:rPr>
        <w:t xml:space="preserve"> </w:t>
      </w:r>
      <w:r w:rsidR="00CA1759" w:rsidRPr="00124B71">
        <w:rPr>
          <w:rStyle w:val="EndnoteReference"/>
          <w:rFonts w:cs="Times New Roman"/>
        </w:rPr>
        <w:endnoteReference w:id="7"/>
      </w:r>
      <w:r w:rsidRPr="00124B71">
        <w:rPr>
          <w:rFonts w:cs="Times New Roman"/>
        </w:rPr>
        <w:t xml:space="preserve"> The only counterbalance to greed is fear. However, if a potential buyer believes the asset cannot decline in value, or if it does, it will only be by a small amount for a very short period of time, there is little fear generated to temper their greed</w:t>
      </w:r>
      <w:r w:rsidR="00331A22" w:rsidRPr="00124B71">
        <w:rPr>
          <w:rFonts w:cs="Times New Roman"/>
        </w:rPr>
        <w:t>.</w:t>
      </w:r>
      <w:r w:rsidR="00641404" w:rsidRPr="00124B71">
        <w:rPr>
          <w:rFonts w:cs="Times New Roman"/>
        </w:rPr>
        <w:t xml:space="preserve"> </w:t>
      </w:r>
      <w:r w:rsidR="00DA22BB" w:rsidRPr="00124B71">
        <w:rPr>
          <w:rStyle w:val="EndnoteReference"/>
          <w:rFonts w:cs="Times New Roman"/>
        </w:rPr>
        <w:endnoteReference w:id="8"/>
      </w:r>
      <w:r w:rsidRPr="00124B71">
        <w:rPr>
          <w:rFonts w:cs="Times New Roman"/>
        </w:rPr>
        <w:t xml:space="preserve"> The belief that real estate only goes up has the effect of activating greed and diminishing fear. It is the perfect mantra for creating a price bubble</w:t>
      </w:r>
      <w:r w:rsidR="00331A22" w:rsidRPr="00124B71">
        <w:rPr>
          <w:rFonts w:cs="Times New Roman"/>
        </w:rPr>
        <w:t>.</w:t>
      </w:r>
      <w:r w:rsidR="00641404" w:rsidRPr="00124B71">
        <w:rPr>
          <w:rFonts w:cs="Times New Roman"/>
        </w:rPr>
        <w:t xml:space="preserve"> </w:t>
      </w:r>
      <w:r w:rsidR="009B3278" w:rsidRPr="00124B71">
        <w:rPr>
          <w:rStyle w:val="EndnoteReference"/>
          <w:rFonts w:cs="Times New Roman"/>
        </w:rPr>
        <w:endnoteReference w:id="9"/>
      </w:r>
    </w:p>
    <w:p w14:paraId="5E9CA461" w14:textId="77777777" w:rsidR="000F68A3" w:rsidRPr="00EF0EDA" w:rsidRDefault="000F68A3" w:rsidP="000F68A3">
      <w:pPr>
        <w:pStyle w:val="Heading2"/>
      </w:pPr>
      <w:bookmarkStart w:id="10" w:name="_Toc238867266"/>
      <w:r w:rsidRPr="00EF0EDA">
        <w:t>Buy Now or Be Priced Out Forever</w:t>
      </w:r>
      <w:bookmarkEnd w:id="10"/>
    </w:p>
    <w:p w14:paraId="3A5B0E4E" w14:textId="77777777" w:rsidR="00233E14" w:rsidRPr="00124B71" w:rsidRDefault="00F06565" w:rsidP="00F06565">
      <w:pPr>
        <w:rPr>
          <w:rFonts w:cs="Times New Roman"/>
        </w:rPr>
      </w:pPr>
      <w:r w:rsidRPr="00124B71">
        <w:rPr>
          <w:rFonts w:cs="Times New Roman"/>
        </w:rPr>
        <w:t>When prices rise faster than their wages, people can obtain less real estate with their income. The natural fear under these circumstances is to buy whatever is available before there is nothing desirable available in a particular price range. This fear of being priced out causes even more buying which drives prices higher. It becomes a self-fulfilling prophecy. Of course, the National Association of Realtors</w:t>
      </w:r>
      <w:r w:rsidR="001858B5">
        <w:rPr>
          <w:rFonts w:cs="Times New Roman"/>
        </w:rPr>
        <w:fldChar w:fldCharType="begin"/>
      </w:r>
      <w:r w:rsidR="002321D5">
        <w:instrText xml:space="preserve"> XE "</w:instrText>
      </w:r>
      <w:r w:rsidR="002321D5" w:rsidRPr="00D5186C">
        <w:rPr>
          <w:rFonts w:cs="Times New Roman"/>
        </w:rPr>
        <w:instrText>National Association of Realtors</w:instrText>
      </w:r>
      <w:r w:rsidR="002321D5">
        <w:instrText xml:space="preserve">" </w:instrText>
      </w:r>
      <w:r w:rsidR="001858B5">
        <w:rPr>
          <w:rFonts w:cs="Times New Roman"/>
        </w:rPr>
        <w:fldChar w:fldCharType="end"/>
      </w:r>
      <w:r w:rsidRPr="00124B71">
        <w:rPr>
          <w:rFonts w:cs="Times New Roman"/>
        </w:rPr>
        <w:t>, the agents of sellers, is keen to exploit this fear to increase transaction volume and increase their own incomes.</w:t>
      </w:r>
      <w:r w:rsidR="00A849A0" w:rsidRPr="00124B71">
        <w:rPr>
          <w:rFonts w:cs="Times New Roman"/>
        </w:rPr>
        <w:t xml:space="preserve"> If empirical evidence of the recent past is confirming the idea that real estate only goes up, the fear of being priced out forever provides added impetus and urgency to the motivation to buy. </w:t>
      </w:r>
    </w:p>
    <w:p w14:paraId="5240A3D8" w14:textId="77777777" w:rsidR="00856FDD" w:rsidRPr="00124B71" w:rsidRDefault="000D7C01" w:rsidP="00F06565">
      <w:pPr>
        <w:rPr>
          <w:rFonts w:cs="Times New Roman"/>
        </w:rPr>
      </w:pPr>
      <w:r w:rsidRPr="00124B71">
        <w:rPr>
          <w:rFonts w:cs="Times New Roman"/>
        </w:rPr>
        <w:t>Just before the stock market crash signaling the beginning of the Great Depression</w:t>
      </w:r>
      <w:r w:rsidR="001858B5">
        <w:rPr>
          <w:rFonts w:cs="Times New Roman"/>
        </w:rPr>
        <w:fldChar w:fldCharType="begin"/>
      </w:r>
      <w:r w:rsidR="002321D5">
        <w:instrText xml:space="preserve"> XE "</w:instrText>
      </w:r>
      <w:r w:rsidR="002321D5" w:rsidRPr="00FE6E68">
        <w:rPr>
          <w:rFonts w:cs="Times New Roman"/>
        </w:rPr>
        <w:instrText>Great Depression</w:instrText>
      </w:r>
      <w:r w:rsidR="002321D5">
        <w:instrText xml:space="preserve">" </w:instrText>
      </w:r>
      <w:r w:rsidR="001858B5">
        <w:rPr>
          <w:rFonts w:cs="Times New Roman"/>
        </w:rPr>
        <w:fldChar w:fldCharType="end"/>
      </w:r>
      <w:r w:rsidRPr="00124B71">
        <w:rPr>
          <w:rFonts w:cs="Times New Roman"/>
        </w:rPr>
        <w:t>, Irving Fisher</w:t>
      </w:r>
      <w:r w:rsidR="001858B5">
        <w:rPr>
          <w:rFonts w:cs="Times New Roman"/>
        </w:rPr>
        <w:fldChar w:fldCharType="begin"/>
      </w:r>
      <w:r w:rsidR="002321D5">
        <w:instrText xml:space="preserve"> XE "</w:instrText>
      </w:r>
      <w:r w:rsidR="002321D5" w:rsidRPr="00660E58">
        <w:rPr>
          <w:rFonts w:cs="Times New Roman"/>
        </w:rPr>
        <w:instrText>Irving Fisher</w:instrText>
      </w:r>
      <w:r w:rsidR="002321D5">
        <w:instrText xml:space="preserve">" </w:instrText>
      </w:r>
      <w:r w:rsidR="001858B5">
        <w:rPr>
          <w:rFonts w:cs="Times New Roman"/>
        </w:rPr>
        <w:fldChar w:fldCharType="end"/>
      </w:r>
      <w:r w:rsidRPr="00124B71">
        <w:rPr>
          <w:rFonts w:cs="Times New Roman"/>
        </w:rPr>
        <w:t>, a noted economist at the time, was quoted as saying “</w:t>
      </w:r>
      <w:r w:rsidRPr="00124B71">
        <w:rPr>
          <w:rFonts w:cs="Times New Roman"/>
          <w:iCs/>
        </w:rPr>
        <w:t>Stock prices have reached what looks like a permanently high plateau.</w:t>
      </w:r>
      <w:r w:rsidR="008D0A0A" w:rsidRPr="00124B71">
        <w:rPr>
          <w:rFonts w:cs="Times New Roman"/>
          <w:iCs/>
        </w:rPr>
        <w:t>”</w:t>
      </w:r>
      <w:r w:rsidR="00331A22" w:rsidRPr="00124B71">
        <w:rPr>
          <w:rFonts w:cs="Times New Roman"/>
          <w:iCs/>
        </w:rPr>
        <w:t xml:space="preserve"> </w:t>
      </w:r>
      <w:r w:rsidR="00EF0EDA" w:rsidRPr="00124B71">
        <w:rPr>
          <w:rStyle w:val="EndnoteReference"/>
          <w:rFonts w:cs="Times New Roman"/>
          <w:iCs/>
        </w:rPr>
        <w:endnoteReference w:id="10"/>
      </w:r>
      <w:r w:rsidRPr="00124B71">
        <w:rPr>
          <w:rFonts w:cs="Times New Roman"/>
          <w:iCs/>
        </w:rPr>
        <w:t xml:space="preserve"> Of course, stock prices dropped significantly after he made this statement.</w:t>
      </w:r>
      <w:r w:rsidR="008D0A0A" w:rsidRPr="00124B71">
        <w:rPr>
          <w:rFonts w:cs="Times New Roman"/>
          <w:iCs/>
        </w:rPr>
        <w:t xml:space="preserve"> T</w:t>
      </w:r>
      <w:r w:rsidR="00041D11" w:rsidRPr="00124B71">
        <w:rPr>
          <w:rFonts w:cs="Times New Roman"/>
          <w:iCs/>
        </w:rPr>
        <w:t>his sentiment is based on the idea that inflated prices can stay inflated indefinitely. However, when valuations cannot be pushed up any higher, prices cannot rise at a fast rate. In residential real estate markets</w:t>
      </w:r>
      <w:r w:rsidR="008D0A0A" w:rsidRPr="00124B71">
        <w:rPr>
          <w:rFonts w:cs="Times New Roman"/>
          <w:iCs/>
        </w:rPr>
        <w:t>,</w:t>
      </w:r>
      <w:r w:rsidR="00041D11" w:rsidRPr="00124B71">
        <w:rPr>
          <w:rFonts w:cs="Times New Roman"/>
          <w:iCs/>
        </w:rPr>
        <w:t xml:space="preserve"> the rate of price increase would only match inflation</w:t>
      </w:r>
      <w:r w:rsidR="00856FDD" w:rsidRPr="00124B71">
        <w:rPr>
          <w:rFonts w:cs="Times New Roman"/>
          <w:iCs/>
        </w:rPr>
        <w:t xml:space="preserve"> because wages and inflation are closely correlated</w:t>
      </w:r>
      <w:r w:rsidR="00041D11" w:rsidRPr="00124B71">
        <w:rPr>
          <w:rFonts w:cs="Times New Roman"/>
          <w:iCs/>
        </w:rPr>
        <w:t xml:space="preserve">. If the rate of price increase does not exceed ordinary investments, people lose their enthusiasm for </w:t>
      </w:r>
      <w:r w:rsidR="00EF0EDA" w:rsidRPr="00124B71">
        <w:rPr>
          <w:rFonts w:cs="Times New Roman"/>
          <w:iCs/>
        </w:rPr>
        <w:t>residential real estate as an</w:t>
      </w:r>
      <w:r w:rsidR="00041D11" w:rsidRPr="00124B71">
        <w:rPr>
          <w:rFonts w:cs="Times New Roman"/>
          <w:iCs/>
        </w:rPr>
        <w:t xml:space="preserve"> investment, and they begin to look </w:t>
      </w:r>
      <w:r w:rsidR="00041D11" w:rsidRPr="00124B71">
        <w:rPr>
          <w:rFonts w:cs="Times New Roman"/>
          <w:iCs/>
        </w:rPr>
        <w:lastRenderedPageBreak/>
        <w:t xml:space="preserve">for alternatives: </w:t>
      </w:r>
      <w:r w:rsidR="00233E14" w:rsidRPr="00124B71">
        <w:rPr>
          <w:rFonts w:cs="Times New Roman"/>
        </w:rPr>
        <w:t xml:space="preserve"> people choose to rent rather than own. </w:t>
      </w:r>
      <w:r w:rsidR="00856FDD" w:rsidRPr="00124B71">
        <w:rPr>
          <w:rFonts w:cs="Times New Roman"/>
        </w:rPr>
        <w:t>Also, w</w:t>
      </w:r>
      <w:r w:rsidR="00041D11" w:rsidRPr="00124B71">
        <w:rPr>
          <w:rFonts w:cs="Times New Roman"/>
        </w:rPr>
        <w:t>hen the quality of units available for rent at a given monthly payment far exceeds the quality of those available for sale at the same monthly payment level, people cho</w:t>
      </w:r>
      <w:r w:rsidR="008D0A0A" w:rsidRPr="00124B71">
        <w:rPr>
          <w:rFonts w:cs="Times New Roman"/>
        </w:rPr>
        <w:t>o</w:t>
      </w:r>
      <w:r w:rsidR="00041D11" w:rsidRPr="00124B71">
        <w:rPr>
          <w:rFonts w:cs="Times New Roman"/>
        </w:rPr>
        <w:t xml:space="preserve">se not to bid on the property and </w:t>
      </w:r>
      <w:r w:rsidR="008D0A0A" w:rsidRPr="00124B71">
        <w:rPr>
          <w:rFonts w:cs="Times New Roman"/>
        </w:rPr>
        <w:t>they</w:t>
      </w:r>
      <w:r w:rsidR="00041D11" w:rsidRPr="00124B71">
        <w:rPr>
          <w:rFonts w:cs="Times New Roman"/>
        </w:rPr>
        <w:t xml:space="preserve"> rent instead. One sign of a housing bubble is a wide disparity between the quality of rentals and the quality of for-sale houses at a given price point. People choosing to rent </w:t>
      </w:r>
      <w:r w:rsidR="00A40CA5" w:rsidRPr="00124B71">
        <w:rPr>
          <w:rFonts w:cs="Times New Roman"/>
        </w:rPr>
        <w:t>curtails</w:t>
      </w:r>
      <w:r w:rsidR="00041D11" w:rsidRPr="00124B71">
        <w:rPr>
          <w:rFonts w:cs="Times New Roman"/>
        </w:rPr>
        <w:t xml:space="preserve"> the rapid rise in prices and thereby lowers the demand for real estate. This puts downward pressure on prices, which eliminates the primary motivation speculators had for purchasing the asset.</w:t>
      </w:r>
      <w:r w:rsidR="00856FDD" w:rsidRPr="00124B71">
        <w:rPr>
          <w:rFonts w:cs="Times New Roman"/>
        </w:rPr>
        <w:t xml:space="preserve">  Greed created the condition of rapidly rising prices which in turn </w:t>
      </w:r>
      <w:r w:rsidR="00C22CE8" w:rsidRPr="00124B71">
        <w:rPr>
          <w:rFonts w:cs="Times New Roman"/>
        </w:rPr>
        <w:t>spawns</w:t>
      </w:r>
      <w:r w:rsidR="00856FDD" w:rsidRPr="00124B71">
        <w:rPr>
          <w:rFonts w:cs="Times New Roman"/>
        </w:rPr>
        <w:t xml:space="preserve"> the fear of being priced out. When greed ceases to motivate buyers, prices fall. </w:t>
      </w:r>
    </w:p>
    <w:p w14:paraId="14DA89AF" w14:textId="77777777" w:rsidR="00041D11" w:rsidRPr="00124B71" w:rsidRDefault="00856FDD" w:rsidP="00F06565">
      <w:pPr>
        <w:rPr>
          <w:rFonts w:cs="Times New Roman"/>
        </w:rPr>
      </w:pPr>
      <w:r w:rsidRPr="00124B71">
        <w:rPr>
          <w:rFonts w:cs="Times New Roman"/>
        </w:rPr>
        <w:t xml:space="preserve">Once prices begin to fall, the fear </w:t>
      </w:r>
      <w:r w:rsidR="00C717E1" w:rsidRPr="00124B71">
        <w:rPr>
          <w:rFonts w:cs="Times New Roman"/>
        </w:rPr>
        <w:t>of b</w:t>
      </w:r>
      <w:r w:rsidRPr="00124B71">
        <w:rPr>
          <w:rFonts w:cs="Times New Roman"/>
        </w:rPr>
        <w:t>eing priced “out” forever</w:t>
      </w:r>
      <w:r w:rsidR="00C717E1" w:rsidRPr="00124B71">
        <w:rPr>
          <w:rFonts w:cs="Times New Roman"/>
        </w:rPr>
        <w:t xml:space="preserve"> changes</w:t>
      </w:r>
      <w:r w:rsidRPr="00124B71">
        <w:rPr>
          <w:rFonts w:cs="Times New Roman"/>
        </w:rPr>
        <w:t xml:space="preserve"> to</w:t>
      </w:r>
      <w:r w:rsidR="00C717E1" w:rsidRPr="00124B71">
        <w:rPr>
          <w:rFonts w:cs="Times New Roman"/>
        </w:rPr>
        <w:t xml:space="preserve"> a fear of</w:t>
      </w:r>
      <w:r w:rsidRPr="00124B71">
        <w:rPr>
          <w:rFonts w:cs="Times New Roman"/>
        </w:rPr>
        <w:t xml:space="preserve"> being priced “in” forever. A buyer who overpaid and over-borrowed will be in a circumstance where they owe more on their mortgage than the property is worth on the open market. They cannot sell because they cannot pay off the mortgage. They become trapped in their home</w:t>
      </w:r>
      <w:r w:rsidR="00C22CE8" w:rsidRPr="00124B71">
        <w:rPr>
          <w:rFonts w:cs="Times New Roman"/>
        </w:rPr>
        <w:t>s</w:t>
      </w:r>
      <w:r w:rsidRPr="00124B71">
        <w:rPr>
          <w:rFonts w:cs="Times New Roman"/>
        </w:rPr>
        <w:t xml:space="preserve"> until prices increase enough to allow a </w:t>
      </w:r>
      <w:r w:rsidR="008D0A0A" w:rsidRPr="00124B71">
        <w:rPr>
          <w:rFonts w:cs="Times New Roman"/>
        </w:rPr>
        <w:t xml:space="preserve">breakeven </w:t>
      </w:r>
      <w:r w:rsidRPr="00124B71">
        <w:rPr>
          <w:rFonts w:cs="Times New Roman"/>
        </w:rPr>
        <w:t xml:space="preserve">sale. </w:t>
      </w:r>
      <w:r w:rsidR="00554CC6" w:rsidRPr="00124B71">
        <w:rPr>
          <w:rFonts w:cs="Times New Roman"/>
        </w:rPr>
        <w:t>This puts the conditions in place to reverse the cycle and cause</w:t>
      </w:r>
      <w:r w:rsidR="0001380E" w:rsidRPr="00124B71">
        <w:rPr>
          <w:rFonts w:cs="Times New Roman"/>
        </w:rPr>
        <w:t>s</w:t>
      </w:r>
      <w:r w:rsidR="00554CC6" w:rsidRPr="00124B71">
        <w:rPr>
          <w:rFonts w:cs="Times New Roman"/>
        </w:rPr>
        <w:t xml:space="preserve"> prices to drop precipitously.</w:t>
      </w:r>
    </w:p>
    <w:p w14:paraId="1EE0CDDA" w14:textId="77777777" w:rsidR="002C3917" w:rsidRPr="00EF0EDA" w:rsidRDefault="002C3917" w:rsidP="002C3917">
      <w:pPr>
        <w:pStyle w:val="Heading2"/>
      </w:pPr>
      <w:bookmarkStart w:id="11" w:name="_Toc238867267"/>
      <w:r w:rsidRPr="00EF0EDA">
        <w:t xml:space="preserve">Confirming </w:t>
      </w:r>
      <w:r w:rsidR="00164710" w:rsidRPr="00EF0EDA">
        <w:t>F</w:t>
      </w:r>
      <w:r w:rsidRPr="00EF0EDA">
        <w:t>allacies</w:t>
      </w:r>
      <w:bookmarkEnd w:id="11"/>
    </w:p>
    <w:p w14:paraId="3145DE6A" w14:textId="77777777" w:rsidR="002C3917" w:rsidRPr="00124B71" w:rsidRDefault="002C3917" w:rsidP="002C3917">
      <w:pPr>
        <w:rPr>
          <w:rFonts w:cs="Times New Roman"/>
        </w:rPr>
      </w:pPr>
      <w:r w:rsidRPr="00124B71">
        <w:rPr>
          <w:rFonts w:cs="Times New Roman"/>
        </w:rPr>
        <w:t xml:space="preserve">There are a number of fallacies </w:t>
      </w:r>
      <w:r w:rsidR="008D0A0A" w:rsidRPr="00124B71">
        <w:rPr>
          <w:rFonts w:cs="Times New Roman"/>
        </w:rPr>
        <w:t>about</w:t>
      </w:r>
      <w:r w:rsidRPr="00124B71">
        <w:rPr>
          <w:rFonts w:cs="Times New Roman"/>
        </w:rPr>
        <w:t xml:space="preserve"> residential real estate that either affirm the belief in perpetually rising prices or minimize the fears of a price decline. These fallacies generally revolve around a perceived shortage of housing or a belief that the higher prices are justified by current or future economic conditions.</w:t>
      </w:r>
      <w:r w:rsidR="006074CA" w:rsidRPr="00124B71">
        <w:rPr>
          <w:rFonts w:cs="Times New Roman"/>
        </w:rPr>
        <w:t xml:space="preserve"> These </w:t>
      </w:r>
      <w:r w:rsidR="008D0A0A" w:rsidRPr="00124B71">
        <w:rPr>
          <w:rFonts w:cs="Times New Roman"/>
        </w:rPr>
        <w:t>misperceptions</w:t>
      </w:r>
      <w:r w:rsidR="006074CA" w:rsidRPr="00124B71">
        <w:rPr>
          <w:rFonts w:cs="Times New Roman"/>
        </w:rPr>
        <w:t xml:space="preserve"> are not the core mechanism of an asset price bubble, but they serve to affirm the core beliefs and perpetuate the price rally.</w:t>
      </w:r>
    </w:p>
    <w:p w14:paraId="60726784" w14:textId="77777777" w:rsidR="002C3917" w:rsidRPr="00EF0EDA" w:rsidRDefault="002C3917" w:rsidP="002C3917">
      <w:pPr>
        <w:pStyle w:val="Heading3"/>
      </w:pPr>
      <w:bookmarkStart w:id="12" w:name="_Toc238867268"/>
      <w:r w:rsidRPr="00EF0EDA">
        <w:t>They Aren’t Making Any More Land</w:t>
      </w:r>
      <w:bookmarkEnd w:id="12"/>
    </w:p>
    <w:p w14:paraId="1FFA1915" w14:textId="77777777" w:rsidR="00271D13" w:rsidRPr="00124B71" w:rsidRDefault="00271D13" w:rsidP="00271D13">
      <w:pPr>
        <w:rPr>
          <w:rFonts w:cs="Times New Roman"/>
        </w:rPr>
      </w:pPr>
      <w:r w:rsidRPr="00124B71">
        <w:rPr>
          <w:rFonts w:cs="Times New Roman"/>
        </w:rPr>
        <w:t>All market pricing is a function of supply and demand</w:t>
      </w:r>
      <w:r w:rsidR="001858B5">
        <w:rPr>
          <w:rFonts w:cs="Times New Roman"/>
        </w:rPr>
        <w:fldChar w:fldCharType="begin"/>
      </w:r>
      <w:r w:rsidR="002321D5">
        <w:instrText xml:space="preserve"> XE "</w:instrText>
      </w:r>
      <w:r w:rsidR="002321D5" w:rsidRPr="00112EC2">
        <w:rPr>
          <w:rFonts w:cs="Times New Roman"/>
        </w:rPr>
        <w:instrText>supply and demand</w:instrText>
      </w:r>
      <w:r w:rsidR="002321D5">
        <w:instrText xml:space="preserve">" </w:instrText>
      </w:r>
      <w:r w:rsidR="001858B5">
        <w:rPr>
          <w:rFonts w:cs="Times New Roman"/>
        </w:rPr>
        <w:fldChar w:fldCharType="end"/>
      </w:r>
      <w:r w:rsidRPr="00124B71">
        <w:rPr>
          <w:rFonts w:cs="Times New Roman"/>
        </w:rPr>
        <w:t>. One of the reasons many house price bubbles get started is due to a temporary shortage of housing units</w:t>
      </w:r>
      <w:r w:rsidR="00331A22" w:rsidRPr="00124B71">
        <w:rPr>
          <w:rFonts w:cs="Times New Roman"/>
        </w:rPr>
        <w:t>.</w:t>
      </w:r>
      <w:r w:rsidR="00641404" w:rsidRPr="00124B71">
        <w:rPr>
          <w:rFonts w:cs="Times New Roman"/>
        </w:rPr>
        <w:t xml:space="preserve"> </w:t>
      </w:r>
      <w:r w:rsidR="009B3278" w:rsidRPr="00124B71">
        <w:rPr>
          <w:rStyle w:val="EndnoteReference"/>
          <w:rFonts w:cs="Times New Roman"/>
        </w:rPr>
        <w:endnoteReference w:id="11"/>
      </w:r>
      <w:r w:rsidRPr="00124B71">
        <w:rPr>
          <w:rFonts w:cs="Times New Roman"/>
        </w:rPr>
        <w:t xml:space="preserve"> This is a particular problem in California because the entitlement process</w:t>
      </w:r>
      <w:r w:rsidR="001858B5">
        <w:rPr>
          <w:rFonts w:cs="Times New Roman"/>
        </w:rPr>
        <w:fldChar w:fldCharType="begin"/>
      </w:r>
      <w:r w:rsidR="002321D5">
        <w:instrText xml:space="preserve"> XE "</w:instrText>
      </w:r>
      <w:r w:rsidR="002321D5" w:rsidRPr="00D5024D">
        <w:rPr>
          <w:rFonts w:cs="Times New Roman"/>
        </w:rPr>
        <w:instrText>entitlement process</w:instrText>
      </w:r>
      <w:r w:rsidR="002321D5">
        <w:instrText xml:space="preserve">" </w:instrText>
      </w:r>
      <w:r w:rsidR="001858B5">
        <w:rPr>
          <w:rFonts w:cs="Times New Roman"/>
        </w:rPr>
        <w:fldChar w:fldCharType="end"/>
      </w:r>
      <w:r w:rsidRPr="00124B71">
        <w:rPr>
          <w:rFonts w:cs="Times New Roman"/>
        </w:rPr>
        <w:t xml:space="preserve"> is slow and cumbersome</w:t>
      </w:r>
      <w:r w:rsidR="00331A22" w:rsidRPr="00124B71">
        <w:rPr>
          <w:rFonts w:cs="Times New Roman"/>
        </w:rPr>
        <w:t>.</w:t>
      </w:r>
      <w:r w:rsidR="00641404" w:rsidRPr="00124B71">
        <w:rPr>
          <w:rFonts w:cs="Times New Roman"/>
        </w:rPr>
        <w:t xml:space="preserve"> </w:t>
      </w:r>
      <w:r w:rsidR="002B6101" w:rsidRPr="00124B71">
        <w:rPr>
          <w:rStyle w:val="EndnoteReference"/>
          <w:rFonts w:cs="Times New Roman"/>
        </w:rPr>
        <w:endnoteReference w:id="12"/>
      </w:r>
      <w:r w:rsidRPr="00124B71">
        <w:rPr>
          <w:rFonts w:cs="Times New Roman"/>
        </w:rPr>
        <w:t xml:space="preserve"> Supply shortages can become acute, and prices can rise very quickly. In most areas of the country, when prices rise, new supply is quickly brought to the market to meet this demand, and price increases are blunted by the rebalancing of supply and demand. Since supply is slow to the market in California, these temporary shortages can create the conditions necessary to facilitate a price bubble.</w:t>
      </w:r>
    </w:p>
    <w:p w14:paraId="58A10435" w14:textId="77777777" w:rsidR="00271D13" w:rsidRPr="00124B71" w:rsidRDefault="00271D13" w:rsidP="00271D13">
      <w:pPr>
        <w:rPr>
          <w:rFonts w:cs="Times New Roman"/>
        </w:rPr>
      </w:pPr>
      <w:r w:rsidRPr="00124B71">
        <w:rPr>
          <w:rFonts w:cs="Times New Roman"/>
        </w:rPr>
        <w:t xml:space="preserve">The fallacy of </w:t>
      </w:r>
      <w:r w:rsidR="00233E14" w:rsidRPr="00124B71">
        <w:rPr>
          <w:rFonts w:cs="Times New Roman"/>
        </w:rPr>
        <w:t xml:space="preserve">running-out-of-land </w:t>
      </w:r>
      <w:r w:rsidRPr="00124B71">
        <w:rPr>
          <w:rFonts w:cs="Times New Roman"/>
        </w:rPr>
        <w:t xml:space="preserve">plays on this temporary condition to convince market participants that the shortage is permanent. The idea that all land for residential development can be consumed ignores one obvious fact: people </w:t>
      </w:r>
      <w:r w:rsidR="002F1ED3" w:rsidRPr="00124B71">
        <w:rPr>
          <w:rFonts w:cs="Times New Roman"/>
        </w:rPr>
        <w:t>do not</w:t>
      </w:r>
      <w:r w:rsidRPr="00124B71">
        <w:rPr>
          <w:rFonts w:cs="Times New Roman"/>
        </w:rPr>
        <w:t xml:space="preserve"> live on land, they live in houses, and land can always be redeveloped to increase the number of housing units.</w:t>
      </w:r>
      <w:r w:rsidR="00161307" w:rsidRPr="00124B71">
        <w:rPr>
          <w:rFonts w:cs="Times New Roman"/>
        </w:rPr>
        <w:t xml:space="preserve"> Basically, builders can build “up” even if they can’t build “out.”</w:t>
      </w:r>
      <w:r w:rsidRPr="00124B71">
        <w:rPr>
          <w:rFonts w:cs="Times New Roman"/>
        </w:rPr>
        <w:t xml:space="preserve"> If running-out-of-land were actually a cause of a permanent shortage of housing units, Japan and many European countries</w:t>
      </w:r>
      <w:r w:rsidR="00233E14" w:rsidRPr="00124B71">
        <w:rPr>
          <w:rFonts w:cs="Times New Roman"/>
        </w:rPr>
        <w:t xml:space="preserve"> </w:t>
      </w:r>
      <w:r w:rsidR="00233E14" w:rsidRPr="00124B71">
        <w:rPr>
          <w:rFonts w:cs="Times New Roman"/>
        </w:rPr>
        <w:lastRenderedPageBreak/>
        <w:t>where there is very little raw land available for development</w:t>
      </w:r>
      <w:r w:rsidRPr="00124B71">
        <w:rPr>
          <w:rFonts w:cs="Times New Roman"/>
        </w:rPr>
        <w:t xml:space="preserve"> would have housing prices beyond the reach of the entire population</w:t>
      </w:r>
      <w:r w:rsidR="00161307" w:rsidRPr="00124B71">
        <w:rPr>
          <w:rFonts w:cs="Times New Roman"/>
        </w:rPr>
        <w:t xml:space="preserve"> (Japan tried it once, and their real estate market experienced a 64% decline over a 15 year period until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00161307" w:rsidRPr="00124B71">
        <w:rPr>
          <w:rFonts w:cs="Times New Roman"/>
        </w:rPr>
        <w:t xml:space="preserve"> returned</w:t>
      </w:r>
      <w:r w:rsidR="00A40CA5" w:rsidRPr="00124B71">
        <w:rPr>
          <w:rFonts w:cs="Times New Roman"/>
        </w:rPr>
        <w:t>).</w:t>
      </w:r>
      <w:r w:rsidR="00641404" w:rsidRPr="00124B71">
        <w:rPr>
          <w:rFonts w:cs="Times New Roman"/>
        </w:rPr>
        <w:t xml:space="preserve"> </w:t>
      </w:r>
      <w:r w:rsidR="00905C03" w:rsidRPr="00124B71">
        <w:rPr>
          <w:rStyle w:val="EndnoteReference"/>
          <w:rFonts w:cs="Times New Roman"/>
        </w:rPr>
        <w:endnoteReference w:id="13"/>
      </w:r>
      <w:r w:rsidR="00233E14" w:rsidRPr="00124B71">
        <w:rPr>
          <w:rFonts w:cs="Times New Roman"/>
        </w:rPr>
        <w:t xml:space="preserve"> Since </w:t>
      </w:r>
      <w:r w:rsidR="00161307" w:rsidRPr="00124B71">
        <w:rPr>
          <w:rFonts w:cs="Times New Roman"/>
        </w:rPr>
        <w:t>prices cannot remain permanently elevated</w:t>
      </w:r>
      <w:r w:rsidR="00233E14" w:rsidRPr="00124B71">
        <w:rPr>
          <w:rFonts w:cs="Times New Roman"/>
        </w:rPr>
        <w:t>, it becomes obvious that the amount of land available for development does not create a permanent shortage of dwelling units.</w:t>
      </w:r>
    </w:p>
    <w:p w14:paraId="342B4D55" w14:textId="77777777" w:rsidR="00233E14" w:rsidRPr="00124B71" w:rsidRDefault="00233E14" w:rsidP="00271D13">
      <w:pPr>
        <w:rPr>
          <w:rFonts w:cs="Times New Roman"/>
        </w:rPr>
      </w:pPr>
      <w:r w:rsidRPr="00124B71">
        <w:rPr>
          <w:rFonts w:cs="Times New Roman"/>
        </w:rPr>
        <w:t>Over the long term, rent, income and house prices</w:t>
      </w:r>
      <w:r w:rsidR="00352DF4" w:rsidRPr="00124B71">
        <w:rPr>
          <w:rFonts w:cs="Times New Roman"/>
        </w:rPr>
        <w:t xml:space="preserve"> must</w:t>
      </w:r>
      <w:r w:rsidRPr="00124B71">
        <w:rPr>
          <w:rFonts w:cs="Times New Roman"/>
        </w:rPr>
        <w:t xml:space="preserve"> come into balance. If rents and house prices become very high relative to incomes, businesses find it difficult to expand</w:t>
      </w:r>
      <w:r w:rsidR="00352DF4" w:rsidRPr="00124B71">
        <w:rPr>
          <w:rFonts w:cs="Times New Roman"/>
        </w:rPr>
        <w:t xml:space="preserve"> because they cannot attract personnel to the area. In this circumstance</w:t>
      </w:r>
      <w:r w:rsidR="008D0A0A" w:rsidRPr="00124B71">
        <w:rPr>
          <w:rFonts w:cs="Times New Roman"/>
        </w:rPr>
        <w:t>,</w:t>
      </w:r>
      <w:r w:rsidR="00352DF4" w:rsidRPr="00124B71">
        <w:rPr>
          <w:rFonts w:cs="Times New Roman"/>
        </w:rPr>
        <w:t xml:space="preserve"> one of two things will happen: businesses will be forced to raise wages to attract new hires, or business will stagnate and rents and house prices will decline to match the prevailing wage levels</w:t>
      </w:r>
      <w:r w:rsidR="00331A22" w:rsidRPr="00124B71">
        <w:rPr>
          <w:rFonts w:cs="Times New Roman"/>
        </w:rPr>
        <w:t>.</w:t>
      </w:r>
      <w:r w:rsidR="00641404" w:rsidRPr="00124B71">
        <w:rPr>
          <w:rFonts w:cs="Times New Roman"/>
        </w:rPr>
        <w:t xml:space="preserve"> </w:t>
      </w:r>
      <w:r w:rsidR="00A330C9" w:rsidRPr="00124B71">
        <w:rPr>
          <w:rStyle w:val="EndnoteReference"/>
          <w:rFonts w:cs="Times New Roman"/>
        </w:rPr>
        <w:endnoteReference w:id="14"/>
      </w:r>
      <w:r w:rsidR="00352DF4" w:rsidRPr="00124B71">
        <w:rPr>
          <w:rFonts w:cs="Times New Roman"/>
        </w:rPr>
        <w:t xml:space="preserve"> During the Great Housing Bubble, many businesses in the most inflated markets experienced this phenomenon.</w:t>
      </w:r>
      <w:r w:rsidR="00046666" w:rsidRPr="00124B71">
        <w:rPr>
          <w:rFonts w:cs="Times New Roman"/>
        </w:rPr>
        <w:t xml:space="preserve"> </w:t>
      </w:r>
      <w:r w:rsidR="00E027A0" w:rsidRPr="00124B71">
        <w:rPr>
          <w:rFonts w:cs="Times New Roman"/>
        </w:rPr>
        <w:t>The effect is either a dramatic slowing of population growth or net outmigration of population to other areas.</w:t>
      </w:r>
    </w:p>
    <w:p w14:paraId="7C4274D1" w14:textId="77777777" w:rsidR="002C3917" w:rsidRPr="00EF0EDA" w:rsidRDefault="002C3917" w:rsidP="002C3917">
      <w:pPr>
        <w:pStyle w:val="Heading3"/>
      </w:pPr>
      <w:bookmarkStart w:id="13" w:name="_Toc238867269"/>
      <w:r w:rsidRPr="00EF0EDA">
        <w:t>Everyone Wants To Live Here</w:t>
      </w:r>
      <w:bookmarkEnd w:id="13"/>
      <w:r w:rsidRPr="00EF0EDA">
        <w:t xml:space="preserve"> </w:t>
      </w:r>
    </w:p>
    <w:p w14:paraId="1C8865F2" w14:textId="77777777" w:rsidR="00352DF4" w:rsidRPr="00124B71" w:rsidRDefault="00352DF4" w:rsidP="00352DF4">
      <w:pPr>
        <w:rPr>
          <w:rFonts w:cs="Times New Roman"/>
        </w:rPr>
      </w:pPr>
      <w:r w:rsidRPr="00124B71">
        <w:rPr>
          <w:rFonts w:cs="Times New Roman"/>
        </w:rPr>
        <w:t>Everyone believes they live in a very desirable location</w:t>
      </w:r>
      <w:r w:rsidR="00C22CE8" w:rsidRPr="00124B71">
        <w:rPr>
          <w:rFonts w:cs="Times New Roman"/>
        </w:rPr>
        <w:t>;</w:t>
      </w:r>
      <w:r w:rsidRPr="00124B71">
        <w:rPr>
          <w:rFonts w:cs="Times New Roman"/>
        </w:rPr>
        <w:t xml:space="preserve"> after all, they choose to live there. People who make this argument fail to understand that the place they live was just as desirable before the bubble when prices were much lower</w:t>
      </w:r>
      <w:r w:rsidR="00437B20" w:rsidRPr="00124B71">
        <w:rPr>
          <w:rFonts w:cs="Times New Roman"/>
        </w:rPr>
        <w:t>, in fact, probably more so</w:t>
      </w:r>
      <w:r w:rsidRPr="00124B71">
        <w:rPr>
          <w:rFonts w:cs="Times New Roman"/>
        </w:rPr>
        <w:t xml:space="preserve">. What is it about their area that made it two or more times as desirable during the bubble? Of course, nothing did, but that </w:t>
      </w:r>
      <w:r w:rsidR="00161565" w:rsidRPr="00124B71">
        <w:rPr>
          <w:rFonts w:cs="Times New Roman"/>
        </w:rPr>
        <w:t>does not</w:t>
      </w:r>
      <w:r w:rsidRPr="00124B71">
        <w:rPr>
          <w:rFonts w:cs="Times New Roman"/>
        </w:rPr>
        <w:t xml:space="preserve"> stop people from making the argument</w:t>
      </w:r>
      <w:r w:rsidR="00331A22" w:rsidRPr="00124B71">
        <w:rPr>
          <w:rFonts w:cs="Times New Roman"/>
        </w:rPr>
        <w:t>.</w:t>
      </w:r>
      <w:r w:rsidR="00641404" w:rsidRPr="00124B71">
        <w:rPr>
          <w:rFonts w:cs="Times New Roman"/>
        </w:rPr>
        <w:t xml:space="preserve"> </w:t>
      </w:r>
      <w:r w:rsidR="00DA22BB" w:rsidRPr="00124B71">
        <w:rPr>
          <w:rStyle w:val="EndnoteReference"/>
          <w:rFonts w:cs="Times New Roman"/>
        </w:rPr>
        <w:endnoteReference w:id="15"/>
      </w:r>
      <w:r w:rsidRPr="00124B71">
        <w:rPr>
          <w:rFonts w:cs="Times New Roman"/>
        </w:rPr>
        <w:t xml:space="preserve"> There is a certain emotional appeal to believing the place you chose to call home is so desirable that people were willing to pay ridiculous prices to live there. The reality is prices went up because people desired to own an asset that was increasing in price. People motivated by increasing prices do not care where they live as long as prices</w:t>
      </w:r>
      <w:r w:rsidR="00046666" w:rsidRPr="00124B71">
        <w:rPr>
          <w:rFonts w:cs="Times New Roman"/>
        </w:rPr>
        <w:t xml:space="preserve"> there</w:t>
      </w:r>
      <w:r w:rsidRPr="00124B71">
        <w:rPr>
          <w:rFonts w:cs="Times New Roman"/>
        </w:rPr>
        <w:t xml:space="preserve"> are going up.</w:t>
      </w:r>
    </w:p>
    <w:p w14:paraId="37BBBDAC" w14:textId="77777777" w:rsidR="002C3917" w:rsidRPr="00EF0EDA" w:rsidRDefault="002C3917" w:rsidP="002C3917">
      <w:pPr>
        <w:pStyle w:val="Heading3"/>
      </w:pPr>
      <w:bookmarkStart w:id="14" w:name="_Toc238867270"/>
      <w:r w:rsidRPr="00EF0EDA">
        <w:t>Prices Are Supported By Fundamentals</w:t>
      </w:r>
      <w:bookmarkEnd w:id="14"/>
    </w:p>
    <w:p w14:paraId="38683146" w14:textId="77777777" w:rsidR="00E74D3F" w:rsidRPr="00124B71" w:rsidRDefault="00E74D3F" w:rsidP="00352DF4">
      <w:pPr>
        <w:rPr>
          <w:rFonts w:cs="Times New Roman"/>
        </w:rPr>
      </w:pPr>
      <w:r w:rsidRPr="00124B71">
        <w:rPr>
          <w:rFonts w:cs="Times New Roman"/>
        </w:rPr>
        <w:t>In every asset bubble people will claim the prices are supported by fundamentals even at the peak of the mania. Stock analysts were issuing buy recommendations on tech stocks</w:t>
      </w:r>
      <w:r w:rsidR="001858B5">
        <w:rPr>
          <w:rFonts w:cs="Times New Roman"/>
        </w:rPr>
        <w:fldChar w:fldCharType="begin"/>
      </w:r>
      <w:r w:rsidR="00FF74AC">
        <w:instrText xml:space="preserve"> XE "</w:instrText>
      </w:r>
      <w:r w:rsidR="00FF74AC" w:rsidRPr="00D753F0">
        <w:rPr>
          <w:rFonts w:cs="Times New Roman"/>
        </w:rPr>
        <w:instrText>stocks</w:instrText>
      </w:r>
      <w:r w:rsidR="00FF74AC">
        <w:instrText xml:space="preserve">" </w:instrText>
      </w:r>
      <w:r w:rsidR="001858B5">
        <w:rPr>
          <w:rFonts w:cs="Times New Roman"/>
        </w:rPr>
        <w:fldChar w:fldCharType="end"/>
      </w:r>
      <w:r w:rsidRPr="00124B71">
        <w:rPr>
          <w:rFonts w:cs="Times New Roman"/>
        </w:rPr>
        <w:t xml:space="preserve"> in March of 2000 when valuations were so extreme that the semiconductor index fell 85% over the next 3 years, and many tech companies</w:t>
      </w:r>
      <w:r w:rsidR="00046666" w:rsidRPr="00124B71">
        <w:rPr>
          <w:rFonts w:cs="Times New Roman"/>
        </w:rPr>
        <w:t xml:space="preserve"> saw their stock drop to zero as they</w:t>
      </w:r>
      <w:r w:rsidRPr="00124B71">
        <w:rPr>
          <w:rFonts w:cs="Times New Roman"/>
        </w:rPr>
        <w:t xml:space="preserve"> went out of business. Analysts even invented new valuation techniques to justify market prices. One of the most absurd was the “burn rate” valuation</w:t>
      </w:r>
      <w:r w:rsidR="001858B5">
        <w:rPr>
          <w:rFonts w:cs="Times New Roman"/>
        </w:rPr>
        <w:fldChar w:fldCharType="begin"/>
      </w:r>
      <w:r w:rsidR="002321D5">
        <w:instrText xml:space="preserve"> XE "</w:instrText>
      </w:r>
      <w:r w:rsidR="002321D5" w:rsidRPr="00D4435D">
        <w:rPr>
          <w:rFonts w:cs="Times New Roman"/>
        </w:rPr>
        <w:instrText>burn rate valuation</w:instrText>
      </w:r>
      <w:r w:rsidR="002321D5">
        <w:instrText xml:space="preserve">" </w:instrText>
      </w:r>
      <w:r w:rsidR="001858B5">
        <w:rPr>
          <w:rFonts w:cs="Times New Roman"/>
        </w:rPr>
        <w:fldChar w:fldCharType="end"/>
      </w:r>
      <w:r w:rsidRPr="00124B71">
        <w:rPr>
          <w:rFonts w:cs="Times New Roman"/>
        </w:rPr>
        <w:t xml:space="preserve"> method applied to internet stocks</w:t>
      </w:r>
      <w:r w:rsidR="00A40CA5" w:rsidRPr="00124B71">
        <w:rPr>
          <w:rFonts w:cs="Times New Roman"/>
        </w:rPr>
        <w:t>.</w:t>
      </w:r>
      <w:r w:rsidR="00641404" w:rsidRPr="00124B71">
        <w:rPr>
          <w:rFonts w:cs="Times New Roman"/>
        </w:rPr>
        <w:t xml:space="preserve"> </w:t>
      </w:r>
      <w:r w:rsidR="00A12EE2" w:rsidRPr="00124B71">
        <w:rPr>
          <w:rStyle w:val="EndnoteReference"/>
          <w:rFonts w:cs="Times New Roman"/>
        </w:rPr>
        <w:endnoteReference w:id="16"/>
      </w:r>
      <w:r w:rsidRPr="00124B71">
        <w:rPr>
          <w:rFonts w:cs="Times New Roman"/>
        </w:rPr>
        <w:t xml:space="preserve"> Rather than value a company based on its income, analysts were valuing the company based on how fast it was spending their investor’s money. When losing is winning, something is profoundly wrong with the arguments of fundamental support. The same nonsense becomes apparent in the housing market when one sees rental rates covering less than half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as was common during the peak of the bubble in severely inflated markets.</w:t>
      </w:r>
      <w:r w:rsidR="00046666" w:rsidRPr="00124B71">
        <w:rPr>
          <w:rFonts w:cs="Times New Roman"/>
        </w:rPr>
        <w:t xml:space="preserve"> Of course, since housing markets are dominated by amateurs, a robust price analysis is unnecessary</w:t>
      </w:r>
      <w:r w:rsidR="00331A22" w:rsidRPr="00124B71">
        <w:rPr>
          <w:rFonts w:cs="Times New Roman"/>
        </w:rPr>
        <w:t>.</w:t>
      </w:r>
      <w:r w:rsidR="00250F73" w:rsidRPr="00124B71">
        <w:rPr>
          <w:rFonts w:cs="Times New Roman"/>
        </w:rPr>
        <w:t xml:space="preserve"> </w:t>
      </w:r>
      <w:r w:rsidR="00DA22BB" w:rsidRPr="00124B71">
        <w:rPr>
          <w:rStyle w:val="EndnoteReference"/>
          <w:rFonts w:cs="Times New Roman"/>
        </w:rPr>
        <w:endnoteReference w:id="17"/>
      </w:r>
      <w:r w:rsidR="00046666" w:rsidRPr="00124B71">
        <w:rPr>
          <w:rFonts w:cs="Times New Roman"/>
        </w:rPr>
        <w:t xml:space="preserve"> Even a ridiculous analysis</w:t>
      </w:r>
      <w:r w:rsidR="004B6795" w:rsidRPr="00124B71">
        <w:rPr>
          <w:rFonts w:cs="Times New Roman"/>
        </w:rPr>
        <w:t>,</w:t>
      </w:r>
      <w:r w:rsidR="00437B20" w:rsidRPr="00124B71">
        <w:rPr>
          <w:rFonts w:cs="Times New Roman"/>
        </w:rPr>
        <w:t xml:space="preserve"> </w:t>
      </w:r>
      <w:r w:rsidR="00046666" w:rsidRPr="00124B71">
        <w:rPr>
          <w:rFonts w:cs="Times New Roman"/>
        </w:rPr>
        <w:t xml:space="preserve">if aggressively promoted </w:t>
      </w:r>
      <w:r w:rsidR="00046666" w:rsidRPr="00124B71">
        <w:rPr>
          <w:rFonts w:cs="Times New Roman"/>
        </w:rPr>
        <w:lastRenderedPageBreak/>
        <w:t>by the self-serving real estate community</w:t>
      </w:r>
      <w:r w:rsidR="004B6795" w:rsidRPr="00124B71">
        <w:rPr>
          <w:rFonts w:cs="Times New Roman"/>
        </w:rPr>
        <w:t>,</w:t>
      </w:r>
      <w:r w:rsidR="00046666" w:rsidRPr="00124B71">
        <w:rPr>
          <w:rFonts w:cs="Times New Roman"/>
        </w:rPr>
        <w:t xml:space="preserve"> provides enough emotional support to prompt the general public into buying. There is no real fundamental analysis done by the average homebuyer because so few understand the fundamental valuation of real property. Even simple concepts like comparative rental rates are ignored by bubble buyers, particularly when prices are rising dramatically and such valuation techniques look out-of-touch with the market.</w:t>
      </w:r>
    </w:p>
    <w:p w14:paraId="10371057" w14:textId="5870D64B" w:rsidR="006C1CD9" w:rsidRPr="00EF0EDA" w:rsidRDefault="006C1CD9" w:rsidP="006C1CD9">
      <w:pPr>
        <w:pStyle w:val="Caption"/>
      </w:pPr>
      <w:bookmarkStart w:id="15" w:name="_Toc238867442"/>
      <w:r>
        <w:t>Figure</w:t>
      </w:r>
      <w:r w:rsidRPr="00EF0EDA">
        <w:t xml:space="preserve"> </w:t>
      </w:r>
      <w:fldSimple w:instr=" SEQ Figure \* ARABIC ">
        <w:r w:rsidR="00493733">
          <w:rPr>
            <w:noProof/>
          </w:rPr>
          <w:t>1</w:t>
        </w:r>
      </w:fldSimple>
      <w:r w:rsidR="00317936">
        <w:t xml:space="preserve">: </w:t>
      </w:r>
      <w:r w:rsidRPr="00EF0EDA">
        <w:t>Ratio of House Price to Income in California</w:t>
      </w:r>
      <w:r>
        <w:t>,</w:t>
      </w:r>
      <w:r w:rsidRPr="00EF0EDA">
        <w:t xml:space="preserve"> 1980-2006</w:t>
      </w:r>
      <w:bookmarkEnd w:id="15"/>
    </w:p>
    <w:p w14:paraId="2B7A9F24" w14:textId="77777777" w:rsidR="006C1CD9" w:rsidRPr="00EF0EDA" w:rsidRDefault="002321D5" w:rsidP="006C1CD9">
      <w:pPr>
        <w:pStyle w:val="Graphics"/>
      </w:pPr>
      <w:r>
        <w:drawing>
          <wp:inline distT="0" distB="0" distL="0" distR="0" wp14:anchorId="4BD8DBB9" wp14:editId="59721EF9">
            <wp:extent cx="3657600" cy="2423160"/>
            <wp:effectExtent l="19050" t="0" r="0" b="0"/>
            <wp:docPr id="4" name="Picture 3" descr="Ratio of House Price to Income in California 1980-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o of House Price to Income in California 1980-2006.jpg"/>
                    <pic:cNvPicPr/>
                  </pic:nvPicPr>
                  <pic:blipFill>
                    <a:blip r:embed="rId25" cstate="print"/>
                    <a:stretch>
                      <a:fillRect/>
                    </a:stretch>
                  </pic:blipFill>
                  <pic:spPr>
                    <a:xfrm>
                      <a:off x="0" y="0"/>
                      <a:ext cx="3657600" cy="2423160"/>
                    </a:xfrm>
                    <a:prstGeom prst="rect">
                      <a:avLst/>
                    </a:prstGeom>
                  </pic:spPr>
                </pic:pic>
              </a:graphicData>
            </a:graphic>
          </wp:inline>
        </w:drawing>
      </w:r>
    </w:p>
    <w:p w14:paraId="1A37F123" w14:textId="77777777" w:rsidR="00352DF4" w:rsidRPr="00124B71" w:rsidRDefault="00E74D3F" w:rsidP="00352DF4">
      <w:pPr>
        <w:rPr>
          <w:rFonts w:cs="Times New Roman"/>
        </w:rPr>
      </w:pPr>
      <w:r w:rsidRPr="00124B71">
        <w:rPr>
          <w:rFonts w:cs="Times New Roman"/>
        </w:rPr>
        <w:t>When</w:t>
      </w:r>
      <w:r w:rsidR="00A54C94" w:rsidRPr="00124B71">
        <w:rPr>
          <w:rFonts w:cs="Times New Roman"/>
        </w:rPr>
        <w:t xml:space="preserve"> rental</w:t>
      </w:r>
      <w:r w:rsidRPr="00124B71">
        <w:rPr>
          <w:rFonts w:cs="Times New Roman"/>
        </w:rPr>
        <w:t xml:space="preserve"> cashflow models fail, which they do </w:t>
      </w:r>
      <w:r w:rsidR="00046666" w:rsidRPr="00124B71">
        <w:rPr>
          <w:rFonts w:cs="Times New Roman"/>
        </w:rPr>
        <w:t>during the rally</w:t>
      </w:r>
      <w:r w:rsidRPr="00124B71">
        <w:rPr>
          <w:rFonts w:cs="Times New Roman"/>
        </w:rPr>
        <w:t xml:space="preserve"> of a</w:t>
      </w:r>
      <w:r w:rsidR="00A54C94" w:rsidRPr="00124B71">
        <w:rPr>
          <w:rFonts w:cs="Times New Roman"/>
        </w:rPr>
        <w:t xml:space="preserve"> housing</w:t>
      </w:r>
      <w:r w:rsidRPr="00124B71">
        <w:rPr>
          <w:rFonts w:cs="Times New Roman"/>
        </w:rPr>
        <w:t xml:space="preserve"> bubble, </w:t>
      </w:r>
      <w:r w:rsidR="00A54C94" w:rsidRPr="00124B71">
        <w:rPr>
          <w:rFonts w:cs="Times New Roman"/>
        </w:rPr>
        <w:t>the arguments justifying prices turn to an owner’s ability to make payments. The argument is that e</w:t>
      </w:r>
      <w:r w:rsidR="00352DF4" w:rsidRPr="00124B71">
        <w:rPr>
          <w:rFonts w:cs="Times New Roman"/>
        </w:rPr>
        <w:t>veryone is rich, and everyone is making enough money to support current prices.</w:t>
      </w:r>
      <w:r w:rsidR="00120278" w:rsidRPr="00124B71">
        <w:rPr>
          <w:rFonts w:cs="Times New Roman"/>
        </w:rPr>
        <w:t xml:space="preserve"> It seems people began believing the contents of their “liar loan</w:t>
      </w:r>
      <w:r w:rsidR="00A40CA5" w:rsidRPr="00124B71">
        <w:rPr>
          <w:rFonts w:cs="Times New Roman"/>
        </w:rPr>
        <w:t>” applications during the bubble, or perhaps they counted on the home-equity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A40CA5" w:rsidRPr="00124B71">
        <w:rPr>
          <w:rFonts w:cs="Times New Roman"/>
        </w:rPr>
        <w:t>-line-of-credit spending to come from the inevitable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A40CA5" w:rsidRPr="00124B71">
        <w:rPr>
          <w:rFonts w:cs="Times New Roman"/>
        </w:rPr>
        <w:t>.</w:t>
      </w:r>
      <w:r w:rsidR="00250F73" w:rsidRPr="00124B71">
        <w:rPr>
          <w:rFonts w:cs="Times New Roman"/>
        </w:rPr>
        <w:t xml:space="preserve"> </w:t>
      </w:r>
      <w:r w:rsidR="00841DEE" w:rsidRPr="00124B71">
        <w:rPr>
          <w:rStyle w:val="EndnoteReference"/>
          <w:rFonts w:cs="Times New Roman"/>
        </w:rPr>
        <w:endnoteReference w:id="18"/>
      </w:r>
      <w:r w:rsidR="00352DF4" w:rsidRPr="00124B71">
        <w:rPr>
          <w:rFonts w:cs="Times New Roman"/>
        </w:rPr>
        <w:t xml:space="preserve"> Even when confronted with hard data showing th</w:t>
      </w:r>
      <w:r w:rsidR="00120278" w:rsidRPr="00124B71">
        <w:rPr>
          <w:rFonts w:cs="Times New Roman"/>
        </w:rPr>
        <w:t>e everyone-is-rich</w:t>
      </w:r>
      <w:r w:rsidR="00352DF4" w:rsidRPr="00124B71">
        <w:rPr>
          <w:rFonts w:cs="Times New Roman"/>
        </w:rPr>
        <w:t xml:space="preserve"> argument to be fallacious, people still claim it is true. </w:t>
      </w:r>
      <w:r w:rsidR="00A54C94" w:rsidRPr="00124B71">
        <w:rPr>
          <w:rFonts w:cs="Times New Roman"/>
        </w:rPr>
        <w:t xml:space="preserve">One unique </w:t>
      </w:r>
      <w:r w:rsidR="00437B20" w:rsidRPr="00124B71">
        <w:rPr>
          <w:rFonts w:cs="Times New Roman"/>
        </w:rPr>
        <w:t>phenomenon</w:t>
      </w:r>
      <w:r w:rsidR="00A54C94" w:rsidRPr="00124B71">
        <w:rPr>
          <w:rFonts w:cs="Times New Roman"/>
        </w:rPr>
        <w:t xml:space="preserve"> of the Great Housing Bubble was the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00A54C94" w:rsidRPr="00124B71">
        <w:rPr>
          <w:rFonts w:cs="Times New Roman"/>
        </w:rPr>
        <w:t xml:space="preserve"> which allowed owners the temporary luxury of financing very large sums of money with small payments. There was some truth to the argument that people could afford the payments. Unfortunately, this was completely dependent upon unstable financing terms, and when these terms were eliminated, so were </w:t>
      </w:r>
      <w:r w:rsidR="00120278" w:rsidRPr="00124B71">
        <w:rPr>
          <w:rFonts w:cs="Times New Roman"/>
        </w:rPr>
        <w:t>any reasonable</w:t>
      </w:r>
      <w:r w:rsidR="00A54C94" w:rsidRPr="00124B71">
        <w:rPr>
          <w:rFonts w:cs="Times New Roman"/>
        </w:rPr>
        <w:t xml:space="preserve"> arguments about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00A54C94" w:rsidRPr="00124B71">
        <w:rPr>
          <w:rFonts w:cs="Times New Roman"/>
        </w:rPr>
        <w:t xml:space="preserve"> and sustainable fundamental valuations.</w:t>
      </w:r>
    </w:p>
    <w:p w14:paraId="6F2A8302" w14:textId="77777777" w:rsidR="002C3917" w:rsidRPr="00EF0EDA" w:rsidRDefault="002C3917" w:rsidP="002C3917">
      <w:pPr>
        <w:pStyle w:val="Heading3"/>
      </w:pPr>
      <w:bookmarkStart w:id="16" w:name="_Toc238867271"/>
      <w:r w:rsidRPr="00EF0EDA">
        <w:t>It Is Different This Time</w:t>
      </w:r>
      <w:bookmarkEnd w:id="16"/>
    </w:p>
    <w:p w14:paraId="4CF0E5E0" w14:textId="2262AF46" w:rsidR="002C3917" w:rsidRPr="00124B71" w:rsidRDefault="00A54C94" w:rsidP="00473532">
      <w:pPr>
        <w:rPr>
          <w:rFonts w:cs="Times New Roman"/>
        </w:rPr>
      </w:pPr>
      <w:r w:rsidRPr="00124B71">
        <w:rPr>
          <w:rFonts w:cs="Times New Roman"/>
        </w:rPr>
        <w:t>Each time the general public creates an asset bubble, they believe the rally in prices is justifiable by fundamentals</w:t>
      </w:r>
      <w:r w:rsidR="00331A22" w:rsidRPr="00124B71">
        <w:rPr>
          <w:rFonts w:cs="Times New Roman"/>
        </w:rPr>
        <w:t>.</w:t>
      </w:r>
      <w:r w:rsidR="00250F73" w:rsidRPr="00124B71">
        <w:rPr>
          <w:rFonts w:cs="Times New Roman"/>
        </w:rPr>
        <w:t xml:space="preserve"> </w:t>
      </w:r>
      <w:r w:rsidR="0022713A" w:rsidRPr="00124B71">
        <w:rPr>
          <w:rStyle w:val="EndnoteReference"/>
          <w:rFonts w:cs="Times New Roman"/>
        </w:rPr>
        <w:endnoteReference w:id="19"/>
      </w:r>
      <w:r w:rsidRPr="00124B71">
        <w:rPr>
          <w:rFonts w:cs="Times New Roman"/>
        </w:rPr>
        <w:t xml:space="preserve"> When proven methods of valuation demonstrate otherwise, people invent new ones with the caveat, “it is different this time.” It never is. The stock market bubble had its own unique valuation </w:t>
      </w:r>
      <w:r w:rsidRPr="00124B71">
        <w:rPr>
          <w:rFonts w:cs="Times New Roman"/>
        </w:rPr>
        <w:lastRenderedPageBreak/>
        <w:t xml:space="preserve">methods as described </w:t>
      </w:r>
      <w:r w:rsidR="004B6795" w:rsidRPr="00124B71">
        <w:rPr>
          <w:rFonts w:cs="Times New Roman"/>
        </w:rPr>
        <w:t>previously</w:t>
      </w:r>
      <w:r w:rsidRPr="00124B71">
        <w:rPr>
          <w:rFonts w:cs="Times New Roman"/>
        </w:rPr>
        <w:t>. The Great Housing Bubble had proponents of the financial innovation</w:t>
      </w:r>
      <w:r w:rsidR="001858B5">
        <w:rPr>
          <w:rFonts w:cs="Times New Roman"/>
        </w:rPr>
        <w:fldChar w:fldCharType="begin"/>
      </w:r>
      <w:r w:rsidR="009975FD">
        <w:instrText xml:space="preserve"> XE "</w:instrText>
      </w:r>
      <w:r w:rsidR="009975FD" w:rsidRPr="007E7A1E">
        <w:rPr>
          <w:rFonts w:cs="Times New Roman"/>
        </w:rPr>
        <w:instrText>financial innovation</w:instrText>
      </w:r>
      <w:r w:rsidR="009975FD">
        <w:instrText xml:space="preserve">" </w:instrText>
      </w:r>
      <w:r w:rsidR="001858B5">
        <w:rPr>
          <w:rFonts w:cs="Times New Roman"/>
        </w:rPr>
        <w:fldChar w:fldCharType="end"/>
      </w:r>
      <w:r w:rsidRPr="00124B71">
        <w:rPr>
          <w:rFonts w:cs="Times New Roman"/>
        </w:rPr>
        <w:t xml:space="preserve"> model. Rather than viewing the unstable loan programs of the bubbles with suspicion, most bubble participants eagerly embraced the new financing methods as a long-over</w:t>
      </w:r>
      <w:r w:rsidR="001D0DBB" w:rsidRPr="00124B71">
        <w:rPr>
          <w:rFonts w:cs="Times New Roman"/>
        </w:rPr>
        <w:t>due advance in the lending industry. Of course, it is easy to ignore potential problems when everyone involved is making large amounts of money and the government regulators are encouraging the activity. Alan Greenspan</w:t>
      </w:r>
      <w:r w:rsidR="001858B5">
        <w:rPr>
          <w:rFonts w:cs="Times New Roman"/>
        </w:rPr>
        <w:fldChar w:fldCharType="begin"/>
      </w:r>
      <w:r w:rsidR="009975FD">
        <w:instrText xml:space="preserve"> XE "</w:instrText>
      </w:r>
      <w:r w:rsidR="009975FD" w:rsidRPr="009F73BE">
        <w:rPr>
          <w:rFonts w:cs="Times New Roman"/>
        </w:rPr>
        <w:instrText>Alan Greenspan</w:instrText>
      </w:r>
      <w:r w:rsidR="009975FD">
        <w:instrText xml:space="preserve">" </w:instrText>
      </w:r>
      <w:r w:rsidR="001858B5">
        <w:rPr>
          <w:rFonts w:cs="Times New Roman"/>
        </w:rPr>
        <w:fldChar w:fldCharType="end"/>
      </w:r>
      <w:r w:rsidR="001D0DBB" w:rsidRPr="00124B71">
        <w:rPr>
          <w:rFonts w:cs="Times New Roman"/>
        </w:rPr>
        <w:t>, FED</w:t>
      </w:r>
      <w:r w:rsidR="001858B5">
        <w:rPr>
          <w:rFonts w:cs="Times New Roman"/>
        </w:rPr>
        <w:fldChar w:fldCharType="begin"/>
      </w:r>
      <w:r w:rsidR="005E6B29">
        <w:instrText xml:space="preserve"> XE "</w:instrText>
      </w:r>
      <w:r w:rsidR="005E6B29" w:rsidRPr="00A95B0B">
        <w:rPr>
          <w:rFonts w:cs="Times New Roman"/>
        </w:rPr>
        <w:instrText>FED</w:instrText>
      </w:r>
      <w:r w:rsidR="005E6B29">
        <w:instrText xml:space="preserve">" </w:instrText>
      </w:r>
      <w:r w:rsidR="001858B5">
        <w:rPr>
          <w:rFonts w:cs="Times New Roman"/>
        </w:rPr>
        <w:fldChar w:fldCharType="end"/>
      </w:r>
      <w:r w:rsidR="001D0DBB" w:rsidRPr="00124B71">
        <w:rPr>
          <w:rFonts w:cs="Times New Roman"/>
        </w:rPr>
        <w:t xml:space="preserve"> chairman during the bubble, endorsed the use of adjustable rate mortgages in certain circumstances</w:t>
      </w:r>
      <w:r w:rsidR="00044687" w:rsidRPr="00124B71">
        <w:rPr>
          <w:rFonts w:cs="Times New Roman"/>
        </w:rPr>
        <w:t xml:space="preserve"> </w:t>
      </w:r>
      <w:sdt>
        <w:sdtPr>
          <w:rPr>
            <w:rFonts w:cs="Times New Roman"/>
          </w:rPr>
          <w:id w:val="146076737"/>
          <w:citation/>
        </w:sdtPr>
        <w:sdtContent>
          <w:r w:rsidR="001858B5" w:rsidRPr="00124B71">
            <w:rPr>
              <w:rFonts w:cs="Times New Roman"/>
            </w:rPr>
            <w:fldChar w:fldCharType="begin"/>
          </w:r>
          <w:r w:rsidR="00F43CEA" w:rsidRPr="00124B71">
            <w:rPr>
              <w:rFonts w:cs="Times New Roman"/>
            </w:rPr>
            <w:instrText xml:space="preserve"> CITATION Ala04 \l 1033 </w:instrText>
          </w:r>
          <w:r w:rsidR="001858B5" w:rsidRPr="00124B71">
            <w:rPr>
              <w:rFonts w:cs="Times New Roman"/>
            </w:rPr>
            <w:fldChar w:fldCharType="separate"/>
          </w:r>
          <w:r w:rsidR="007E3004" w:rsidRPr="007E3004">
            <w:rPr>
              <w:rFonts w:cs="Times New Roman"/>
              <w:noProof/>
            </w:rPr>
            <w:t>(Greenspan, Understanding Household Debt Obligations, 2004)</w:t>
          </w:r>
          <w:r w:rsidR="001858B5" w:rsidRPr="00124B71">
            <w:rPr>
              <w:rFonts w:cs="Times New Roman"/>
            </w:rPr>
            <w:fldChar w:fldCharType="end"/>
          </w:r>
        </w:sdtContent>
      </w:sdt>
      <w:r w:rsidR="001D0DBB" w:rsidRPr="00124B71">
        <w:rPr>
          <w:rFonts w:cs="Times New Roman"/>
        </w:rPr>
        <w:t>, and official public policy under the last several presidential administrations was the expansion of home ownership.</w:t>
      </w:r>
      <w:r w:rsidR="00250F73" w:rsidRPr="00124B71">
        <w:rPr>
          <w:rFonts w:cs="Times New Roman"/>
        </w:rPr>
        <w:t xml:space="preserve"> </w:t>
      </w:r>
      <w:r w:rsidR="00A40CA5" w:rsidRPr="00124B71">
        <w:rPr>
          <w:rStyle w:val="EndnoteReference"/>
          <w:rFonts w:cs="Times New Roman"/>
        </w:rPr>
        <w:endnoteReference w:id="20"/>
      </w:r>
      <w:r w:rsidR="001D0DBB" w:rsidRPr="00124B71">
        <w:rPr>
          <w:rFonts w:cs="Times New Roman"/>
        </w:rPr>
        <w:t xml:space="preserve"> When everyone involved </w:t>
      </w:r>
      <w:r w:rsidR="00C22CE8" w:rsidRPr="00124B71">
        <w:rPr>
          <w:rFonts w:cs="Times New Roman"/>
        </w:rPr>
        <w:t>was</w:t>
      </w:r>
      <w:r w:rsidR="001D0DBB" w:rsidRPr="00124B71">
        <w:rPr>
          <w:rFonts w:cs="Times New Roman"/>
        </w:rPr>
        <w:t xml:space="preserve"> saying things </w:t>
      </w:r>
      <w:r w:rsidR="00C22CE8" w:rsidRPr="00124B71">
        <w:rPr>
          <w:rFonts w:cs="Times New Roman"/>
        </w:rPr>
        <w:t>were</w:t>
      </w:r>
      <w:r w:rsidR="001D0DBB" w:rsidRPr="00124B71">
        <w:rPr>
          <w:rFonts w:cs="Times New Roman"/>
        </w:rPr>
        <w:t xml:space="preserve"> different and when the activity </w:t>
      </w:r>
      <w:r w:rsidR="00C22CE8" w:rsidRPr="00124B71">
        <w:rPr>
          <w:rFonts w:cs="Times New Roman"/>
        </w:rPr>
        <w:t>wa</w:t>
      </w:r>
      <w:r w:rsidR="001D0DBB" w:rsidRPr="00124B71">
        <w:rPr>
          <w:rFonts w:cs="Times New Roman"/>
        </w:rPr>
        <w:t xml:space="preserve">s profitable to everyone involved, it is not surprising events got </w:t>
      </w:r>
      <w:r w:rsidR="00720CC6">
        <w:rPr>
          <w:rFonts w:cs="Times New Roman"/>
        </w:rPr>
        <w:t xml:space="preserve">completely </w:t>
      </w:r>
      <w:r w:rsidR="001D0DBB" w:rsidRPr="00124B71">
        <w:rPr>
          <w:rFonts w:cs="Times New Roman"/>
        </w:rPr>
        <w:t>out of control.</w:t>
      </w:r>
    </w:p>
    <w:p w14:paraId="50AFAFD8" w14:textId="77777777" w:rsidR="00D616DB" w:rsidRPr="00EF0EDA" w:rsidRDefault="00220B9E" w:rsidP="00E96308">
      <w:pPr>
        <w:pStyle w:val="Heading2"/>
      </w:pPr>
      <w:bookmarkStart w:id="17" w:name="_Toc238867272"/>
      <w:r w:rsidRPr="00EF0EDA">
        <w:t>The Importance of Financial</w:t>
      </w:r>
      <w:r w:rsidR="0065008A" w:rsidRPr="00EF0EDA">
        <w:t xml:space="preserve"> Bubbles</w:t>
      </w:r>
      <w:bookmarkEnd w:id="17"/>
    </w:p>
    <w:p w14:paraId="7EF9D9C4" w14:textId="77777777" w:rsidR="005D2224" w:rsidRPr="00124B71" w:rsidRDefault="00D616DB" w:rsidP="00E96308">
      <w:pPr>
        <w:rPr>
          <w:rFonts w:cs="Times New Roman"/>
        </w:rPr>
      </w:pPr>
      <w:r w:rsidRPr="00124B71">
        <w:rPr>
          <w:rFonts w:cs="Times New Roman"/>
        </w:rPr>
        <w:t>Why should anyone care about financial bubbles? The first and most obvious reason is</w:t>
      </w:r>
      <w:r w:rsidR="00F9455B" w:rsidRPr="00124B71">
        <w:rPr>
          <w:rFonts w:cs="Times New Roman"/>
        </w:rPr>
        <w:t xml:space="preserve"> that</w:t>
      </w:r>
      <w:r w:rsidRPr="00124B71">
        <w:rPr>
          <w:rFonts w:cs="Times New Roman"/>
        </w:rPr>
        <w:t xml:space="preserve"> the financial fallout is stressful. People buy</w:t>
      </w:r>
      <w:r w:rsidR="005D2224" w:rsidRPr="00124B71">
        <w:rPr>
          <w:rFonts w:cs="Times New Roman"/>
        </w:rPr>
        <w:t>ing</w:t>
      </w:r>
      <w:r w:rsidRPr="00124B71">
        <w:rPr>
          <w:rFonts w:cs="Times New Roman"/>
        </w:rPr>
        <w:t xml:space="preserve"> into a financial mania too late, particularly in a residential housing market, will </w:t>
      </w:r>
      <w:r w:rsidR="00F9455B" w:rsidRPr="00124B71">
        <w:rPr>
          <w:rFonts w:cs="Times New Roman"/>
        </w:rPr>
        <w:t xml:space="preserve">probably </w:t>
      </w:r>
      <w:r w:rsidRPr="00124B71">
        <w:rPr>
          <w:rFonts w:cs="Times New Roman"/>
        </w:rPr>
        <w:t>end up in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and most likely in a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Pr="00124B71">
        <w:rPr>
          <w:rFonts w:cs="Times New Roman"/>
        </w:rPr>
        <w:t xml:space="preserve"> court. </w:t>
      </w:r>
      <w:r w:rsidR="00F9455B" w:rsidRPr="00124B71">
        <w:rPr>
          <w:rFonts w:cs="Times New Roman"/>
        </w:rPr>
        <w:t>In contrast, s</w:t>
      </w:r>
      <w:r w:rsidRPr="00124B71">
        <w:rPr>
          <w:rFonts w:cs="Times New Roman"/>
        </w:rPr>
        <w:t>tock market bubbles will only cause people to lose their</w:t>
      </w:r>
      <w:r w:rsidR="00F9455B" w:rsidRPr="00124B71">
        <w:rPr>
          <w:rFonts w:cs="Times New Roman"/>
        </w:rPr>
        <w:t xml:space="preserve"> initial</w:t>
      </w:r>
      <w:r w:rsidRPr="00124B71">
        <w:rPr>
          <w:rFonts w:cs="Times New Roman"/>
        </w:rPr>
        <w:t xml:space="preserve"> investment. It may bruise their ego or delay their retirement, but these losses generally do not cause </w:t>
      </w:r>
      <w:r w:rsidR="00F9455B" w:rsidRPr="00124B71">
        <w:rPr>
          <w:rFonts w:cs="Times New Roman"/>
        </w:rPr>
        <w:t>them</w:t>
      </w:r>
      <w:r w:rsidRPr="00124B71">
        <w:rPr>
          <w:rFonts w:cs="Times New Roman"/>
        </w:rPr>
        <w:t xml:space="preserve"> to lose their home</w:t>
      </w:r>
      <w:r w:rsidR="00F9455B" w:rsidRPr="00124B71">
        <w:rPr>
          <w:rFonts w:cs="Times New Roman"/>
        </w:rPr>
        <w:t>s</w:t>
      </w:r>
      <w:r w:rsidRPr="00124B71">
        <w:rPr>
          <w:rFonts w:cs="Times New Roman"/>
        </w:rPr>
        <w:t xml:space="preserve"> or declare bankruptcy like a housing market bubble does. In a stock market collapse, a broker will close out positions and close an account before the account goes negative. There is a safety net in the system. In a residential housing market, there is no safety net. If house prices decline, a homeowner can easily have negative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18412D" w:rsidRPr="00124B71">
        <w:rPr>
          <w:rFonts w:cs="Times New Roman"/>
        </w:rPr>
        <w:t xml:space="preserve"> and</w:t>
      </w:r>
      <w:r w:rsidRPr="00124B71">
        <w:rPr>
          <w:rFonts w:cs="Times New Roman"/>
        </w:rPr>
        <w:t xml:space="preserve"> no ability to exit the transaction. In a housing market decline, properties become very illiquid as there simply are not enough buyers to absorb the available inventory. A property owner can quickly fall so far into negative territory that</w:t>
      </w:r>
      <w:r w:rsidR="005D2224" w:rsidRPr="00124B71">
        <w:rPr>
          <w:rFonts w:cs="Times New Roman"/>
        </w:rPr>
        <w:t xml:space="preserve"> it would take a lifetime to pay back the debt. In these circumstances bankruptcy is not just preferable; it is the only realistic course of action. It is better to have credit issues for a few years than to have insurmountable debt</w:t>
      </w:r>
      <w:r w:rsidR="00F9455B" w:rsidRPr="00124B71">
        <w:rPr>
          <w:rFonts w:cs="Times New Roman"/>
        </w:rPr>
        <w:t xml:space="preserve"> lingering for decades</w:t>
      </w:r>
      <w:r w:rsidR="005D2224" w:rsidRPr="00124B71">
        <w:rPr>
          <w:rFonts w:cs="Times New Roman"/>
        </w:rPr>
        <w:t xml:space="preserve">. </w:t>
      </w:r>
    </w:p>
    <w:p w14:paraId="52242E69" w14:textId="77777777" w:rsidR="005D2224" w:rsidRPr="00124B71" w:rsidRDefault="005D2224" w:rsidP="00E96308">
      <w:pPr>
        <w:rPr>
          <w:rFonts w:cs="Times New Roman"/>
        </w:rPr>
      </w:pPr>
      <w:r w:rsidRPr="00124B71">
        <w:rPr>
          <w:rFonts w:cs="Times New Roman"/>
        </w:rPr>
        <w:t>The real problems for individuals and families come after the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Pr="00124B71">
        <w:rPr>
          <w:rFonts w:cs="Times New Roman"/>
        </w:rPr>
        <w:t xml:space="preserve"> and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The debt addicted will suddenly find the tools they used to maintain their artificially inflated lifestyles are no longer available. The stress of adjusting to a sustainable, cash-basis lifestyle can lead to divorces, depression and a host of related personal and family problems. One can argue this is in their best interest long-term, but that will be little comfort to these people during the transition. The problems for the market linger as well. Those who lost homes during the decline are no longer potential buyers due to their credit problems. It will take time for this group to repair their credit and become buyers again. The reduction in the size of the buyer pool keeps demand in check and limits the rate of price recovery.</w:t>
      </w:r>
    </w:p>
    <w:p w14:paraId="511555E0" w14:textId="77777777" w:rsidR="006074CA" w:rsidRPr="00EF0EDA" w:rsidRDefault="000261EF" w:rsidP="000261EF">
      <w:pPr>
        <w:pStyle w:val="Heading2"/>
      </w:pPr>
      <w:bookmarkStart w:id="18" w:name="_Toc238867273"/>
      <w:r w:rsidRPr="00EF0EDA">
        <w:lastRenderedPageBreak/>
        <w:t>Summary</w:t>
      </w:r>
      <w:bookmarkEnd w:id="18"/>
    </w:p>
    <w:p w14:paraId="3A8C4326" w14:textId="77777777" w:rsidR="006074CA" w:rsidRPr="00124B71" w:rsidRDefault="006074CA" w:rsidP="00720CC6">
      <w:pPr>
        <w:suppressAutoHyphens/>
        <w:rPr>
          <w:rFonts w:cs="Times New Roman"/>
        </w:rPr>
      </w:pPr>
      <w:r w:rsidRPr="00124B71">
        <w:rPr>
          <w:rFonts w:cs="Times New Roman"/>
        </w:rPr>
        <w:t>The Great Housing Bubble, like all asset bubbles</w:t>
      </w:r>
      <w:r w:rsidR="001858B5">
        <w:rPr>
          <w:rFonts w:cs="Times New Roman"/>
        </w:rPr>
        <w:fldChar w:fldCharType="begin"/>
      </w:r>
      <w:r w:rsidR="003852DB">
        <w:instrText xml:space="preserve"> XE "</w:instrText>
      </w:r>
      <w:r w:rsidR="003852DB" w:rsidRPr="0063036B">
        <w:rPr>
          <w:rFonts w:cs="Times New Roman"/>
        </w:rPr>
        <w:instrText>asset bubbles</w:instrText>
      </w:r>
      <w:r w:rsidR="003852DB">
        <w:instrText xml:space="preserve">" </w:instrText>
      </w:r>
      <w:r w:rsidR="001858B5">
        <w:rPr>
          <w:rFonts w:cs="Times New Roman"/>
        </w:rPr>
        <w:fldChar w:fldCharType="end"/>
      </w:r>
      <w:r w:rsidRPr="00124B71">
        <w:rPr>
          <w:rFonts w:cs="Times New Roman"/>
        </w:rPr>
        <w:t>, was driven by the belief in permanent</w:t>
      </w:r>
      <w:r w:rsidR="00F9455B" w:rsidRPr="00124B71">
        <w:rPr>
          <w:rFonts w:cs="Times New Roman"/>
        </w:rPr>
        <w:t>, rapid</w:t>
      </w:r>
      <w:r w:rsidRPr="00124B71">
        <w:rPr>
          <w:rFonts w:cs="Times New Roman"/>
        </w:rPr>
        <w:t xml:space="preserve"> house price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an unrealistic perception of the risk involved, and the fear that waiting to buy would cause market participants to miss their opportunity to own a house. These erroneous beliefs were supported by </w:t>
      </w:r>
      <w:r w:rsidR="00F9455B" w:rsidRPr="00124B71">
        <w:rPr>
          <w:rFonts w:cs="Times New Roman"/>
        </w:rPr>
        <w:t>groupthink; if everyone else believes it, it must be true</w:t>
      </w:r>
      <w:r w:rsidRPr="00124B71">
        <w:rPr>
          <w:rFonts w:cs="Times New Roman"/>
        </w:rPr>
        <w:t>. As with any mass delusion, it is difficult to see beyond the</w:t>
      </w:r>
      <w:r w:rsidR="00F9455B" w:rsidRPr="00124B71">
        <w:rPr>
          <w:rFonts w:cs="Times New Roman"/>
        </w:rPr>
        <w:t xml:space="preserve"> comforting</w:t>
      </w:r>
      <w:r w:rsidRPr="00124B71">
        <w:rPr>
          <w:rFonts w:cs="Times New Roman"/>
        </w:rPr>
        <w:t xml:space="preserve"> fallacies to</w:t>
      </w:r>
      <w:r w:rsidR="00F9455B" w:rsidRPr="00124B71">
        <w:rPr>
          <w:rFonts w:cs="Times New Roman"/>
        </w:rPr>
        <w:t xml:space="preserve"> understand</w:t>
      </w:r>
      <w:r w:rsidRPr="00124B71">
        <w:rPr>
          <w:rFonts w:cs="Times New Roman"/>
        </w:rPr>
        <w:t xml:space="preserve"> the deeper truth</w:t>
      </w:r>
      <w:r w:rsidR="005920A6" w:rsidRPr="00124B71">
        <w:rPr>
          <w:rFonts w:cs="Times New Roman"/>
        </w:rPr>
        <w:t>; however, it is essential to do so because the cost in emotional and financial terms of getting caught up in the mania is very high. Foreclosure and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005920A6" w:rsidRPr="00124B71">
        <w:rPr>
          <w:rFonts w:cs="Times New Roman"/>
        </w:rPr>
        <w:t xml:space="preserve"> </w:t>
      </w:r>
      <w:r w:rsidR="00D616DB" w:rsidRPr="00124B71">
        <w:rPr>
          <w:rFonts w:cs="Times New Roman"/>
        </w:rPr>
        <w:t>are</w:t>
      </w:r>
      <w:r w:rsidR="005920A6" w:rsidRPr="00124B71">
        <w:rPr>
          <w:rFonts w:cs="Times New Roman"/>
        </w:rPr>
        <w:t xml:space="preserve"> </w:t>
      </w:r>
      <w:r w:rsidR="00F9455B" w:rsidRPr="00124B71">
        <w:rPr>
          <w:rFonts w:cs="Times New Roman"/>
        </w:rPr>
        <w:t>bad for individuals, bad for families, and bad for society</w:t>
      </w:r>
      <w:r w:rsidR="005920A6" w:rsidRPr="00124B71">
        <w:rPr>
          <w:rFonts w:cs="Times New Roman"/>
        </w:rPr>
        <w:t>.</w:t>
      </w:r>
      <w:r w:rsidR="00D616DB" w:rsidRPr="00124B71">
        <w:rPr>
          <w:rFonts w:cs="Times New Roman"/>
        </w:rPr>
        <w:t xml:space="preserve"> </w:t>
      </w:r>
    </w:p>
    <w:p w14:paraId="31F8DB4D" w14:textId="77777777" w:rsidR="009F7B4C" w:rsidRPr="00124B71" w:rsidRDefault="009F7B4C" w:rsidP="00240C86">
      <w:pPr>
        <w:rPr>
          <w:rFonts w:cs="Times New Roman"/>
        </w:rPr>
        <w:sectPr w:rsidR="009F7B4C" w:rsidRPr="00124B71" w:rsidSect="009729DE">
          <w:headerReference w:type="even" r:id="rId26"/>
          <w:headerReference w:type="default" r:id="rId27"/>
          <w:endnotePr>
            <w:numFmt w:val="decimal"/>
          </w:endnotePr>
          <w:type w:val="oddPage"/>
          <w:pgSz w:w="8640" w:h="12960" w:code="173"/>
          <w:pgMar w:top="1008" w:right="936" w:bottom="1080" w:left="936" w:header="504" w:footer="504" w:gutter="0"/>
          <w:pgNumType w:start="1"/>
          <w:cols w:space="720"/>
          <w:titlePg/>
          <w:docGrid w:linePitch="360"/>
        </w:sectPr>
      </w:pPr>
    </w:p>
    <w:p w14:paraId="3301F24A" w14:textId="77777777" w:rsidR="00C864DD" w:rsidRPr="00EF0EDA" w:rsidRDefault="00C864DD" w:rsidP="00240C86">
      <w:pPr>
        <w:pStyle w:val="Heading1"/>
      </w:pPr>
      <w:bookmarkStart w:id="19" w:name="_Toc238867274"/>
      <w:r w:rsidRPr="00240C86">
        <w:lastRenderedPageBreak/>
        <w:t>Conservative</w:t>
      </w:r>
      <w:r w:rsidRPr="00EF0EDA">
        <w:t xml:space="preserve"> House Financing</w:t>
      </w:r>
      <w:bookmarkEnd w:id="19"/>
    </w:p>
    <w:p w14:paraId="6CB8C823" w14:textId="77777777" w:rsidR="00182961" w:rsidRPr="00124B71" w:rsidRDefault="00182961" w:rsidP="00182961">
      <w:pPr>
        <w:rPr>
          <w:rFonts w:cs="Times New Roman"/>
        </w:rPr>
      </w:pPr>
      <w:r w:rsidRPr="00124B71">
        <w:rPr>
          <w:rFonts w:cs="Times New Roman"/>
        </w:rPr>
        <w:t>When people decide they want to buy a house, they figure out how much they can afford, then they search for something they want in their price range. For most people, what they can “afford” depends almost entirely upon how much a lender is willing to loan them.</w:t>
      </w:r>
      <w:r w:rsidR="00603204" w:rsidRPr="00124B71">
        <w:rPr>
          <w:rFonts w:cs="Times New Roman"/>
        </w:rPr>
        <w:t xml:space="preserve"> L</w:t>
      </w:r>
      <w:r w:rsidRPr="00124B71">
        <w:rPr>
          <w:rFonts w:cs="Times New Roman"/>
        </w:rPr>
        <w:t>enders apply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Pr="00124B71">
        <w:rPr>
          <w:rFonts w:cs="Times New Roman"/>
        </w:rPr>
        <w:t>s and other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Pr="00124B71">
        <w:rPr>
          <w:rFonts w:cs="Times New Roman"/>
        </w:rPr>
        <w:t xml:space="preserve"> criteria to determine how much they </w:t>
      </w:r>
      <w:r w:rsidR="00603204" w:rsidRPr="00124B71">
        <w:rPr>
          <w:rFonts w:cs="Times New Roman"/>
        </w:rPr>
        <w:t>are</w:t>
      </w:r>
      <w:r w:rsidRPr="00124B71">
        <w:rPr>
          <w:rFonts w:cs="Times New Roman"/>
        </w:rPr>
        <w:t xml:space="preserve"> willing to loan. Buyers </w:t>
      </w:r>
      <w:r w:rsidR="00603204" w:rsidRPr="00124B71">
        <w:rPr>
          <w:rFonts w:cs="Times New Roman"/>
        </w:rPr>
        <w:t>a</w:t>
      </w:r>
      <w:r w:rsidRPr="00124B71">
        <w:rPr>
          <w:rFonts w:cs="Times New Roman"/>
        </w:rPr>
        <w:t>re generally limited in how much they c</w:t>
      </w:r>
      <w:r w:rsidR="00603204" w:rsidRPr="00124B71">
        <w:rPr>
          <w:rFonts w:cs="Times New Roman"/>
        </w:rPr>
        <w:t>an</w:t>
      </w:r>
      <w:r w:rsidRPr="00124B71">
        <w:rPr>
          <w:rFonts w:cs="Times New Roman"/>
        </w:rPr>
        <w:t xml:space="preserve"> borrow because lenders </w:t>
      </w:r>
      <w:r w:rsidR="00603204" w:rsidRPr="00124B71">
        <w:rPr>
          <w:rFonts w:cs="Times New Roman"/>
        </w:rPr>
        <w:t>a</w:t>
      </w:r>
      <w:r w:rsidRPr="00124B71">
        <w:rPr>
          <w:rFonts w:cs="Times New Roman"/>
        </w:rPr>
        <w:t>re wise enough not to loan borrowers so much that they default. Borrowers behave much like drug addicts</w:t>
      </w:r>
      <w:r w:rsidR="007C469A">
        <w:rPr>
          <w:rFonts w:cs="Times New Roman"/>
        </w:rPr>
        <w:t>–</w:t>
      </w:r>
      <w:r w:rsidRPr="00124B71">
        <w:rPr>
          <w:rFonts w:cs="Times New Roman"/>
        </w:rPr>
        <w:t>they will borrow all the money a lender will loan them whether it is good for them or not. Most</w:t>
      </w:r>
      <w:r w:rsidR="00603204" w:rsidRPr="00124B71">
        <w:rPr>
          <w:rFonts w:cs="Times New Roman"/>
        </w:rPr>
        <w:t xml:space="preserve"> borrowers</w:t>
      </w:r>
      <w:r w:rsidRPr="00124B71">
        <w:rPr>
          <w:rFonts w:cs="Times New Roman"/>
        </w:rPr>
        <w:t xml:space="preserve"> are not wise to the differences between the various loan types, and they have limited understanding o</w:t>
      </w:r>
      <w:r w:rsidR="00F9455B" w:rsidRPr="00124B71">
        <w:rPr>
          <w:rFonts w:cs="Times New Roman"/>
        </w:rPr>
        <w:t>f</w:t>
      </w:r>
      <w:r w:rsidRPr="00124B71">
        <w:rPr>
          <w:rFonts w:cs="Times New Roman"/>
        </w:rPr>
        <w:t xml:space="preserve"> the risks they are taking on.</w:t>
      </w:r>
    </w:p>
    <w:p w14:paraId="07E2DCF5" w14:textId="77777777" w:rsidR="00AA2678" w:rsidRPr="00124B71" w:rsidRDefault="004D55B3" w:rsidP="008560E2">
      <w:pPr>
        <w:rPr>
          <w:rFonts w:cs="Times New Roman"/>
        </w:rPr>
      </w:pPr>
      <w:r w:rsidRPr="00124B71">
        <w:rPr>
          <w:rFonts w:cs="Times New Roman"/>
        </w:rPr>
        <w:t>The vast majority of residential home sales have lender financing. The interest rates and various loan terms have evolved over time. After World War II</w:t>
      </w:r>
      <w:r w:rsidR="001858B5">
        <w:rPr>
          <w:rFonts w:cs="Times New Roman"/>
        </w:rPr>
        <w:fldChar w:fldCharType="begin"/>
      </w:r>
      <w:r w:rsidR="00F71DE5">
        <w:instrText xml:space="preserve"> XE "</w:instrText>
      </w:r>
      <w:r w:rsidR="00F71DE5" w:rsidRPr="00545A6E">
        <w:rPr>
          <w:rFonts w:cs="Times New Roman"/>
        </w:rPr>
        <w:instrText>World War II</w:instrText>
      </w:r>
      <w:r w:rsidR="00F71DE5">
        <w:instrText xml:space="preserve">" </w:instrText>
      </w:r>
      <w:r w:rsidR="001858B5">
        <w:rPr>
          <w:rFonts w:cs="Times New Roman"/>
        </w:rPr>
        <w:fldChar w:fldCharType="end"/>
      </w:r>
      <w:r w:rsidRPr="00124B71">
        <w:rPr>
          <w:rFonts w:cs="Times New Roman"/>
        </w:rPr>
        <w:t xml:space="preserve"> a series of government programs to encourage home ownership spawned a surge in construction</w:t>
      </w:r>
      <w:r w:rsidR="00AA2678" w:rsidRPr="00124B71">
        <w:rPr>
          <w:rFonts w:cs="Times New Roman"/>
        </w:rPr>
        <w:t xml:space="preserve"> and the evolution of private lending terms resulting in the 30-year conventionally amortized mortgage</w:t>
      </w:r>
      <w:r w:rsidR="001858B5">
        <w:rPr>
          <w:rFonts w:cs="Times New Roman"/>
        </w:rPr>
        <w:fldChar w:fldCharType="begin"/>
      </w:r>
      <w:r w:rsidR="00F71DE5">
        <w:instrText xml:space="preserve"> XE "</w:instrText>
      </w:r>
      <w:r w:rsidR="00F71DE5" w:rsidRPr="008136FC">
        <w:rPr>
          <w:rFonts w:cs="Times New Roman"/>
        </w:rPr>
        <w:instrText>30-year conventionally amortized mortgage</w:instrText>
      </w:r>
      <w:r w:rsidR="00F71DE5">
        <w:instrText xml:space="preserve">" </w:instrText>
      </w:r>
      <w:r w:rsidR="001858B5">
        <w:rPr>
          <w:rFonts w:cs="Times New Roman"/>
        </w:rPr>
        <w:fldChar w:fldCharType="end"/>
      </w:r>
      <w:r w:rsidR="00AA2678" w:rsidRPr="00124B71">
        <w:rPr>
          <w:rFonts w:cs="Times New Roman"/>
        </w:rPr>
        <w:t>. This mortgage generally required a 20% downpayment, and allowed the borrower to consume no more than 28% of their gross income on housing. These conservative terms became the standard for nearly 50 years. Lending under these terms resulted in low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AA2678" w:rsidRPr="00124B71">
        <w:rPr>
          <w:rFonts w:cs="Times New Roman"/>
        </w:rPr>
        <w:t xml:space="preserve"> and a high degree of market price stability. </w:t>
      </w:r>
    </w:p>
    <w:p w14:paraId="2543483F" w14:textId="77777777" w:rsidR="004D55B3" w:rsidRPr="00124B71" w:rsidRDefault="00AA2678" w:rsidP="008560E2">
      <w:pPr>
        <w:rPr>
          <w:rFonts w:cs="Times New Roman"/>
        </w:rPr>
      </w:pPr>
      <w:r w:rsidRPr="00124B71">
        <w:rPr>
          <w:rFonts w:cs="Times New Roman"/>
        </w:rPr>
        <w:t>There were experiments with various forms of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Pr="00124B71">
        <w:rPr>
          <w:rFonts w:cs="Times New Roman"/>
        </w:rPr>
        <w:t xml:space="preserve"> during this period, particularly in markets like California where price volatility</w:t>
      </w:r>
      <w:r w:rsidR="001858B5">
        <w:rPr>
          <w:rFonts w:cs="Times New Roman"/>
        </w:rPr>
        <w:fldChar w:fldCharType="begin"/>
      </w:r>
      <w:r w:rsidR="00180E6F">
        <w:instrText xml:space="preserve"> XE "</w:instrText>
      </w:r>
      <w:r w:rsidR="00180E6F" w:rsidRPr="004A1A9F">
        <w:rPr>
          <w:rFonts w:cs="Times New Roman"/>
        </w:rPr>
        <w:instrText>price volatility</w:instrText>
      </w:r>
      <w:r w:rsidR="00180E6F">
        <w:instrText xml:space="preserve">" </w:instrText>
      </w:r>
      <w:r w:rsidR="001858B5">
        <w:rPr>
          <w:rFonts w:cs="Times New Roman"/>
        </w:rPr>
        <w:fldChar w:fldCharType="end"/>
      </w:r>
      <w:r w:rsidRPr="00124B71">
        <w:rPr>
          <w:rFonts w:cs="Times New Roman"/>
        </w:rPr>
        <w:t xml:space="preserve"> required special terms to facilitate buying at inflated pricing. The instability of these loan programs was demonstrated painfully during the deep market correction of the early 90s in California characterized by high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Pr="00124B71">
        <w:rPr>
          <w:rFonts w:cs="Times New Roman"/>
        </w:rPr>
        <w:t xml:space="preserve"> and lender losses. Rather than learn a difficult lesson </w:t>
      </w:r>
      <w:r w:rsidR="00F47734" w:rsidRPr="00124B71">
        <w:rPr>
          <w:rFonts w:cs="Times New Roman"/>
        </w:rPr>
        <w:t>regarding</w:t>
      </w:r>
      <w:r w:rsidRPr="00124B71">
        <w:rPr>
          <w:rFonts w:cs="Times New Roman"/>
        </w:rPr>
        <w:t xml:space="preserve"> the use of these alternative financing terms from this experience, lenders sought out ways of shifting these risks to others though a complex transaction called a credit default swap. </w:t>
      </w:r>
      <w:r w:rsidR="00E2042C" w:rsidRPr="00124B71">
        <w:rPr>
          <w:rFonts w:cs="Times New Roman"/>
        </w:rPr>
        <w:t>Once lenders and investors in mortgages thought the risk was mitigated, these unstable loan programs were brought back and made widely available to the general public</w:t>
      </w:r>
      <w:r w:rsidR="00603204" w:rsidRPr="00124B71">
        <w:rPr>
          <w:rFonts w:cs="Times New Roman"/>
        </w:rPr>
        <w:t xml:space="preserve"> resulting in</w:t>
      </w:r>
      <w:r w:rsidR="00E2042C" w:rsidRPr="00124B71">
        <w:rPr>
          <w:rFonts w:cs="Times New Roman"/>
        </w:rPr>
        <w:t xml:space="preserve"> </w:t>
      </w:r>
      <w:r w:rsidR="00603204" w:rsidRPr="00124B71">
        <w:rPr>
          <w:rFonts w:cs="Times New Roman"/>
        </w:rPr>
        <w:t>t</w:t>
      </w:r>
      <w:r w:rsidR="00E2042C" w:rsidRPr="00124B71">
        <w:rPr>
          <w:rFonts w:cs="Times New Roman"/>
        </w:rPr>
        <w:t>he Great Housing Bubble.</w:t>
      </w:r>
    </w:p>
    <w:p w14:paraId="213756EE" w14:textId="77777777" w:rsidR="0038399E" w:rsidRPr="00EF0EDA" w:rsidRDefault="0038399E" w:rsidP="00263B2B">
      <w:pPr>
        <w:pStyle w:val="Heading2"/>
      </w:pPr>
      <w:bookmarkStart w:id="20" w:name="_Toc238867275"/>
      <w:r w:rsidRPr="00EF0EDA">
        <w:lastRenderedPageBreak/>
        <w:t>Mortgage Interest Rates</w:t>
      </w:r>
      <w:bookmarkEnd w:id="20"/>
    </w:p>
    <w:p w14:paraId="630EAB38" w14:textId="77777777" w:rsidR="0038399E" w:rsidRPr="00124B71" w:rsidRDefault="0038399E" w:rsidP="0038399E">
      <w:pPr>
        <w:rPr>
          <w:rFonts w:cs="Times New Roman"/>
        </w:rPr>
      </w:pPr>
      <w:r w:rsidRPr="00124B71">
        <w:rPr>
          <w:rFonts w:cs="Times New Roman"/>
        </w:rPr>
        <w:t>Mortgage interest rates</w:t>
      </w:r>
      <w:r w:rsidR="001858B5">
        <w:rPr>
          <w:rFonts w:cs="Times New Roman"/>
        </w:rPr>
        <w:fldChar w:fldCharType="begin"/>
      </w:r>
      <w:r w:rsidR="00E84A0F">
        <w:instrText xml:space="preserve"> XE "</w:instrText>
      </w:r>
      <w:r w:rsidR="00E84A0F" w:rsidRPr="00D10AE8">
        <w:rPr>
          <w:rFonts w:cs="Times New Roman"/>
        </w:rPr>
        <w:instrText>Mortgage interest rates</w:instrText>
      </w:r>
      <w:r w:rsidR="00E84A0F">
        <w:instrText xml:space="preserve">" </w:instrText>
      </w:r>
      <w:r w:rsidR="001858B5">
        <w:rPr>
          <w:rFonts w:cs="Times New Roman"/>
        </w:rPr>
        <w:fldChar w:fldCharType="end"/>
      </w:r>
      <w:r w:rsidRPr="00124B71">
        <w:rPr>
          <w:rFonts w:cs="Times New Roman"/>
        </w:rPr>
        <w:t xml:space="preserve"> are the single-most important factor determining the borrowing power</w:t>
      </w:r>
      <w:r w:rsidR="00F47734" w:rsidRPr="00124B71">
        <w:rPr>
          <w:rFonts w:cs="Times New Roman"/>
        </w:rPr>
        <w:t xml:space="preserve"> of</w:t>
      </w:r>
      <w:r w:rsidRPr="00124B71">
        <w:rPr>
          <w:rFonts w:cs="Times New Roman"/>
        </w:rPr>
        <w:t xml:space="preserve"> a potential house buyer. When rates are very low, a borrower can service a large amount of debt with a relatively small payment, and when interest rates are ve</w:t>
      </w:r>
      <w:r w:rsidR="00333253" w:rsidRPr="00124B71">
        <w:rPr>
          <w:rFonts w:cs="Times New Roman"/>
        </w:rPr>
        <w:t>ry high, a borrower can service</w:t>
      </w:r>
      <w:r w:rsidRPr="00124B71">
        <w:rPr>
          <w:rFonts w:cs="Times New Roman"/>
        </w:rPr>
        <w:t xml:space="preserve"> a small amount of debt with a relatively large payment. Mortgage interest rates are determined by market forces</w:t>
      </w:r>
      <w:r w:rsidR="009C6310" w:rsidRPr="00124B71">
        <w:rPr>
          <w:rFonts w:cs="Times New Roman"/>
        </w:rPr>
        <w:t xml:space="preserve"> where investors in mortgages and mortgage-backed securities</w:t>
      </w:r>
      <w:r w:rsidR="001858B5">
        <w:rPr>
          <w:rFonts w:cs="Times New Roman"/>
        </w:rPr>
        <w:fldChar w:fldCharType="begin"/>
      </w:r>
      <w:r w:rsidR="00E84A0F">
        <w:instrText xml:space="preserve"> XE "</w:instrText>
      </w:r>
      <w:r w:rsidR="00E84A0F" w:rsidRPr="006650A7">
        <w:rPr>
          <w:rFonts w:cs="Times New Roman"/>
        </w:rPr>
        <w:instrText>mortgage-backed securities</w:instrText>
      </w:r>
      <w:r w:rsidR="00E84A0F">
        <w:instrText xml:space="preserve">" </w:instrText>
      </w:r>
      <w:r w:rsidR="001858B5">
        <w:rPr>
          <w:rFonts w:cs="Times New Roman"/>
        </w:rPr>
        <w:fldChar w:fldCharType="end"/>
      </w:r>
      <w:r w:rsidR="009C6310" w:rsidRPr="00124B71">
        <w:rPr>
          <w:rFonts w:cs="Times New Roman"/>
        </w:rPr>
        <w:t xml:space="preserve"> bid for these assets. The rate of return demanded by these investors determines the interest rate the originating lender will have to charge in order to sell the loan in the secondary market. Some lenders still hold mortgages in their own investment portfolio, but these mortgages and mortgage rates are subject to the same supply and demand</w:t>
      </w:r>
      <w:r w:rsidR="001858B5">
        <w:rPr>
          <w:rFonts w:cs="Times New Roman"/>
        </w:rPr>
        <w:fldChar w:fldCharType="begin"/>
      </w:r>
      <w:r w:rsidR="002321D5">
        <w:instrText xml:space="preserve"> XE "</w:instrText>
      </w:r>
      <w:r w:rsidR="002321D5" w:rsidRPr="00112EC2">
        <w:rPr>
          <w:rFonts w:cs="Times New Roman"/>
        </w:rPr>
        <w:instrText>supply and demand</w:instrText>
      </w:r>
      <w:r w:rsidR="002321D5">
        <w:instrText xml:space="preserve">" </w:instrText>
      </w:r>
      <w:r w:rsidR="001858B5">
        <w:rPr>
          <w:rFonts w:cs="Times New Roman"/>
        </w:rPr>
        <w:fldChar w:fldCharType="end"/>
      </w:r>
      <w:r w:rsidR="009C6310" w:rsidRPr="00124B71">
        <w:rPr>
          <w:rFonts w:cs="Times New Roman"/>
        </w:rPr>
        <w:t xml:space="preserve"> pressures generated by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009C6310" w:rsidRPr="00124B71">
        <w:rPr>
          <w:rFonts w:cs="Times New Roman"/>
        </w:rPr>
        <w:t>.</w:t>
      </w:r>
    </w:p>
    <w:p w14:paraId="44CB7D7A" w14:textId="50C27C66" w:rsidR="00202D40" w:rsidRPr="00EF0EDA" w:rsidRDefault="00CF05FE" w:rsidP="00CF05FE">
      <w:pPr>
        <w:pStyle w:val="Caption"/>
      </w:pPr>
      <w:bookmarkStart w:id="21" w:name="_Toc238867443"/>
      <w:r>
        <w:t xml:space="preserve">Figure </w:t>
      </w:r>
      <w:fldSimple w:instr=" SEQ Figure \* ARABIC ">
        <w:r w:rsidR="00493733">
          <w:rPr>
            <w:noProof/>
          </w:rPr>
          <w:t>2</w:t>
        </w:r>
      </w:fldSimple>
      <w:r w:rsidR="00317936">
        <w:t xml:space="preserve">: </w:t>
      </w:r>
      <w:r w:rsidRPr="00EF0EDA">
        <w:t>Components of Mortgage Interest Rates</w:t>
      </w:r>
      <w:bookmarkEnd w:id="21"/>
    </w:p>
    <w:p w14:paraId="4D998E02" w14:textId="77777777" w:rsidR="00202D40" w:rsidRPr="00124B71" w:rsidRDefault="002F756B" w:rsidP="00987FDA">
      <w:pPr>
        <w:pStyle w:val="Graphics"/>
      </w:pPr>
      <w:r>
        <w:drawing>
          <wp:inline distT="0" distB="0" distL="0" distR="0" wp14:anchorId="0A1B1D56" wp14:editId="4D412EC7">
            <wp:extent cx="3657600" cy="2971800"/>
            <wp:effectExtent l="19050" t="0" r="0" b="0"/>
            <wp:docPr id="2" name="Picture 1" descr="Components of Mortgage Interest R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nents of Mortgage Interest Rates.jpg"/>
                    <pic:cNvPicPr/>
                  </pic:nvPicPr>
                  <pic:blipFill>
                    <a:blip r:embed="rId28"/>
                    <a:stretch>
                      <a:fillRect/>
                    </a:stretch>
                  </pic:blipFill>
                  <pic:spPr>
                    <a:xfrm>
                      <a:off x="0" y="0"/>
                      <a:ext cx="3657600" cy="2971800"/>
                    </a:xfrm>
                    <a:prstGeom prst="rect">
                      <a:avLst/>
                    </a:prstGeom>
                  </pic:spPr>
                </pic:pic>
              </a:graphicData>
            </a:graphic>
          </wp:inline>
        </w:drawing>
      </w:r>
    </w:p>
    <w:p w14:paraId="16E9B0A8" w14:textId="77777777" w:rsidR="00EE41AE" w:rsidRPr="00124B71" w:rsidRDefault="009C6310" w:rsidP="00E87E8B">
      <w:pPr>
        <w:rPr>
          <w:rFonts w:cs="Times New Roman"/>
        </w:rPr>
      </w:pPr>
      <w:r w:rsidRPr="00124B71">
        <w:rPr>
          <w:rFonts w:cs="Times New Roman"/>
        </w:rPr>
        <w:t>Mortgage interest rates</w:t>
      </w:r>
      <w:r w:rsidR="001858B5">
        <w:rPr>
          <w:rFonts w:cs="Times New Roman"/>
        </w:rPr>
        <w:fldChar w:fldCharType="begin"/>
      </w:r>
      <w:r w:rsidR="00E84A0F">
        <w:instrText xml:space="preserve"> XE "</w:instrText>
      </w:r>
      <w:r w:rsidR="00E84A0F" w:rsidRPr="00D10AE8">
        <w:rPr>
          <w:rFonts w:cs="Times New Roman"/>
        </w:rPr>
        <w:instrText>Mortgage interest rates</w:instrText>
      </w:r>
      <w:r w:rsidR="00E84A0F">
        <w:instrText xml:space="preserve">" </w:instrText>
      </w:r>
      <w:r w:rsidR="001858B5">
        <w:rPr>
          <w:rFonts w:cs="Times New Roman"/>
        </w:rPr>
        <w:fldChar w:fldCharType="end"/>
      </w:r>
      <w:r w:rsidRPr="00124B71">
        <w:rPr>
          <w:rFonts w:cs="Times New Roman"/>
        </w:rPr>
        <w:t xml:space="preserve"> are determined by investor demands for risk adjusted return on their investment. The return investors demand is determined by three primary factors: the riskless rate of return</w:t>
      </w:r>
      <w:r w:rsidR="001858B5">
        <w:rPr>
          <w:rFonts w:cs="Times New Roman"/>
        </w:rPr>
        <w:fldChar w:fldCharType="begin"/>
      </w:r>
      <w:r w:rsidR="00E84A0F">
        <w:instrText xml:space="preserve"> XE "</w:instrText>
      </w:r>
      <w:r w:rsidR="00E84A0F" w:rsidRPr="007049F4">
        <w:rPr>
          <w:rFonts w:cs="Times New Roman"/>
        </w:rPr>
        <w:instrText>riskless rate of return</w:instrText>
      </w:r>
      <w:r w:rsidR="00E84A0F">
        <w:instrText xml:space="preserve">" </w:instrText>
      </w:r>
      <w:r w:rsidR="001858B5">
        <w:rPr>
          <w:rFonts w:cs="Times New Roman"/>
        </w:rPr>
        <w:fldChar w:fldCharType="end"/>
      </w:r>
      <w:r w:rsidRPr="00124B71">
        <w:rPr>
          <w:rFonts w:cs="Times New Roman"/>
        </w:rPr>
        <w:t xml:space="preserve">, </w:t>
      </w:r>
      <w:r w:rsidR="00E87E8B" w:rsidRPr="00124B71">
        <w:rPr>
          <w:rFonts w:cs="Times New Roman"/>
        </w:rPr>
        <w:t>the inflation premium</w:t>
      </w:r>
      <w:r w:rsidR="001858B5">
        <w:rPr>
          <w:rFonts w:cs="Times New Roman"/>
        </w:rPr>
        <w:fldChar w:fldCharType="begin"/>
      </w:r>
      <w:r w:rsidR="00E84A0F">
        <w:instrText xml:space="preserve"> XE "</w:instrText>
      </w:r>
      <w:r w:rsidR="00E84A0F" w:rsidRPr="00B35B28">
        <w:rPr>
          <w:rFonts w:cs="Times New Roman"/>
        </w:rPr>
        <w:instrText>inflation premium</w:instrText>
      </w:r>
      <w:r w:rsidR="00E84A0F">
        <w:instrText xml:space="preserve">" </w:instrText>
      </w:r>
      <w:r w:rsidR="001858B5">
        <w:rPr>
          <w:rFonts w:cs="Times New Roman"/>
        </w:rPr>
        <w:fldChar w:fldCharType="end"/>
      </w:r>
      <w:r w:rsidR="00E87E8B" w:rsidRPr="00124B71">
        <w:rPr>
          <w:rFonts w:cs="Times New Roman"/>
        </w:rPr>
        <w:t xml:space="preserve"> </w:t>
      </w:r>
      <w:r w:rsidRPr="00124B71">
        <w:rPr>
          <w:rFonts w:cs="Times New Roman"/>
        </w:rPr>
        <w:t>and</w:t>
      </w:r>
      <w:r w:rsidR="00E87E8B" w:rsidRPr="00124B71">
        <w:rPr>
          <w:rFonts w:cs="Times New Roman"/>
        </w:rPr>
        <w:t xml:space="preserve"> the risk premium</w:t>
      </w:r>
      <w:r w:rsidR="001858B5">
        <w:rPr>
          <w:rFonts w:cs="Times New Roman"/>
        </w:rPr>
        <w:fldChar w:fldCharType="begin"/>
      </w:r>
      <w:r w:rsidR="00E84A0F">
        <w:instrText xml:space="preserve"> XE "</w:instrText>
      </w:r>
      <w:r w:rsidR="00E84A0F" w:rsidRPr="00886CD4">
        <w:rPr>
          <w:rFonts w:cs="Times New Roman"/>
        </w:rPr>
        <w:instrText>risk premium</w:instrText>
      </w:r>
      <w:r w:rsidR="00E84A0F">
        <w:instrText xml:space="preserve">" </w:instrText>
      </w:r>
      <w:r w:rsidR="001858B5">
        <w:rPr>
          <w:rFonts w:cs="Times New Roman"/>
        </w:rPr>
        <w:fldChar w:fldCharType="end"/>
      </w:r>
      <w:r w:rsidRPr="00124B71">
        <w:rPr>
          <w:rFonts w:cs="Times New Roman"/>
        </w:rPr>
        <w:t xml:space="preserve">. The riskless rate of return is the return an investor could obtain in an investment </w:t>
      </w:r>
      <w:r w:rsidR="00202D40" w:rsidRPr="00124B71">
        <w:rPr>
          <w:rFonts w:cs="Times New Roman"/>
        </w:rPr>
        <w:t xml:space="preserve">like a short-term Treasury </w:t>
      </w:r>
      <w:r w:rsidR="00F47734" w:rsidRPr="00124B71">
        <w:rPr>
          <w:rFonts w:cs="Times New Roman"/>
        </w:rPr>
        <w:t>B</w:t>
      </w:r>
      <w:r w:rsidR="00202D40" w:rsidRPr="00124B71">
        <w:rPr>
          <w:rFonts w:cs="Times New Roman"/>
        </w:rPr>
        <w:t>ill</w:t>
      </w:r>
      <w:r w:rsidR="001858B5">
        <w:rPr>
          <w:rFonts w:cs="Times New Roman"/>
        </w:rPr>
        <w:fldChar w:fldCharType="begin"/>
      </w:r>
      <w:r w:rsidR="00E84A0F">
        <w:instrText xml:space="preserve"> XE "</w:instrText>
      </w:r>
      <w:r w:rsidR="00E84A0F" w:rsidRPr="00210F10">
        <w:rPr>
          <w:rFonts w:cs="Times New Roman"/>
        </w:rPr>
        <w:instrText>Treasury Bill</w:instrText>
      </w:r>
      <w:r w:rsidR="00E84A0F">
        <w:instrText xml:space="preserve">" </w:instrText>
      </w:r>
      <w:r w:rsidR="001858B5">
        <w:rPr>
          <w:rFonts w:cs="Times New Roman"/>
        </w:rPr>
        <w:fldChar w:fldCharType="end"/>
      </w:r>
      <w:r w:rsidR="00202D40" w:rsidRPr="00124B71">
        <w:rPr>
          <w:rFonts w:cs="Times New Roman"/>
        </w:rPr>
        <w:t xml:space="preserve">. Treasury Bills range in duration from a few days to as long as 26 weeks. Due to their short duration, Treasury Bills contain little if any allowance for inflation. </w:t>
      </w:r>
      <w:r w:rsidR="00F303B2" w:rsidRPr="00124B71">
        <w:rPr>
          <w:rFonts w:cs="Times New Roman"/>
        </w:rPr>
        <w:t>A</w:t>
      </w:r>
      <w:r w:rsidRPr="00124B71">
        <w:rPr>
          <w:rFonts w:cs="Times New Roman"/>
        </w:rPr>
        <w:t xml:space="preserve"> close approximation to this rate is the </w:t>
      </w:r>
      <w:r w:rsidR="00F47734" w:rsidRPr="00124B71">
        <w:rPr>
          <w:rFonts w:cs="Times New Roman"/>
        </w:rPr>
        <w:t>Federal Funds Rate</w:t>
      </w:r>
      <w:r w:rsidR="001858B5">
        <w:rPr>
          <w:rFonts w:cs="Times New Roman"/>
        </w:rPr>
        <w:fldChar w:fldCharType="begin"/>
      </w:r>
      <w:r w:rsidR="00E84A0F">
        <w:instrText xml:space="preserve"> XE "</w:instrText>
      </w:r>
      <w:r w:rsidR="00E84A0F" w:rsidRPr="007F3A45">
        <w:rPr>
          <w:rFonts w:cs="Times New Roman"/>
        </w:rPr>
        <w:instrText>Federal Funds Rate</w:instrText>
      </w:r>
      <w:r w:rsidR="00E84A0F">
        <w:instrText xml:space="preserve">" </w:instrText>
      </w:r>
      <w:r w:rsidR="001858B5">
        <w:rPr>
          <w:rFonts w:cs="Times New Roman"/>
        </w:rPr>
        <w:fldChar w:fldCharType="end"/>
      </w:r>
      <w:r w:rsidR="00F47734" w:rsidRPr="00124B71">
        <w:rPr>
          <w:rFonts w:cs="Times New Roman"/>
        </w:rPr>
        <w:t xml:space="preserve"> </w:t>
      </w:r>
      <w:r w:rsidRPr="00124B71">
        <w:rPr>
          <w:rFonts w:cs="Times New Roman"/>
        </w:rPr>
        <w:t>controlled by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00633C3A">
        <w:rPr>
          <w:rFonts w:cs="Times New Roman"/>
        </w:rPr>
        <w:t>. It is one of the reasons the</w:t>
      </w:r>
      <w:r w:rsidRPr="00124B71">
        <w:rPr>
          <w:rFonts w:cs="Times New Roman"/>
        </w:rPr>
        <w:t xml:space="preserve"> activities of the Federal Reserve are watched so closely by investors. </w:t>
      </w:r>
      <w:r w:rsidR="00202D40" w:rsidRPr="00124B71">
        <w:rPr>
          <w:rFonts w:cs="Times New Roman"/>
        </w:rPr>
        <w:t xml:space="preserve">The closest risk-free approximation to mortgage loans is the 10-year </w:t>
      </w:r>
      <w:r w:rsidR="00202D40" w:rsidRPr="00124B71">
        <w:rPr>
          <w:rFonts w:cs="Times New Roman"/>
        </w:rPr>
        <w:lastRenderedPageBreak/>
        <w:t>Treasury Note</w:t>
      </w:r>
      <w:r w:rsidR="001858B5">
        <w:rPr>
          <w:rFonts w:cs="Times New Roman"/>
        </w:rPr>
        <w:fldChar w:fldCharType="begin"/>
      </w:r>
      <w:r w:rsidR="00E84A0F">
        <w:instrText xml:space="preserve"> XE "</w:instrText>
      </w:r>
      <w:r w:rsidR="00E84A0F" w:rsidRPr="00230EC2">
        <w:rPr>
          <w:rFonts w:cs="Times New Roman"/>
        </w:rPr>
        <w:instrText>Treasury Note</w:instrText>
      </w:r>
      <w:r w:rsidR="00E84A0F">
        <w:instrText xml:space="preserve">" </w:instrText>
      </w:r>
      <w:r w:rsidR="001858B5">
        <w:rPr>
          <w:rFonts w:cs="Times New Roman"/>
        </w:rPr>
        <w:fldChar w:fldCharType="end"/>
      </w:r>
      <w:r w:rsidR="00202D40" w:rsidRPr="00124B71">
        <w:rPr>
          <w:rFonts w:cs="Times New Roman"/>
        </w:rPr>
        <w:t>. Treasury Notes earn a fixed rate of interest every six months until maturity issued in terms of 2, 5, and 10 years. The 10-year Treasury Note is a close approximation to mortgage loans because most fixed-rate mortgage</w:t>
      </w:r>
      <w:r w:rsidR="00E87E8B" w:rsidRPr="00124B71">
        <w:rPr>
          <w:rFonts w:cs="Times New Roman"/>
        </w:rPr>
        <w:t>s</w:t>
      </w:r>
      <w:r w:rsidR="00202D40" w:rsidRPr="00124B71">
        <w:rPr>
          <w:rFonts w:cs="Times New Roman"/>
        </w:rPr>
        <w:t xml:space="preserve"> are paid off before the 30 year maturity with 7 years being a typical payoff timeframe. </w:t>
      </w:r>
    </w:p>
    <w:p w14:paraId="1E2ACCEA" w14:textId="77777777" w:rsidR="009C6310" w:rsidRPr="00124B71" w:rsidRDefault="00202D40" w:rsidP="00E87E8B">
      <w:pPr>
        <w:rPr>
          <w:rFonts w:cs="Times New Roman"/>
        </w:rPr>
      </w:pPr>
      <w:r w:rsidRPr="00124B71">
        <w:rPr>
          <w:rFonts w:cs="Times New Roman"/>
        </w:rPr>
        <w:t>The difference in yield between a 10-year Treasury Note</w:t>
      </w:r>
      <w:r w:rsidR="001858B5">
        <w:rPr>
          <w:rFonts w:cs="Times New Roman"/>
        </w:rPr>
        <w:fldChar w:fldCharType="begin"/>
      </w:r>
      <w:r w:rsidR="00E84A0F">
        <w:instrText xml:space="preserve"> XE "</w:instrText>
      </w:r>
      <w:r w:rsidR="00E84A0F" w:rsidRPr="00230EC2">
        <w:rPr>
          <w:rFonts w:cs="Times New Roman"/>
        </w:rPr>
        <w:instrText>Treasury Note</w:instrText>
      </w:r>
      <w:r w:rsidR="00E84A0F">
        <w:instrText xml:space="preserve">" </w:instrText>
      </w:r>
      <w:r w:rsidR="001858B5">
        <w:rPr>
          <w:rFonts w:cs="Times New Roman"/>
        </w:rPr>
        <w:fldChar w:fldCharType="end"/>
      </w:r>
      <w:r w:rsidRPr="00124B71">
        <w:rPr>
          <w:rFonts w:cs="Times New Roman"/>
        </w:rPr>
        <w:t xml:space="preserve"> and a 30-day Treasury Bill</w:t>
      </w:r>
      <w:r w:rsidR="001858B5">
        <w:rPr>
          <w:rFonts w:cs="Times New Roman"/>
        </w:rPr>
        <w:fldChar w:fldCharType="begin"/>
      </w:r>
      <w:r w:rsidR="00E84A0F">
        <w:instrText xml:space="preserve"> XE "</w:instrText>
      </w:r>
      <w:r w:rsidR="00E84A0F" w:rsidRPr="00210F10">
        <w:rPr>
          <w:rFonts w:cs="Times New Roman"/>
        </w:rPr>
        <w:instrText>Treasury Bill</w:instrText>
      </w:r>
      <w:r w:rsidR="00E84A0F">
        <w:instrText xml:space="preserve">" </w:instrText>
      </w:r>
      <w:r w:rsidR="001858B5">
        <w:rPr>
          <w:rFonts w:cs="Times New Roman"/>
        </w:rPr>
        <w:fldChar w:fldCharType="end"/>
      </w:r>
      <w:r w:rsidRPr="00124B71">
        <w:rPr>
          <w:rFonts w:cs="Times New Roman"/>
        </w:rPr>
        <w:t xml:space="preserve"> is a measure of in</w:t>
      </w:r>
      <w:r w:rsidR="00E87E8B" w:rsidRPr="00124B71">
        <w:rPr>
          <w:rFonts w:cs="Times New Roman"/>
        </w:rPr>
        <w:t>vestor expectation of inflation, and the difference between the yield on a 10-year Treasury Note and the prevailing market mortgage interest rate is a measure of the risk premium</w:t>
      </w:r>
      <w:r w:rsidR="001858B5">
        <w:rPr>
          <w:rFonts w:cs="Times New Roman"/>
        </w:rPr>
        <w:fldChar w:fldCharType="begin"/>
      </w:r>
      <w:r w:rsidR="00E84A0F">
        <w:instrText xml:space="preserve"> XE "</w:instrText>
      </w:r>
      <w:r w:rsidR="00E84A0F" w:rsidRPr="00886CD4">
        <w:rPr>
          <w:rFonts w:cs="Times New Roman"/>
        </w:rPr>
        <w:instrText>risk premium</w:instrText>
      </w:r>
      <w:r w:rsidR="00E84A0F">
        <w:instrText xml:space="preserve">" </w:instrText>
      </w:r>
      <w:r w:rsidR="001858B5">
        <w:rPr>
          <w:rFonts w:cs="Times New Roman"/>
        </w:rPr>
        <w:fldChar w:fldCharType="end"/>
      </w:r>
      <w:r w:rsidR="00E87E8B" w:rsidRPr="00124B71">
        <w:rPr>
          <w:rFonts w:cs="Times New Roman"/>
        </w:rPr>
        <w:t>. Inflation</w:t>
      </w:r>
      <w:r w:rsidR="001858B5">
        <w:rPr>
          <w:rFonts w:cs="Times New Roman"/>
        </w:rPr>
        <w:fldChar w:fldCharType="begin"/>
      </w:r>
      <w:r w:rsidR="00E84A0F">
        <w:instrText xml:space="preserve"> XE "</w:instrText>
      </w:r>
      <w:r w:rsidR="00E84A0F" w:rsidRPr="00725B11">
        <w:rPr>
          <w:rFonts w:cs="Times New Roman"/>
        </w:rPr>
        <w:instrText>Inflation</w:instrText>
      </w:r>
      <w:r w:rsidR="00E84A0F">
        <w:instrText xml:space="preserve">" </w:instrText>
      </w:r>
      <w:r w:rsidR="001858B5">
        <w:rPr>
          <w:rFonts w:cs="Times New Roman"/>
        </w:rPr>
        <w:fldChar w:fldCharType="end"/>
      </w:r>
      <w:r w:rsidR="00E87E8B" w:rsidRPr="00124B71">
        <w:rPr>
          <w:rFonts w:cs="Times New Roman"/>
        </w:rPr>
        <w:t xml:space="preserve"> reduces the buying power of money over time, and if investor</w:t>
      </w:r>
      <w:r w:rsidR="00F47734" w:rsidRPr="00124B71">
        <w:rPr>
          <w:rFonts w:cs="Times New Roman"/>
        </w:rPr>
        <w:t>s</w:t>
      </w:r>
      <w:r w:rsidR="00E87E8B" w:rsidRPr="00124B71">
        <w:rPr>
          <w:rFonts w:cs="Times New Roman"/>
        </w:rPr>
        <w:t xml:space="preserve"> must wait a long period of time to be repaid, as is the case in a home mortgage, they will be receiving dollars that have less value than the ones they provided when the loan was originated. Investors demand compensation to offset the corrosive effect of inflation. This is the inflation premium</w:t>
      </w:r>
      <w:r w:rsidR="001858B5">
        <w:rPr>
          <w:rFonts w:cs="Times New Roman"/>
        </w:rPr>
        <w:fldChar w:fldCharType="begin"/>
      </w:r>
      <w:r w:rsidR="00E84A0F">
        <w:instrText xml:space="preserve"> XE "</w:instrText>
      </w:r>
      <w:r w:rsidR="00E84A0F" w:rsidRPr="00B35B28">
        <w:rPr>
          <w:rFonts w:cs="Times New Roman"/>
        </w:rPr>
        <w:instrText>inflation premium</w:instrText>
      </w:r>
      <w:r w:rsidR="00E84A0F">
        <w:instrText xml:space="preserve">" </w:instrText>
      </w:r>
      <w:r w:rsidR="001858B5">
        <w:rPr>
          <w:rFonts w:cs="Times New Roman"/>
        </w:rPr>
        <w:fldChar w:fldCharType="end"/>
      </w:r>
      <w:r w:rsidR="00E87E8B" w:rsidRPr="00124B71">
        <w:rPr>
          <w:rFonts w:cs="Times New Roman"/>
        </w:rPr>
        <w:t xml:space="preserve">. </w:t>
      </w:r>
      <w:r w:rsidR="009C6310" w:rsidRPr="00124B71">
        <w:rPr>
          <w:rFonts w:cs="Times New Roman"/>
        </w:rPr>
        <w:t xml:space="preserve">The risk premium is the added interest investors demand to compensate them for the possibility the investment may not perform as planned. Investors know exactly how much they will get if they invest in </w:t>
      </w:r>
      <w:r w:rsidR="00E87E8B" w:rsidRPr="00124B71">
        <w:rPr>
          <w:rFonts w:cs="Times New Roman"/>
        </w:rPr>
        <w:t>T</w:t>
      </w:r>
      <w:r w:rsidR="009C6310" w:rsidRPr="00124B71">
        <w:rPr>
          <w:rFonts w:cs="Times New Roman"/>
        </w:rPr>
        <w:t xml:space="preserve">reasury </w:t>
      </w:r>
      <w:r w:rsidR="00E87E8B" w:rsidRPr="00124B71">
        <w:rPr>
          <w:rFonts w:cs="Times New Roman"/>
        </w:rPr>
        <w:t>Notes</w:t>
      </w:r>
      <w:r w:rsidR="009C6310" w:rsidRPr="00124B71">
        <w:rPr>
          <w:rFonts w:cs="Times New Roman"/>
        </w:rPr>
        <w:t xml:space="preserve">, but they do not know exactly what they will get back if they invest in residential home mortgages or the investment vehicles created from them. This uncertainty of return causes them to ask for a rate higher than that of </w:t>
      </w:r>
      <w:r w:rsidR="00E87E8B" w:rsidRPr="00124B71">
        <w:rPr>
          <w:rFonts w:cs="Times New Roman"/>
        </w:rPr>
        <w:t>Treasury Notes</w:t>
      </w:r>
      <w:r w:rsidR="009C6310" w:rsidRPr="00124B71">
        <w:rPr>
          <w:rFonts w:cs="Times New Roman"/>
        </w:rPr>
        <w:t xml:space="preserve">. This additional compensation is the risk premium. </w:t>
      </w:r>
      <w:r w:rsidR="00E87E8B" w:rsidRPr="00124B71">
        <w:rPr>
          <w:rFonts w:cs="Times New Roman"/>
        </w:rPr>
        <w:t xml:space="preserve"> </w:t>
      </w:r>
      <w:r w:rsidR="00B20218" w:rsidRPr="00124B71">
        <w:rPr>
          <w:rFonts w:cs="Times New Roman"/>
        </w:rPr>
        <w:t>Mortgage interest rates</w:t>
      </w:r>
      <w:r w:rsidR="001858B5">
        <w:rPr>
          <w:rFonts w:cs="Times New Roman"/>
        </w:rPr>
        <w:fldChar w:fldCharType="begin"/>
      </w:r>
      <w:r w:rsidR="00E84A0F">
        <w:instrText xml:space="preserve"> XE "</w:instrText>
      </w:r>
      <w:r w:rsidR="00E84A0F" w:rsidRPr="00D10AE8">
        <w:rPr>
          <w:rFonts w:cs="Times New Roman"/>
        </w:rPr>
        <w:instrText>Mortgage interest rates</w:instrText>
      </w:r>
      <w:r w:rsidR="00E84A0F">
        <w:instrText xml:space="preserve">" </w:instrText>
      </w:r>
      <w:r w:rsidR="001858B5">
        <w:rPr>
          <w:rFonts w:cs="Times New Roman"/>
        </w:rPr>
        <w:fldChar w:fldCharType="end"/>
      </w:r>
      <w:r w:rsidR="00B20218" w:rsidRPr="00124B71">
        <w:rPr>
          <w:rFonts w:cs="Times New Roman"/>
        </w:rPr>
        <w:t xml:space="preserve"> are a combination </w:t>
      </w:r>
      <w:r w:rsidR="00E87E8B" w:rsidRPr="00124B71">
        <w:rPr>
          <w:rFonts w:cs="Times New Roman"/>
        </w:rPr>
        <w:t>of the riskless rate of return</w:t>
      </w:r>
      <w:r w:rsidR="001858B5">
        <w:rPr>
          <w:rFonts w:cs="Times New Roman"/>
        </w:rPr>
        <w:fldChar w:fldCharType="begin"/>
      </w:r>
      <w:r w:rsidR="00E84A0F">
        <w:instrText xml:space="preserve"> XE "</w:instrText>
      </w:r>
      <w:r w:rsidR="00E84A0F" w:rsidRPr="007049F4">
        <w:rPr>
          <w:rFonts w:cs="Times New Roman"/>
        </w:rPr>
        <w:instrText>riskless rate of return</w:instrText>
      </w:r>
      <w:r w:rsidR="00E84A0F">
        <w:instrText xml:space="preserve">" </w:instrText>
      </w:r>
      <w:r w:rsidR="001858B5">
        <w:rPr>
          <w:rFonts w:cs="Times New Roman"/>
        </w:rPr>
        <w:fldChar w:fldCharType="end"/>
      </w:r>
      <w:r w:rsidR="00B20218" w:rsidRPr="00124B71">
        <w:rPr>
          <w:rFonts w:cs="Times New Roman"/>
        </w:rPr>
        <w:t>, the risk premium and the inflation premium.</w:t>
      </w:r>
    </w:p>
    <w:p w14:paraId="6B03E31B" w14:textId="77777777" w:rsidR="009C6310" w:rsidRPr="00124B71" w:rsidRDefault="00B20218" w:rsidP="0038399E">
      <w:pPr>
        <w:rPr>
          <w:rFonts w:cs="Times New Roman"/>
        </w:rPr>
      </w:pPr>
      <w:r w:rsidRPr="00124B71">
        <w:rPr>
          <w:rFonts w:cs="Times New Roman"/>
        </w:rPr>
        <w:t xml:space="preserve">The fluctuation in </w:t>
      </w:r>
      <w:r w:rsidR="00EE41AE" w:rsidRPr="00124B71">
        <w:rPr>
          <w:rFonts w:cs="Times New Roman"/>
        </w:rPr>
        <w:t xml:space="preserve">mortgage </w:t>
      </w:r>
      <w:r w:rsidRPr="00124B71">
        <w:rPr>
          <w:rFonts w:cs="Times New Roman"/>
        </w:rPr>
        <w:t>interest rates has implications for when i</w:t>
      </w:r>
      <w:r w:rsidR="004272E3" w:rsidRPr="00124B71">
        <w:rPr>
          <w:rFonts w:cs="Times New Roman"/>
        </w:rPr>
        <w:t>t</w:t>
      </w:r>
      <w:r w:rsidR="00633C3A">
        <w:rPr>
          <w:rFonts w:cs="Times New Roman"/>
        </w:rPr>
        <w:t xml:space="preserve"> is</w:t>
      </w:r>
      <w:r w:rsidRPr="00124B71">
        <w:rPr>
          <w:rFonts w:cs="Times New Roman"/>
        </w:rPr>
        <w:t xml:space="preserve"> the best time to buy and the best time to refinance a home mortgage. It is a popular misconception that low interest rates make for a good buying opportunity. When interest rates are declining, borrowers can finance larger sums, and this does prompt many people to buy and home prices to rise, but when interest rates are low is also when prices are highest. A buyer in</w:t>
      </w:r>
      <w:r w:rsidR="00633C3A">
        <w:rPr>
          <w:rFonts w:cs="Times New Roman"/>
        </w:rPr>
        <w:t xml:space="preserve"> a</w:t>
      </w:r>
      <w:r w:rsidRPr="00124B71">
        <w:rPr>
          <w:rFonts w:cs="Times New Roman"/>
        </w:rPr>
        <w:t xml:space="preserve"> low-interest-rate environment may obtain an expensive property, but the resale value of that property will decline when interest rates </w:t>
      </w:r>
      <w:r w:rsidR="004272E3" w:rsidRPr="00124B71">
        <w:rPr>
          <w:rFonts w:cs="Times New Roman"/>
        </w:rPr>
        <w:t>rise</w:t>
      </w:r>
      <w:r w:rsidRPr="00124B71">
        <w:rPr>
          <w:rFonts w:cs="Times New Roman"/>
        </w:rPr>
        <w:t xml:space="preserve"> because future buyers will not be able to finance such large sums. A low-interest-rate environment is an excellent time to refinance because a conservative borrower can either obtain a lower payment or shorten the amortization schedule</w:t>
      </w:r>
      <w:r w:rsidR="001858B5">
        <w:rPr>
          <w:rFonts w:cs="Times New Roman"/>
        </w:rPr>
        <w:fldChar w:fldCharType="begin"/>
      </w:r>
      <w:r w:rsidR="00E84A0F">
        <w:instrText xml:space="preserve"> XE "</w:instrText>
      </w:r>
      <w:r w:rsidR="00E84A0F" w:rsidRPr="00F4169C">
        <w:rPr>
          <w:rFonts w:cs="Times New Roman"/>
        </w:rPr>
        <w:instrText>amortization schedule</w:instrText>
      </w:r>
      <w:r w:rsidR="00E84A0F">
        <w:instrText xml:space="preserve">" </w:instrText>
      </w:r>
      <w:r w:rsidR="001858B5">
        <w:rPr>
          <w:rFonts w:cs="Times New Roman"/>
        </w:rPr>
        <w:fldChar w:fldCharType="end"/>
      </w:r>
      <w:r w:rsidRPr="00124B71">
        <w:rPr>
          <w:rFonts w:cs="Times New Roman"/>
        </w:rPr>
        <w:t xml:space="preserve"> and pay the loan off faster. The best time to purchase a house is when interest rates are very high. Again, this is counterintuitive because the interest is so much greater, but this will also mean the amount financed will be much lower and house prices will be relatively low. It is better to buy when interest rates are high and later refinance when interest rates decline. </w:t>
      </w:r>
      <w:r w:rsidR="004272E3" w:rsidRPr="00124B71">
        <w:rPr>
          <w:rFonts w:cs="Times New Roman"/>
        </w:rPr>
        <w:t>A borrower</w:t>
      </w:r>
      <w:r w:rsidRPr="00124B71">
        <w:rPr>
          <w:rFonts w:cs="Times New Roman"/>
        </w:rPr>
        <w:t xml:space="preserve"> can refinance into a lower payment, but </w:t>
      </w:r>
      <w:r w:rsidR="004272E3" w:rsidRPr="00124B71">
        <w:rPr>
          <w:rFonts w:cs="Times New Roman"/>
        </w:rPr>
        <w:t xml:space="preserve">without additional cash, a borrower </w:t>
      </w:r>
      <w:r w:rsidRPr="00124B71">
        <w:rPr>
          <w:rFonts w:cs="Times New Roman"/>
        </w:rPr>
        <w:t>cannot refinance into a lower debt.</w:t>
      </w:r>
    </w:p>
    <w:p w14:paraId="0F2C6232" w14:textId="77777777" w:rsidR="00263B2B" w:rsidRPr="00EF0EDA" w:rsidRDefault="00263B2B" w:rsidP="00263B2B">
      <w:pPr>
        <w:pStyle w:val="Heading2"/>
      </w:pPr>
      <w:bookmarkStart w:id="22" w:name="_Toc238867276"/>
      <w:r w:rsidRPr="00EF0EDA">
        <w:t>Types of Borrowers</w:t>
      </w:r>
      <w:bookmarkEnd w:id="22"/>
    </w:p>
    <w:p w14:paraId="34BFD47B" w14:textId="77777777" w:rsidR="00263B2B" w:rsidRPr="00124B71" w:rsidRDefault="00444AF3" w:rsidP="00263B2B">
      <w:pPr>
        <w:rPr>
          <w:rFonts w:cs="Times New Roman"/>
        </w:rPr>
      </w:pPr>
      <w:r w:rsidRPr="00124B71">
        <w:rPr>
          <w:rFonts w:cs="Times New Roman"/>
        </w:rPr>
        <w:t>Borrowers are broadly categorized by the characteristics of their payment history as reflected in their FICO</w:t>
      </w:r>
      <w:r w:rsidR="001858B5">
        <w:rPr>
          <w:rFonts w:cs="Times New Roman"/>
        </w:rPr>
        <w:fldChar w:fldCharType="begin"/>
      </w:r>
      <w:r w:rsidR="003247C5">
        <w:instrText xml:space="preserve"> XE "</w:instrText>
      </w:r>
      <w:r w:rsidR="003247C5" w:rsidRPr="006E6D09">
        <w:rPr>
          <w:rFonts w:cs="Times New Roman"/>
        </w:rPr>
        <w:instrText>FICO</w:instrText>
      </w:r>
      <w:r w:rsidR="003247C5">
        <w:instrText xml:space="preserve">" </w:instrText>
      </w:r>
      <w:r w:rsidR="001858B5">
        <w:rPr>
          <w:rFonts w:cs="Times New Roman"/>
        </w:rPr>
        <w:fldChar w:fldCharType="end"/>
      </w:r>
      <w:r w:rsidRPr="00124B71">
        <w:rPr>
          <w:rFonts w:cs="Times New Roman"/>
        </w:rPr>
        <w:t xml:space="preserve"> score. FICO risk scores are developed and maintained by the Fair </w:t>
      </w:r>
      <w:r w:rsidR="00C717E1" w:rsidRPr="00124B71">
        <w:rPr>
          <w:rFonts w:cs="Times New Roman"/>
        </w:rPr>
        <w:t>Isaac</w:t>
      </w:r>
      <w:r w:rsidRPr="00124B71">
        <w:rPr>
          <w:rFonts w:cs="Times New Roman"/>
        </w:rPr>
        <w:t xml:space="preserve"> Corporation</w:t>
      </w:r>
      <w:r w:rsidR="001858B5">
        <w:rPr>
          <w:rFonts w:cs="Times New Roman"/>
        </w:rPr>
        <w:fldChar w:fldCharType="begin"/>
      </w:r>
      <w:r w:rsidR="003247C5">
        <w:instrText xml:space="preserve"> XE "</w:instrText>
      </w:r>
      <w:r w:rsidR="003247C5" w:rsidRPr="00147236">
        <w:rPr>
          <w:rFonts w:cs="Times New Roman"/>
        </w:rPr>
        <w:instrText>Fair Isaac Corporation</w:instrText>
      </w:r>
      <w:r w:rsidR="003247C5">
        <w:instrText xml:space="preserve">" </w:instrText>
      </w:r>
      <w:r w:rsidR="001858B5">
        <w:rPr>
          <w:rFonts w:cs="Times New Roman"/>
        </w:rPr>
        <w:fldChar w:fldCharType="end"/>
      </w:r>
      <w:r w:rsidRPr="00124B71">
        <w:rPr>
          <w:rFonts w:cs="Times New Roman"/>
        </w:rPr>
        <w:t xml:space="preserve"> utilizing a proprietary predictive model based on an analysis of consumer profiles and credit histories. These </w:t>
      </w:r>
      <w:r w:rsidRPr="00124B71">
        <w:rPr>
          <w:rFonts w:cs="Times New Roman"/>
        </w:rPr>
        <w:lastRenderedPageBreak/>
        <w:t>models are updated frequently to reflect changes in consumer credit behavior and lending practices. The FICO score is reported by the three major credit reporting agencies, Experian</w:t>
      </w:r>
      <w:r w:rsidR="001858B5">
        <w:rPr>
          <w:rFonts w:cs="Times New Roman"/>
        </w:rPr>
        <w:fldChar w:fldCharType="begin"/>
      </w:r>
      <w:r w:rsidR="003852DB">
        <w:instrText xml:space="preserve"> XE "</w:instrText>
      </w:r>
      <w:r w:rsidR="003852DB" w:rsidRPr="002B5133">
        <w:rPr>
          <w:rFonts w:cs="Times New Roman"/>
        </w:rPr>
        <w:instrText>Experian</w:instrText>
      </w:r>
      <w:r w:rsidR="003852DB">
        <w:instrText xml:space="preserve">" </w:instrText>
      </w:r>
      <w:r w:rsidR="001858B5">
        <w:rPr>
          <w:rFonts w:cs="Times New Roman"/>
        </w:rPr>
        <w:fldChar w:fldCharType="end"/>
      </w:r>
      <w:r w:rsidRPr="00124B71">
        <w:rPr>
          <w:rFonts w:cs="Times New Roman"/>
        </w:rPr>
        <w:t>, Equifax</w:t>
      </w:r>
      <w:r w:rsidR="001858B5">
        <w:rPr>
          <w:rFonts w:cs="Times New Roman"/>
        </w:rPr>
        <w:fldChar w:fldCharType="begin"/>
      </w:r>
      <w:r w:rsidR="003852DB">
        <w:instrText xml:space="preserve"> XE "</w:instrText>
      </w:r>
      <w:r w:rsidR="003852DB" w:rsidRPr="000427EF">
        <w:rPr>
          <w:rFonts w:cs="Times New Roman"/>
        </w:rPr>
        <w:instrText>Equifax</w:instrText>
      </w:r>
      <w:r w:rsidR="003852DB">
        <w:instrText xml:space="preserve">" </w:instrText>
      </w:r>
      <w:r w:rsidR="001858B5">
        <w:rPr>
          <w:rFonts w:cs="Times New Roman"/>
        </w:rPr>
        <w:fldChar w:fldCharType="end"/>
      </w:r>
      <w:r w:rsidRPr="00124B71">
        <w:rPr>
          <w:rFonts w:cs="Times New Roman"/>
        </w:rPr>
        <w:t xml:space="preserve"> and TransUnion</w:t>
      </w:r>
      <w:r w:rsidR="001858B5">
        <w:rPr>
          <w:rFonts w:cs="Times New Roman"/>
        </w:rPr>
        <w:fldChar w:fldCharType="begin"/>
      </w:r>
      <w:r w:rsidR="003852DB">
        <w:instrText xml:space="preserve"> XE "</w:instrText>
      </w:r>
      <w:r w:rsidR="003852DB" w:rsidRPr="00B609DF">
        <w:rPr>
          <w:rFonts w:cs="Times New Roman"/>
        </w:rPr>
        <w:instrText>TransUnion</w:instrText>
      </w:r>
      <w:r w:rsidR="003852DB">
        <w:instrText xml:space="preserve">" </w:instrText>
      </w:r>
      <w:r w:rsidR="001858B5">
        <w:rPr>
          <w:rFonts w:cs="Times New Roman"/>
        </w:rPr>
        <w:fldChar w:fldCharType="end"/>
      </w:r>
      <w:r w:rsidRPr="00124B71">
        <w:rPr>
          <w:rFonts w:cs="Times New Roman"/>
        </w:rPr>
        <w:t xml:space="preserve">. Borrowers with high credit scores have generally demonstrated a high degree of responsibility in paying their debt obligations as promised. Those with low credit scores either have little or no credit history, or they have a demonstrated track record of failing to pay their financial obligations. </w:t>
      </w:r>
      <w:r w:rsidR="00263B2B" w:rsidRPr="00124B71">
        <w:rPr>
          <w:rFonts w:cs="Times New Roman"/>
        </w:rPr>
        <w:t>There are 3 main categories of borrowers: Prime</w:t>
      </w:r>
      <w:r w:rsidR="001858B5">
        <w:rPr>
          <w:rFonts w:cs="Times New Roman"/>
        </w:rPr>
        <w:fldChar w:fldCharType="begin"/>
      </w:r>
      <w:r w:rsidR="001A53F8">
        <w:instrText xml:space="preserve"> XE "</w:instrText>
      </w:r>
      <w:r w:rsidR="001A53F8" w:rsidRPr="00011BCA">
        <w:rPr>
          <w:rFonts w:cs="Times New Roman"/>
        </w:rPr>
        <w:instrText>Prime</w:instrText>
      </w:r>
      <w:r w:rsidR="001A53F8">
        <w:instrText xml:space="preserve">" </w:instrText>
      </w:r>
      <w:r w:rsidR="001858B5">
        <w:rPr>
          <w:rFonts w:cs="Times New Roman"/>
        </w:rPr>
        <w:fldChar w:fldCharType="end"/>
      </w:r>
      <w:r w:rsidR="00263B2B" w:rsidRPr="00124B71">
        <w:rPr>
          <w:rFonts w:cs="Times New Roman"/>
        </w:rPr>
        <w:t>, Alt-A</w:t>
      </w:r>
      <w:r w:rsidR="001858B5">
        <w:rPr>
          <w:rFonts w:cs="Times New Roman"/>
        </w:rPr>
        <w:fldChar w:fldCharType="begin"/>
      </w:r>
      <w:r w:rsidR="00FA2AEF">
        <w:instrText xml:space="preserve"> XE "</w:instrText>
      </w:r>
      <w:r w:rsidR="00FA2AEF" w:rsidRPr="00044B58">
        <w:rPr>
          <w:rFonts w:cs="Times New Roman"/>
        </w:rPr>
        <w:instrText>Alt-A</w:instrText>
      </w:r>
      <w:r w:rsidR="00FA2AEF">
        <w:instrText xml:space="preserve">" </w:instrText>
      </w:r>
      <w:r w:rsidR="001858B5">
        <w:rPr>
          <w:rFonts w:cs="Times New Roman"/>
        </w:rPr>
        <w:fldChar w:fldCharType="end"/>
      </w:r>
      <w:r w:rsidR="00263B2B" w:rsidRPr="00124B71">
        <w:rPr>
          <w:rFonts w:cs="Times New Roman"/>
        </w:rPr>
        <w:t>, and Subprime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00331A22" w:rsidRPr="00124B71">
        <w:rPr>
          <w:rFonts w:cs="Times New Roman"/>
        </w:rPr>
        <w:t>.</w:t>
      </w:r>
      <w:r w:rsidR="00250F73" w:rsidRPr="00124B71">
        <w:rPr>
          <w:rFonts w:cs="Times New Roman"/>
        </w:rPr>
        <w:t xml:space="preserve"> </w:t>
      </w:r>
      <w:r w:rsidR="00076131" w:rsidRPr="00124B71">
        <w:rPr>
          <w:rStyle w:val="EndnoteReference"/>
          <w:rFonts w:cs="Times New Roman"/>
        </w:rPr>
        <w:endnoteReference w:id="21"/>
      </w:r>
      <w:r w:rsidR="00263B2B" w:rsidRPr="00124B71">
        <w:rPr>
          <w:rFonts w:cs="Times New Roman"/>
        </w:rPr>
        <w:t xml:space="preserve"> Prime borrowers are those with high credit scores, and Subprime borrowers are those with low credit scores. The Alt-A borrowers make up the gray </w:t>
      </w:r>
      <w:r w:rsidR="009767F5" w:rsidRPr="00124B71">
        <w:rPr>
          <w:rFonts w:cs="Times New Roman"/>
        </w:rPr>
        <w:t>area</w:t>
      </w:r>
      <w:r w:rsidR="00263B2B" w:rsidRPr="00124B71">
        <w:rPr>
          <w:rFonts w:cs="Times New Roman"/>
        </w:rPr>
        <w:t xml:space="preserve"> in between. Alt-A tends to be closer to Prime as these are often borrowers with high credit scores which for one or more reasons do not meet the strict standards of Prime borrowers. In recent years one of the most common non-conformities of Alt-A loans has been the lack of verifiable income. In short, “liar loans” are generally Alt-A. As the number of deviations from Prime increases, the credit scores decline and the remainder are considered Subprime.</w:t>
      </w:r>
    </w:p>
    <w:p w14:paraId="3E4754FD" w14:textId="77777777" w:rsidR="001767A9" w:rsidRPr="00EF0EDA" w:rsidRDefault="001767A9" w:rsidP="004E08E7">
      <w:pPr>
        <w:pStyle w:val="Heading2"/>
      </w:pPr>
      <w:bookmarkStart w:id="23" w:name="_Toc238867277"/>
      <w:r w:rsidRPr="00EF0EDA">
        <w:t>Types of Loans</w:t>
      </w:r>
      <w:bookmarkEnd w:id="23"/>
    </w:p>
    <w:p w14:paraId="519453BD" w14:textId="77777777" w:rsidR="001767A9" w:rsidRPr="00124B71" w:rsidRDefault="001767A9" w:rsidP="008560E2">
      <w:pPr>
        <w:rPr>
          <w:rFonts w:cs="Times New Roman"/>
        </w:rPr>
      </w:pPr>
      <w:r w:rsidRPr="00124B71">
        <w:rPr>
          <w:rFonts w:cs="Times New Roman"/>
        </w:rPr>
        <w:t xml:space="preserve">There are also 3 main categories of loans: Conventional, Interest-Only, and Negative Amortization. The distinction between these loans is how the amount of principal is impacted by monthly payments. A </w:t>
      </w:r>
      <w:r w:rsidR="009767F5" w:rsidRPr="00124B71">
        <w:rPr>
          <w:rFonts w:cs="Times New Roman"/>
        </w:rPr>
        <w:t>C</w:t>
      </w:r>
      <w:r w:rsidRPr="00124B71">
        <w:rPr>
          <w:rFonts w:cs="Times New Roman"/>
        </w:rPr>
        <w:t>onventional mortgage</w:t>
      </w:r>
      <w:r w:rsidR="001858B5">
        <w:rPr>
          <w:rFonts w:cs="Times New Roman"/>
        </w:rPr>
        <w:fldChar w:fldCharType="begin"/>
      </w:r>
      <w:r w:rsidR="00E84A0F">
        <w:instrText xml:space="preserve"> XE "</w:instrText>
      </w:r>
      <w:r w:rsidR="00E84A0F" w:rsidRPr="00802046">
        <w:rPr>
          <w:rFonts w:cs="Times New Roman"/>
        </w:rPr>
        <w:instrText>Conventional mortgage</w:instrText>
      </w:r>
      <w:r w:rsidR="00E84A0F">
        <w:instrText xml:space="preserve">" </w:instrText>
      </w:r>
      <w:r w:rsidR="001858B5">
        <w:rPr>
          <w:rFonts w:cs="Times New Roman"/>
        </w:rPr>
        <w:fldChar w:fldCharType="end"/>
      </w:r>
      <w:r w:rsidRPr="00124B71">
        <w:rPr>
          <w:rFonts w:cs="Times New Roman"/>
        </w:rPr>
        <w:t xml:space="preserve"> includes some amount of principal in the payment in order to repay the original loan amount. The greater the amount of principal repaid, the quicker the loan is paid off. An </w:t>
      </w:r>
      <w:r w:rsidR="009767F5" w:rsidRPr="00124B71">
        <w:rPr>
          <w:rFonts w:cs="Times New Roman"/>
        </w:rPr>
        <w:t>I</w:t>
      </w:r>
      <w:r w:rsidRPr="00124B71">
        <w:rPr>
          <w:rFonts w:cs="Times New Roman"/>
        </w:rPr>
        <w:t>nterest-</w:t>
      </w:r>
      <w:r w:rsidR="009767F5" w:rsidRPr="00124B71">
        <w:rPr>
          <w:rFonts w:cs="Times New Roman"/>
        </w:rPr>
        <w:t>O</w:t>
      </w:r>
      <w:r w:rsidRPr="00124B71">
        <w:rPr>
          <w:rFonts w:cs="Times New Roman"/>
        </w:rPr>
        <w:t>nly loan</w:t>
      </w:r>
      <w:r w:rsidR="001858B5">
        <w:rPr>
          <w:rFonts w:cs="Times New Roman"/>
        </w:rPr>
        <w:fldChar w:fldCharType="begin"/>
      </w:r>
      <w:r w:rsidR="00E84A0F">
        <w:instrText xml:space="preserve"> XE "</w:instrText>
      </w:r>
      <w:r w:rsidR="00E84A0F" w:rsidRPr="00825858">
        <w:rPr>
          <w:rFonts w:cs="Times New Roman"/>
        </w:rPr>
        <w:instrText>Interest-Only loan</w:instrText>
      </w:r>
      <w:r w:rsidR="00E84A0F">
        <w:instrText xml:space="preserve">" </w:instrText>
      </w:r>
      <w:r w:rsidR="001858B5">
        <w:rPr>
          <w:rFonts w:cs="Times New Roman"/>
        </w:rPr>
        <w:fldChar w:fldCharType="end"/>
      </w:r>
      <w:r w:rsidRPr="00124B71">
        <w:rPr>
          <w:rFonts w:cs="Times New Roman"/>
        </w:rPr>
        <w:t xml:space="preserve"> does just what it describes; it only pays the interest. This loan does not pay back any of the principal, but it at least “treads water” and does not fall behind. The Negative Amortization loan</w:t>
      </w:r>
      <w:r w:rsidR="001858B5">
        <w:rPr>
          <w:rFonts w:cs="Times New Roman"/>
        </w:rPr>
        <w:fldChar w:fldCharType="begin"/>
      </w:r>
      <w:r w:rsidR="00E84A0F">
        <w:instrText xml:space="preserve"> XE "</w:instrText>
      </w:r>
      <w:r w:rsidR="00E84A0F" w:rsidRPr="00FA3B3E">
        <w:rPr>
          <w:rFonts w:cs="Times New Roman"/>
        </w:rPr>
        <w:instrText>Negative Amortization loan</w:instrText>
      </w:r>
      <w:r w:rsidR="00E84A0F">
        <w:instrText xml:space="preserve">" </w:instrText>
      </w:r>
      <w:r w:rsidR="001858B5">
        <w:rPr>
          <w:rFonts w:cs="Times New Roman"/>
        </w:rPr>
        <w:fldChar w:fldCharType="end"/>
      </w:r>
      <w:r w:rsidRPr="00124B71">
        <w:rPr>
          <w:rFonts w:cs="Times New Roman"/>
        </w:rPr>
        <w:t xml:space="preserve"> is one in which the full amount </w:t>
      </w:r>
      <w:r w:rsidR="00385DA0">
        <w:rPr>
          <w:rFonts w:cs="Times New Roman"/>
        </w:rPr>
        <w:t xml:space="preserve">of </w:t>
      </w:r>
      <w:r w:rsidRPr="00124B71">
        <w:rPr>
          <w:rFonts w:cs="Times New Roman"/>
        </w:rPr>
        <w:t xml:space="preserve">interest is not paid with each payment, and the unpaid interest gets added to the principal balance. Each month, the borrower is increasing the debt. </w:t>
      </w:r>
      <w:r w:rsidR="0003260E" w:rsidRPr="00124B71">
        <w:rPr>
          <w:rFonts w:cs="Times New Roman"/>
        </w:rPr>
        <w:t>Two</w:t>
      </w:r>
      <w:r w:rsidRPr="00124B71">
        <w:rPr>
          <w:rFonts w:cs="Times New Roman"/>
        </w:rPr>
        <w:t xml:space="preserve"> of the features of all </w:t>
      </w:r>
      <w:r w:rsidR="009767F5" w:rsidRPr="00124B71">
        <w:rPr>
          <w:rFonts w:cs="Times New Roman"/>
        </w:rPr>
        <w:t xml:space="preserve">Interest-Only or Negative Amortization </w:t>
      </w:r>
      <w:r w:rsidRPr="00124B71">
        <w:rPr>
          <w:rFonts w:cs="Times New Roman"/>
        </w:rPr>
        <w:t xml:space="preserve">loans </w:t>
      </w:r>
      <w:r w:rsidR="0003260E" w:rsidRPr="00124B71">
        <w:rPr>
          <w:rFonts w:cs="Times New Roman"/>
        </w:rPr>
        <w:t>are</w:t>
      </w:r>
      <w:r w:rsidRPr="00124B71">
        <w:rPr>
          <w:rFonts w:cs="Times New Roman"/>
        </w:rPr>
        <w:t xml:space="preserve"> an interest rate reset</w:t>
      </w:r>
      <w:r w:rsidR="001858B5">
        <w:rPr>
          <w:rFonts w:cs="Times New Roman"/>
        </w:rPr>
        <w:fldChar w:fldCharType="begin"/>
      </w:r>
      <w:r w:rsidR="00E84A0F">
        <w:instrText xml:space="preserve"> XE "</w:instrText>
      </w:r>
      <w:r w:rsidR="00E84A0F" w:rsidRPr="00D36657">
        <w:rPr>
          <w:rFonts w:cs="Times New Roman"/>
        </w:rPr>
        <w:instrText>interest rate reset</w:instrText>
      </w:r>
      <w:r w:rsidR="00E84A0F">
        <w:instrText xml:space="preserve">" </w:instrText>
      </w:r>
      <w:r w:rsidR="001858B5">
        <w:rPr>
          <w:rFonts w:cs="Times New Roman"/>
        </w:rPr>
        <w:fldChar w:fldCharType="end"/>
      </w:r>
      <w:r w:rsidR="0003260E" w:rsidRPr="00124B71">
        <w:rPr>
          <w:rFonts w:cs="Times New Roman"/>
        </w:rPr>
        <w:t xml:space="preserve"> and a payment recast</w:t>
      </w:r>
      <w:r w:rsidR="001858B5">
        <w:rPr>
          <w:rFonts w:cs="Times New Roman"/>
        </w:rPr>
        <w:fldChar w:fldCharType="begin"/>
      </w:r>
      <w:r w:rsidR="00E84A0F">
        <w:instrText xml:space="preserve"> XE "</w:instrText>
      </w:r>
      <w:r w:rsidR="00E84A0F" w:rsidRPr="00EE3FFA">
        <w:rPr>
          <w:rFonts w:cs="Times New Roman"/>
        </w:rPr>
        <w:instrText>payment recast</w:instrText>
      </w:r>
      <w:r w:rsidR="00E84A0F">
        <w:instrText xml:space="preserve">" </w:instrText>
      </w:r>
      <w:r w:rsidR="001858B5">
        <w:rPr>
          <w:rFonts w:cs="Times New Roman"/>
        </w:rPr>
        <w:fldChar w:fldCharType="end"/>
      </w:r>
      <w:r w:rsidRPr="00124B71">
        <w:rPr>
          <w:rFonts w:cs="Times New Roman"/>
        </w:rPr>
        <w:t xml:space="preserve">. All these loans have provisions where the interest rate </w:t>
      </w:r>
      <w:r w:rsidR="001D0176" w:rsidRPr="00124B71">
        <w:rPr>
          <w:rFonts w:cs="Times New Roman"/>
        </w:rPr>
        <w:t>changes</w:t>
      </w:r>
      <w:r w:rsidRPr="00124B71">
        <w:rPr>
          <w:rFonts w:cs="Times New Roman"/>
        </w:rPr>
        <w:t xml:space="preserve"> or loan balance comes due either in the form of a balloon payment or an accelerated amortization schedule</w:t>
      </w:r>
      <w:r w:rsidR="001858B5">
        <w:rPr>
          <w:rFonts w:cs="Times New Roman"/>
        </w:rPr>
        <w:fldChar w:fldCharType="begin"/>
      </w:r>
      <w:r w:rsidR="00E84A0F">
        <w:instrText xml:space="preserve"> XE "</w:instrText>
      </w:r>
      <w:r w:rsidR="00E84A0F" w:rsidRPr="00F4169C">
        <w:rPr>
          <w:rFonts w:cs="Times New Roman"/>
        </w:rPr>
        <w:instrText>amortization schedule</w:instrText>
      </w:r>
      <w:r w:rsidR="00E84A0F">
        <w:instrText xml:space="preserve">" </w:instrText>
      </w:r>
      <w:r w:rsidR="001858B5">
        <w:rPr>
          <w:rFonts w:cs="Times New Roman"/>
        </w:rPr>
        <w:fldChar w:fldCharType="end"/>
      </w:r>
      <w:r w:rsidRPr="00124B71">
        <w:rPr>
          <w:rFonts w:cs="Times New Roman"/>
        </w:rPr>
        <w:t>. In any case, borrower</w:t>
      </w:r>
      <w:r w:rsidR="009767F5" w:rsidRPr="00124B71">
        <w:rPr>
          <w:rFonts w:cs="Times New Roman"/>
        </w:rPr>
        <w:t>s</w:t>
      </w:r>
      <w:r w:rsidRPr="00124B71">
        <w:rPr>
          <w:rFonts w:cs="Times New Roman"/>
        </w:rPr>
        <w:t xml:space="preserve"> often must refinance or face a major increase in their monthly loan payment. This increase in payment is what makes these loans such a problem.</w:t>
      </w:r>
    </w:p>
    <w:p w14:paraId="425D4DBB" w14:textId="25D761AA" w:rsidR="00EE41AE" w:rsidRPr="00EF0EDA" w:rsidRDefault="00EE41AE" w:rsidP="00EE41AE">
      <w:pPr>
        <w:pStyle w:val="Caption"/>
      </w:pPr>
      <w:bookmarkStart w:id="24" w:name="_Toc194759339"/>
      <w:bookmarkStart w:id="25" w:name="_Toc238867428"/>
      <w:r>
        <w:t xml:space="preserve">Table </w:t>
      </w:r>
      <w:fldSimple w:instr=" SEQ Table \* ARABIC ">
        <w:r w:rsidR="00493733">
          <w:rPr>
            <w:noProof/>
          </w:rPr>
          <w:t>2</w:t>
        </w:r>
      </w:fldSimple>
      <w:r w:rsidR="00317936">
        <w:t xml:space="preserve">: </w:t>
      </w:r>
      <w:r>
        <w:t>Loan Type and Borrower Type Matrix</w:t>
      </w:r>
      <w:bookmarkEnd w:id="24"/>
      <w:bookmarkEnd w:id="25"/>
    </w:p>
    <w:tbl>
      <w:tblPr>
        <w:tblW w:w="0" w:type="auto"/>
        <w:tblLook w:val="04A0" w:firstRow="1" w:lastRow="0" w:firstColumn="1" w:lastColumn="0" w:noHBand="0" w:noVBand="1"/>
      </w:tblPr>
      <w:tblGrid>
        <w:gridCol w:w="548"/>
        <w:gridCol w:w="936"/>
        <w:gridCol w:w="1818"/>
        <w:gridCol w:w="1804"/>
        <w:gridCol w:w="1452"/>
      </w:tblGrid>
      <w:tr w:rsidR="00EE41AE" w:rsidRPr="00575621" w14:paraId="4550CDBE" w14:textId="77777777" w:rsidTr="00413228">
        <w:trPr>
          <w:trHeight w:val="270"/>
        </w:trPr>
        <w:tc>
          <w:tcPr>
            <w:tcW w:w="0" w:type="auto"/>
            <w:tcBorders>
              <w:top w:val="nil"/>
              <w:left w:val="nil"/>
              <w:bottom w:val="nil"/>
              <w:right w:val="nil"/>
            </w:tcBorders>
            <w:noWrap/>
            <w:vAlign w:val="bottom"/>
            <w:hideMark/>
          </w:tcPr>
          <w:p w14:paraId="107BD122" w14:textId="77777777" w:rsidR="00EE41AE" w:rsidRPr="00124B71" w:rsidRDefault="00CA3B4A" w:rsidP="00575621">
            <w:pPr>
              <w:keepLines/>
              <w:ind w:firstLine="0"/>
              <w:rPr>
                <w:rFonts w:eastAsia="Times New Roman" w:cs="Times New Roman"/>
                <w:color w:val="000000"/>
                <w:sz w:val="16"/>
                <w:szCs w:val="16"/>
                <w:lang w:bidi="ar-SA"/>
              </w:rPr>
            </w:pPr>
            <w:r>
              <w:rPr>
                <w:rFonts w:eastAsia="Times New Roman" w:cs="Times New Roman"/>
                <w:noProof/>
                <w:color w:val="000000"/>
                <w:sz w:val="16"/>
                <w:szCs w:val="16"/>
                <w:lang w:bidi="ar-SA"/>
              </w:rPr>
              <w:pict w14:anchorId="47A170E0">
                <v:shapetype id="_x0000_t32" coordsize="21600,21600" o:spt="32" o:oned="t" path="m,l21600,21600e" filled="f">
                  <v:path arrowok="t" fillok="f" o:connecttype="none"/>
                  <o:lock v:ext="edit" shapetype="t"/>
                </v:shapetype>
                <v:shape id="_x0000_s2051" type="#_x0000_t32" alt="" style="position:absolute;left:0;text-align:left;margin-left:7.35pt;margin-top:6.35pt;width:0;height:36pt;flip:y;z-index:251661312;mso-wrap-edited:f;mso-width-percent:0;mso-height-percent:0;mso-width-percent:0;mso-height-percent:0;mso-width-relative:margin" o:connectortype="straight">
                  <v:stroke endarrow="block"/>
                </v:shape>
              </w:pict>
            </w:r>
          </w:p>
        </w:tc>
        <w:tc>
          <w:tcPr>
            <w:tcW w:w="0" w:type="auto"/>
            <w:tcBorders>
              <w:top w:val="single" w:sz="4" w:space="0" w:color="auto"/>
              <w:left w:val="single" w:sz="4" w:space="0" w:color="auto"/>
              <w:bottom w:val="single" w:sz="8" w:space="0" w:color="auto"/>
              <w:right w:val="single" w:sz="8" w:space="0" w:color="auto"/>
            </w:tcBorders>
            <w:noWrap/>
            <w:vAlign w:val="bottom"/>
            <w:hideMark/>
          </w:tcPr>
          <w:p w14:paraId="7912C2CA" w14:textId="77777777" w:rsidR="00EE41AE" w:rsidRPr="00124B71" w:rsidRDefault="00EE41AE" w:rsidP="00575621">
            <w:pPr>
              <w:keepLines/>
              <w:ind w:firstLine="0"/>
              <w:rPr>
                <w:rFonts w:eastAsia="Times New Roman" w:cs="Times New Roman"/>
                <w:b/>
                <w:bCs/>
                <w:color w:val="000000"/>
                <w:sz w:val="16"/>
                <w:szCs w:val="16"/>
                <w:lang w:bidi="ar-SA"/>
              </w:rPr>
            </w:pPr>
            <w:r w:rsidRPr="00124B71">
              <w:rPr>
                <w:rFonts w:eastAsia="Times New Roman" w:cs="Times New Roman"/>
                <w:b/>
                <w:bCs/>
                <w:color w:val="000000"/>
                <w:sz w:val="16"/>
                <w:szCs w:val="16"/>
                <w:lang w:bidi="ar-SA"/>
              </w:rPr>
              <w:t> </w:t>
            </w:r>
          </w:p>
        </w:tc>
        <w:tc>
          <w:tcPr>
            <w:tcW w:w="0" w:type="auto"/>
            <w:tcBorders>
              <w:top w:val="single" w:sz="4" w:space="0" w:color="auto"/>
              <w:left w:val="nil"/>
              <w:bottom w:val="single" w:sz="8" w:space="0" w:color="auto"/>
              <w:right w:val="single" w:sz="4" w:space="0" w:color="auto"/>
            </w:tcBorders>
            <w:noWrap/>
            <w:vAlign w:val="bottom"/>
            <w:hideMark/>
          </w:tcPr>
          <w:p w14:paraId="5FC7BD7C" w14:textId="77777777" w:rsidR="00EE41AE" w:rsidRPr="00124B71" w:rsidRDefault="00EE41AE" w:rsidP="00575621">
            <w:pPr>
              <w:keepLines/>
              <w:ind w:firstLine="0"/>
              <w:jc w:val="center"/>
              <w:rPr>
                <w:rFonts w:eastAsia="Times New Roman" w:cs="Times New Roman"/>
                <w:b/>
                <w:bCs/>
                <w:color w:val="000000"/>
                <w:sz w:val="16"/>
                <w:szCs w:val="16"/>
                <w:lang w:bidi="ar-SA"/>
              </w:rPr>
            </w:pPr>
            <w:r w:rsidRPr="00124B71">
              <w:rPr>
                <w:rFonts w:eastAsia="Times New Roman" w:cs="Times New Roman"/>
                <w:b/>
                <w:bCs/>
                <w:color w:val="000000"/>
                <w:sz w:val="16"/>
                <w:szCs w:val="16"/>
                <w:lang w:bidi="ar-SA"/>
              </w:rPr>
              <w:t>Conventional</w:t>
            </w:r>
          </w:p>
        </w:tc>
        <w:tc>
          <w:tcPr>
            <w:tcW w:w="0" w:type="auto"/>
            <w:tcBorders>
              <w:top w:val="single" w:sz="4" w:space="0" w:color="auto"/>
              <w:left w:val="nil"/>
              <w:bottom w:val="single" w:sz="8" w:space="0" w:color="auto"/>
              <w:right w:val="single" w:sz="4" w:space="0" w:color="auto"/>
            </w:tcBorders>
            <w:noWrap/>
            <w:vAlign w:val="bottom"/>
            <w:hideMark/>
          </w:tcPr>
          <w:p w14:paraId="0CBD32DD" w14:textId="77777777" w:rsidR="00EE41AE" w:rsidRPr="00124B71" w:rsidRDefault="00EE41AE" w:rsidP="00575621">
            <w:pPr>
              <w:keepLines/>
              <w:ind w:firstLine="0"/>
              <w:jc w:val="center"/>
              <w:rPr>
                <w:rFonts w:eastAsia="Times New Roman" w:cs="Times New Roman"/>
                <w:b/>
                <w:bCs/>
                <w:color w:val="000000"/>
                <w:sz w:val="16"/>
                <w:szCs w:val="16"/>
                <w:lang w:bidi="ar-SA"/>
              </w:rPr>
            </w:pPr>
            <w:r w:rsidRPr="00124B71">
              <w:rPr>
                <w:rFonts w:eastAsia="Times New Roman" w:cs="Times New Roman"/>
                <w:b/>
                <w:bCs/>
                <w:color w:val="000000"/>
                <w:sz w:val="16"/>
                <w:szCs w:val="16"/>
                <w:lang w:bidi="ar-SA"/>
              </w:rPr>
              <w:t>Interest Only</w:t>
            </w:r>
          </w:p>
        </w:tc>
        <w:tc>
          <w:tcPr>
            <w:tcW w:w="0" w:type="auto"/>
            <w:tcBorders>
              <w:top w:val="single" w:sz="4" w:space="0" w:color="auto"/>
              <w:left w:val="nil"/>
              <w:bottom w:val="single" w:sz="8" w:space="0" w:color="auto"/>
              <w:right w:val="single" w:sz="4" w:space="0" w:color="auto"/>
            </w:tcBorders>
            <w:noWrap/>
            <w:vAlign w:val="bottom"/>
            <w:hideMark/>
          </w:tcPr>
          <w:p w14:paraId="51550294" w14:textId="77777777" w:rsidR="00EE41AE" w:rsidRPr="00124B71" w:rsidRDefault="00EE41AE" w:rsidP="00413228">
            <w:pPr>
              <w:keepLines/>
              <w:ind w:firstLine="0"/>
              <w:jc w:val="center"/>
              <w:rPr>
                <w:rFonts w:eastAsia="Times New Roman" w:cs="Times New Roman"/>
                <w:b/>
                <w:bCs/>
                <w:color w:val="000000"/>
                <w:sz w:val="16"/>
                <w:szCs w:val="16"/>
                <w:lang w:bidi="ar-SA"/>
              </w:rPr>
            </w:pPr>
            <w:r w:rsidRPr="00124B71">
              <w:rPr>
                <w:rFonts w:eastAsia="Times New Roman" w:cs="Times New Roman"/>
                <w:b/>
                <w:bCs/>
                <w:color w:val="000000"/>
                <w:sz w:val="16"/>
                <w:szCs w:val="16"/>
                <w:lang w:bidi="ar-SA"/>
              </w:rPr>
              <w:t>Neg Am</w:t>
            </w:r>
          </w:p>
        </w:tc>
      </w:tr>
      <w:tr w:rsidR="00EE41AE" w:rsidRPr="00575621" w14:paraId="0AAC7968" w14:textId="77777777" w:rsidTr="00413228">
        <w:trPr>
          <w:trHeight w:val="255"/>
        </w:trPr>
        <w:tc>
          <w:tcPr>
            <w:tcW w:w="0" w:type="auto"/>
            <w:tcBorders>
              <w:top w:val="nil"/>
              <w:left w:val="nil"/>
              <w:bottom w:val="nil"/>
              <w:right w:val="nil"/>
            </w:tcBorders>
            <w:noWrap/>
            <w:vAlign w:val="bottom"/>
            <w:hideMark/>
          </w:tcPr>
          <w:p w14:paraId="47F1D408" w14:textId="77777777" w:rsidR="00EE41AE" w:rsidRPr="00575621" w:rsidRDefault="00EE41AE" w:rsidP="00575621">
            <w:pPr>
              <w:keepLines/>
              <w:ind w:firstLine="0"/>
              <w:rPr>
                <w:rFonts w:eastAsia="Times New Roman" w:cs="Times New Roman"/>
                <w:color w:val="000000"/>
                <w:sz w:val="16"/>
                <w:szCs w:val="16"/>
                <w:lang w:bidi="ar-SA"/>
              </w:rPr>
            </w:pPr>
          </w:p>
        </w:tc>
        <w:tc>
          <w:tcPr>
            <w:tcW w:w="0" w:type="auto"/>
            <w:tcBorders>
              <w:top w:val="single" w:sz="4" w:space="0" w:color="auto"/>
              <w:left w:val="single" w:sz="4" w:space="0" w:color="auto"/>
              <w:bottom w:val="single" w:sz="4" w:space="0" w:color="auto"/>
              <w:right w:val="single" w:sz="8" w:space="0" w:color="auto"/>
            </w:tcBorders>
            <w:noWrap/>
            <w:vAlign w:val="bottom"/>
            <w:hideMark/>
          </w:tcPr>
          <w:p w14:paraId="236000DD" w14:textId="77777777" w:rsidR="00EE41AE" w:rsidRPr="00124B71" w:rsidRDefault="00EE41AE" w:rsidP="00575621">
            <w:pPr>
              <w:keepLines/>
              <w:ind w:firstLine="0"/>
              <w:rPr>
                <w:rFonts w:eastAsia="Times New Roman" w:cs="Times New Roman"/>
                <w:b/>
                <w:bCs/>
                <w:color w:val="000000"/>
                <w:sz w:val="16"/>
                <w:szCs w:val="16"/>
                <w:lang w:bidi="ar-SA"/>
              </w:rPr>
            </w:pPr>
            <w:r w:rsidRPr="00124B71">
              <w:rPr>
                <w:rFonts w:eastAsia="Times New Roman" w:cs="Times New Roman"/>
                <w:b/>
                <w:bCs/>
                <w:color w:val="000000"/>
                <w:sz w:val="16"/>
                <w:szCs w:val="16"/>
                <w:lang w:bidi="ar-SA"/>
              </w:rPr>
              <w:t>Subprime</w:t>
            </w:r>
            <w:r w:rsidR="001858B5">
              <w:rPr>
                <w:rFonts w:eastAsia="Times New Roman" w:cs="Times New Roman"/>
                <w:b/>
                <w:bCs/>
                <w:color w:val="000000"/>
                <w:sz w:val="16"/>
                <w:szCs w:val="16"/>
                <w:lang w:bidi="ar-SA"/>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eastAsia="Times New Roman" w:cs="Times New Roman"/>
                <w:b/>
                <w:bCs/>
                <w:color w:val="000000"/>
                <w:sz w:val="16"/>
                <w:szCs w:val="16"/>
                <w:lang w:bidi="ar-SA"/>
              </w:rPr>
              <w:fldChar w:fldCharType="end"/>
            </w:r>
          </w:p>
        </w:tc>
        <w:tc>
          <w:tcPr>
            <w:tcW w:w="0" w:type="auto"/>
            <w:tcBorders>
              <w:top w:val="nil"/>
              <w:left w:val="nil"/>
              <w:bottom w:val="single" w:sz="4" w:space="0" w:color="auto"/>
              <w:right w:val="single" w:sz="4" w:space="0" w:color="auto"/>
            </w:tcBorders>
            <w:noWrap/>
            <w:vAlign w:val="bottom"/>
            <w:hideMark/>
          </w:tcPr>
          <w:p w14:paraId="350DDC7A" w14:textId="77777777" w:rsidR="00EE41AE" w:rsidRPr="00124B71" w:rsidRDefault="00EE41AE" w:rsidP="00575621">
            <w:pPr>
              <w:keepLines/>
              <w:ind w:firstLine="0"/>
              <w:rPr>
                <w:rFonts w:eastAsia="Times New Roman" w:cs="Times New Roman"/>
                <w:color w:val="000000"/>
                <w:sz w:val="16"/>
                <w:szCs w:val="16"/>
                <w:lang w:bidi="ar-SA"/>
              </w:rPr>
            </w:pPr>
            <w:r w:rsidRPr="00124B71">
              <w:rPr>
                <w:rFonts w:eastAsia="Times New Roman" w:cs="Times New Roman"/>
                <w:color w:val="000000"/>
                <w:sz w:val="16"/>
                <w:szCs w:val="16"/>
                <w:lang w:bidi="ar-SA"/>
              </w:rPr>
              <w:t>Subprime</w:t>
            </w:r>
            <w:r w:rsidR="001858B5">
              <w:rPr>
                <w:rFonts w:eastAsia="Times New Roman" w:cs="Times New Roman"/>
                <w:color w:val="000000"/>
                <w:sz w:val="16"/>
                <w:szCs w:val="16"/>
                <w:lang w:bidi="ar-SA"/>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eastAsia="Times New Roman" w:cs="Times New Roman"/>
                <w:color w:val="000000"/>
                <w:sz w:val="16"/>
                <w:szCs w:val="16"/>
                <w:lang w:bidi="ar-SA"/>
              </w:rPr>
              <w:fldChar w:fldCharType="end"/>
            </w:r>
            <w:r w:rsidRPr="00124B71">
              <w:rPr>
                <w:rFonts w:eastAsia="Times New Roman" w:cs="Times New Roman"/>
                <w:color w:val="000000"/>
                <w:sz w:val="16"/>
                <w:szCs w:val="16"/>
                <w:lang w:bidi="ar-SA"/>
              </w:rPr>
              <w:t xml:space="preserve"> Conventional</w:t>
            </w:r>
          </w:p>
        </w:tc>
        <w:tc>
          <w:tcPr>
            <w:tcW w:w="0" w:type="auto"/>
            <w:tcBorders>
              <w:top w:val="nil"/>
              <w:left w:val="nil"/>
              <w:bottom w:val="single" w:sz="4" w:space="0" w:color="auto"/>
              <w:right w:val="single" w:sz="4" w:space="0" w:color="auto"/>
            </w:tcBorders>
            <w:noWrap/>
            <w:vAlign w:val="bottom"/>
            <w:hideMark/>
          </w:tcPr>
          <w:p w14:paraId="6FD00504" w14:textId="77777777" w:rsidR="00EE41AE" w:rsidRPr="00124B71" w:rsidRDefault="00EE41AE" w:rsidP="00575621">
            <w:pPr>
              <w:keepLines/>
              <w:ind w:firstLine="0"/>
              <w:rPr>
                <w:rFonts w:eastAsia="Times New Roman" w:cs="Times New Roman"/>
                <w:color w:val="000000"/>
                <w:sz w:val="16"/>
                <w:szCs w:val="16"/>
                <w:lang w:bidi="ar-SA"/>
              </w:rPr>
            </w:pPr>
            <w:r w:rsidRPr="00124B71">
              <w:rPr>
                <w:rFonts w:eastAsia="Times New Roman" w:cs="Times New Roman"/>
                <w:color w:val="000000"/>
                <w:sz w:val="16"/>
                <w:szCs w:val="16"/>
                <w:lang w:bidi="ar-SA"/>
              </w:rPr>
              <w:t>Subprime</w:t>
            </w:r>
            <w:r w:rsidR="001858B5">
              <w:rPr>
                <w:rFonts w:eastAsia="Times New Roman" w:cs="Times New Roman"/>
                <w:color w:val="000000"/>
                <w:sz w:val="16"/>
                <w:szCs w:val="16"/>
                <w:lang w:bidi="ar-SA"/>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eastAsia="Times New Roman" w:cs="Times New Roman"/>
                <w:color w:val="000000"/>
                <w:sz w:val="16"/>
                <w:szCs w:val="16"/>
                <w:lang w:bidi="ar-SA"/>
              </w:rPr>
              <w:fldChar w:fldCharType="end"/>
            </w:r>
            <w:r w:rsidRPr="00124B71">
              <w:rPr>
                <w:rFonts w:eastAsia="Times New Roman" w:cs="Times New Roman"/>
                <w:color w:val="000000"/>
                <w:sz w:val="16"/>
                <w:szCs w:val="16"/>
                <w:lang w:bidi="ar-SA"/>
              </w:rPr>
              <w:t xml:space="preserve"> Interest Only</w:t>
            </w:r>
          </w:p>
        </w:tc>
        <w:tc>
          <w:tcPr>
            <w:tcW w:w="0" w:type="auto"/>
            <w:tcBorders>
              <w:top w:val="nil"/>
              <w:left w:val="nil"/>
              <w:bottom w:val="single" w:sz="4" w:space="0" w:color="auto"/>
              <w:right w:val="single" w:sz="4" w:space="0" w:color="auto"/>
            </w:tcBorders>
            <w:noWrap/>
            <w:vAlign w:val="bottom"/>
            <w:hideMark/>
          </w:tcPr>
          <w:p w14:paraId="1A5D5C59" w14:textId="77777777" w:rsidR="00EE41AE" w:rsidRPr="00124B71" w:rsidRDefault="00EE41AE" w:rsidP="00413228">
            <w:pPr>
              <w:keepLines/>
              <w:ind w:firstLine="0"/>
              <w:rPr>
                <w:rFonts w:eastAsia="Times New Roman" w:cs="Times New Roman"/>
                <w:color w:val="000000"/>
                <w:sz w:val="16"/>
                <w:szCs w:val="16"/>
                <w:lang w:bidi="ar-SA"/>
              </w:rPr>
            </w:pPr>
            <w:r w:rsidRPr="00124B71">
              <w:rPr>
                <w:rFonts w:eastAsia="Times New Roman" w:cs="Times New Roman"/>
                <w:color w:val="000000"/>
                <w:sz w:val="16"/>
                <w:szCs w:val="16"/>
                <w:lang w:bidi="ar-SA"/>
              </w:rPr>
              <w:t>Subprime</w:t>
            </w:r>
            <w:r w:rsidR="001858B5">
              <w:rPr>
                <w:rFonts w:eastAsia="Times New Roman" w:cs="Times New Roman"/>
                <w:color w:val="000000"/>
                <w:sz w:val="16"/>
                <w:szCs w:val="16"/>
                <w:lang w:bidi="ar-SA"/>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eastAsia="Times New Roman" w:cs="Times New Roman"/>
                <w:color w:val="000000"/>
                <w:sz w:val="16"/>
                <w:szCs w:val="16"/>
                <w:lang w:bidi="ar-SA"/>
              </w:rPr>
              <w:fldChar w:fldCharType="end"/>
            </w:r>
            <w:r w:rsidRPr="00124B71">
              <w:rPr>
                <w:rFonts w:eastAsia="Times New Roman" w:cs="Times New Roman"/>
                <w:color w:val="000000"/>
                <w:sz w:val="16"/>
                <w:szCs w:val="16"/>
                <w:lang w:bidi="ar-SA"/>
              </w:rPr>
              <w:t xml:space="preserve"> Neg Am</w:t>
            </w:r>
          </w:p>
        </w:tc>
      </w:tr>
      <w:tr w:rsidR="00EE41AE" w:rsidRPr="00575621" w14:paraId="12D1C0E1" w14:textId="77777777" w:rsidTr="00413228">
        <w:trPr>
          <w:trHeight w:val="255"/>
        </w:trPr>
        <w:tc>
          <w:tcPr>
            <w:tcW w:w="0" w:type="auto"/>
            <w:tcBorders>
              <w:top w:val="nil"/>
              <w:left w:val="nil"/>
              <w:bottom w:val="nil"/>
              <w:right w:val="nil"/>
            </w:tcBorders>
            <w:noWrap/>
            <w:vAlign w:val="bottom"/>
            <w:hideMark/>
          </w:tcPr>
          <w:p w14:paraId="15BA51AB" w14:textId="77777777" w:rsidR="00EE41AE" w:rsidRPr="00575621" w:rsidRDefault="00EE41AE" w:rsidP="00575621">
            <w:pPr>
              <w:keepLines/>
              <w:ind w:firstLine="0"/>
              <w:rPr>
                <w:rFonts w:eastAsia="Times New Roman" w:cs="Times New Roman"/>
                <w:color w:val="000000"/>
                <w:sz w:val="16"/>
                <w:szCs w:val="16"/>
                <w:lang w:bidi="ar-SA"/>
              </w:rPr>
            </w:pPr>
          </w:p>
        </w:tc>
        <w:tc>
          <w:tcPr>
            <w:tcW w:w="0" w:type="auto"/>
            <w:tcBorders>
              <w:top w:val="nil"/>
              <w:left w:val="single" w:sz="4" w:space="0" w:color="auto"/>
              <w:bottom w:val="single" w:sz="4" w:space="0" w:color="auto"/>
              <w:right w:val="single" w:sz="8" w:space="0" w:color="auto"/>
            </w:tcBorders>
            <w:noWrap/>
            <w:vAlign w:val="bottom"/>
            <w:hideMark/>
          </w:tcPr>
          <w:p w14:paraId="27DBBA28" w14:textId="77777777" w:rsidR="00EE41AE" w:rsidRPr="00124B71" w:rsidRDefault="00EE41AE" w:rsidP="00575621">
            <w:pPr>
              <w:keepLines/>
              <w:ind w:firstLine="0"/>
              <w:rPr>
                <w:rFonts w:eastAsia="Times New Roman" w:cs="Times New Roman"/>
                <w:b/>
                <w:bCs/>
                <w:color w:val="000000"/>
                <w:sz w:val="16"/>
                <w:szCs w:val="16"/>
                <w:lang w:bidi="ar-SA"/>
              </w:rPr>
            </w:pPr>
            <w:r w:rsidRPr="00124B71">
              <w:rPr>
                <w:rFonts w:eastAsia="Times New Roman" w:cs="Times New Roman"/>
                <w:b/>
                <w:bCs/>
                <w:color w:val="000000"/>
                <w:sz w:val="16"/>
                <w:szCs w:val="16"/>
                <w:lang w:bidi="ar-SA"/>
              </w:rPr>
              <w:t>Alt-A</w:t>
            </w:r>
            <w:r w:rsidR="001858B5">
              <w:rPr>
                <w:rFonts w:eastAsia="Times New Roman" w:cs="Times New Roman"/>
                <w:b/>
                <w:bCs/>
                <w:color w:val="000000"/>
                <w:sz w:val="16"/>
                <w:szCs w:val="16"/>
                <w:lang w:bidi="ar-SA"/>
              </w:rPr>
              <w:fldChar w:fldCharType="begin"/>
            </w:r>
            <w:r w:rsidR="00FA2AEF">
              <w:instrText xml:space="preserve"> XE "</w:instrText>
            </w:r>
            <w:r w:rsidR="00FA2AEF" w:rsidRPr="00044B58">
              <w:rPr>
                <w:rFonts w:cs="Times New Roman"/>
              </w:rPr>
              <w:instrText>Alt-A</w:instrText>
            </w:r>
            <w:r w:rsidR="00FA2AEF">
              <w:instrText xml:space="preserve">" </w:instrText>
            </w:r>
            <w:r w:rsidR="001858B5">
              <w:rPr>
                <w:rFonts w:eastAsia="Times New Roman" w:cs="Times New Roman"/>
                <w:b/>
                <w:bCs/>
                <w:color w:val="000000"/>
                <w:sz w:val="16"/>
                <w:szCs w:val="16"/>
                <w:lang w:bidi="ar-SA"/>
              </w:rPr>
              <w:fldChar w:fldCharType="end"/>
            </w:r>
          </w:p>
        </w:tc>
        <w:tc>
          <w:tcPr>
            <w:tcW w:w="0" w:type="auto"/>
            <w:tcBorders>
              <w:top w:val="nil"/>
              <w:left w:val="nil"/>
              <w:bottom w:val="single" w:sz="4" w:space="0" w:color="auto"/>
              <w:right w:val="single" w:sz="4" w:space="0" w:color="auto"/>
            </w:tcBorders>
            <w:noWrap/>
            <w:vAlign w:val="bottom"/>
            <w:hideMark/>
          </w:tcPr>
          <w:p w14:paraId="33814A61" w14:textId="77777777" w:rsidR="00EE41AE" w:rsidRPr="00124B71" w:rsidRDefault="00EE41AE" w:rsidP="00575621">
            <w:pPr>
              <w:keepLines/>
              <w:ind w:firstLine="0"/>
              <w:rPr>
                <w:rFonts w:eastAsia="Times New Roman" w:cs="Times New Roman"/>
                <w:color w:val="000000"/>
                <w:sz w:val="16"/>
                <w:szCs w:val="16"/>
                <w:lang w:bidi="ar-SA"/>
              </w:rPr>
            </w:pPr>
            <w:r w:rsidRPr="00124B71">
              <w:rPr>
                <w:rFonts w:eastAsia="Times New Roman" w:cs="Times New Roman"/>
                <w:color w:val="000000"/>
                <w:sz w:val="16"/>
                <w:szCs w:val="16"/>
                <w:lang w:bidi="ar-SA"/>
              </w:rPr>
              <w:t>Alt-A</w:t>
            </w:r>
            <w:r w:rsidR="001858B5">
              <w:rPr>
                <w:rFonts w:eastAsia="Times New Roman" w:cs="Times New Roman"/>
                <w:color w:val="000000"/>
                <w:sz w:val="16"/>
                <w:szCs w:val="16"/>
                <w:lang w:bidi="ar-SA"/>
              </w:rPr>
              <w:fldChar w:fldCharType="begin"/>
            </w:r>
            <w:r w:rsidR="00FA2AEF">
              <w:instrText xml:space="preserve"> XE "</w:instrText>
            </w:r>
            <w:r w:rsidR="00FA2AEF" w:rsidRPr="00044B58">
              <w:rPr>
                <w:rFonts w:cs="Times New Roman"/>
              </w:rPr>
              <w:instrText>Alt-A</w:instrText>
            </w:r>
            <w:r w:rsidR="00FA2AEF">
              <w:instrText xml:space="preserve">" </w:instrText>
            </w:r>
            <w:r w:rsidR="001858B5">
              <w:rPr>
                <w:rFonts w:eastAsia="Times New Roman" w:cs="Times New Roman"/>
                <w:color w:val="000000"/>
                <w:sz w:val="16"/>
                <w:szCs w:val="16"/>
                <w:lang w:bidi="ar-SA"/>
              </w:rPr>
              <w:fldChar w:fldCharType="end"/>
            </w:r>
            <w:r w:rsidRPr="00124B71">
              <w:rPr>
                <w:rFonts w:eastAsia="Times New Roman" w:cs="Times New Roman"/>
                <w:color w:val="000000"/>
                <w:sz w:val="16"/>
                <w:szCs w:val="16"/>
                <w:lang w:bidi="ar-SA"/>
              </w:rPr>
              <w:t xml:space="preserve"> Conventional</w:t>
            </w:r>
          </w:p>
        </w:tc>
        <w:tc>
          <w:tcPr>
            <w:tcW w:w="0" w:type="auto"/>
            <w:tcBorders>
              <w:top w:val="nil"/>
              <w:left w:val="nil"/>
              <w:bottom w:val="single" w:sz="4" w:space="0" w:color="auto"/>
              <w:right w:val="single" w:sz="4" w:space="0" w:color="auto"/>
            </w:tcBorders>
            <w:noWrap/>
            <w:vAlign w:val="bottom"/>
            <w:hideMark/>
          </w:tcPr>
          <w:p w14:paraId="020F2769" w14:textId="77777777" w:rsidR="00EE41AE" w:rsidRPr="00124B71" w:rsidRDefault="00EE41AE" w:rsidP="00575621">
            <w:pPr>
              <w:keepLines/>
              <w:ind w:firstLine="0"/>
              <w:rPr>
                <w:rFonts w:eastAsia="Times New Roman" w:cs="Times New Roman"/>
                <w:color w:val="000000"/>
                <w:sz w:val="16"/>
                <w:szCs w:val="16"/>
                <w:lang w:bidi="ar-SA"/>
              </w:rPr>
            </w:pPr>
            <w:r w:rsidRPr="00124B71">
              <w:rPr>
                <w:rFonts w:eastAsia="Times New Roman" w:cs="Times New Roman"/>
                <w:color w:val="000000"/>
                <w:sz w:val="16"/>
                <w:szCs w:val="16"/>
                <w:lang w:bidi="ar-SA"/>
              </w:rPr>
              <w:t>Alt-A</w:t>
            </w:r>
            <w:r w:rsidR="001858B5">
              <w:rPr>
                <w:rFonts w:eastAsia="Times New Roman" w:cs="Times New Roman"/>
                <w:color w:val="000000"/>
                <w:sz w:val="16"/>
                <w:szCs w:val="16"/>
                <w:lang w:bidi="ar-SA"/>
              </w:rPr>
              <w:fldChar w:fldCharType="begin"/>
            </w:r>
            <w:r w:rsidR="00FA2AEF">
              <w:instrText xml:space="preserve"> XE "</w:instrText>
            </w:r>
            <w:r w:rsidR="00FA2AEF" w:rsidRPr="00044B58">
              <w:rPr>
                <w:rFonts w:cs="Times New Roman"/>
              </w:rPr>
              <w:instrText>Alt-A</w:instrText>
            </w:r>
            <w:r w:rsidR="00FA2AEF">
              <w:instrText xml:space="preserve">" </w:instrText>
            </w:r>
            <w:r w:rsidR="001858B5">
              <w:rPr>
                <w:rFonts w:eastAsia="Times New Roman" w:cs="Times New Roman"/>
                <w:color w:val="000000"/>
                <w:sz w:val="16"/>
                <w:szCs w:val="16"/>
                <w:lang w:bidi="ar-SA"/>
              </w:rPr>
              <w:fldChar w:fldCharType="end"/>
            </w:r>
            <w:r w:rsidRPr="00124B71">
              <w:rPr>
                <w:rFonts w:eastAsia="Times New Roman" w:cs="Times New Roman"/>
                <w:color w:val="000000"/>
                <w:sz w:val="16"/>
                <w:szCs w:val="16"/>
                <w:lang w:bidi="ar-SA"/>
              </w:rPr>
              <w:t xml:space="preserve"> Interest Only</w:t>
            </w:r>
          </w:p>
        </w:tc>
        <w:tc>
          <w:tcPr>
            <w:tcW w:w="0" w:type="auto"/>
            <w:tcBorders>
              <w:top w:val="nil"/>
              <w:left w:val="nil"/>
              <w:bottom w:val="single" w:sz="4" w:space="0" w:color="auto"/>
              <w:right w:val="single" w:sz="4" w:space="0" w:color="auto"/>
            </w:tcBorders>
            <w:noWrap/>
            <w:vAlign w:val="bottom"/>
            <w:hideMark/>
          </w:tcPr>
          <w:p w14:paraId="1A679527" w14:textId="77777777" w:rsidR="00EE41AE" w:rsidRPr="00124B71" w:rsidRDefault="00EE41AE" w:rsidP="00413228">
            <w:pPr>
              <w:keepLines/>
              <w:ind w:firstLine="0"/>
              <w:rPr>
                <w:rFonts w:eastAsia="Times New Roman" w:cs="Times New Roman"/>
                <w:color w:val="000000"/>
                <w:sz w:val="16"/>
                <w:szCs w:val="16"/>
                <w:lang w:bidi="ar-SA"/>
              </w:rPr>
            </w:pPr>
            <w:r w:rsidRPr="00124B71">
              <w:rPr>
                <w:rFonts w:eastAsia="Times New Roman" w:cs="Times New Roman"/>
                <w:color w:val="000000"/>
                <w:sz w:val="16"/>
                <w:szCs w:val="16"/>
                <w:lang w:bidi="ar-SA"/>
              </w:rPr>
              <w:t>Alt-A</w:t>
            </w:r>
            <w:r w:rsidR="001858B5">
              <w:rPr>
                <w:rFonts w:eastAsia="Times New Roman" w:cs="Times New Roman"/>
                <w:color w:val="000000"/>
                <w:sz w:val="16"/>
                <w:szCs w:val="16"/>
                <w:lang w:bidi="ar-SA"/>
              </w:rPr>
              <w:fldChar w:fldCharType="begin"/>
            </w:r>
            <w:r w:rsidR="00FA2AEF">
              <w:instrText xml:space="preserve"> XE "</w:instrText>
            </w:r>
            <w:r w:rsidR="00FA2AEF" w:rsidRPr="00044B58">
              <w:rPr>
                <w:rFonts w:cs="Times New Roman"/>
              </w:rPr>
              <w:instrText>Alt-A</w:instrText>
            </w:r>
            <w:r w:rsidR="00FA2AEF">
              <w:instrText xml:space="preserve">" </w:instrText>
            </w:r>
            <w:r w:rsidR="001858B5">
              <w:rPr>
                <w:rFonts w:eastAsia="Times New Roman" w:cs="Times New Roman"/>
                <w:color w:val="000000"/>
                <w:sz w:val="16"/>
                <w:szCs w:val="16"/>
                <w:lang w:bidi="ar-SA"/>
              </w:rPr>
              <w:fldChar w:fldCharType="end"/>
            </w:r>
            <w:r w:rsidRPr="00124B71">
              <w:rPr>
                <w:rFonts w:eastAsia="Times New Roman" w:cs="Times New Roman"/>
                <w:color w:val="000000"/>
                <w:sz w:val="16"/>
                <w:szCs w:val="16"/>
                <w:lang w:bidi="ar-SA"/>
              </w:rPr>
              <w:t xml:space="preserve"> Neg Am</w:t>
            </w:r>
          </w:p>
        </w:tc>
      </w:tr>
      <w:tr w:rsidR="00EE41AE" w:rsidRPr="00575621" w14:paraId="2ED0DA57" w14:textId="77777777" w:rsidTr="00413228">
        <w:trPr>
          <w:trHeight w:val="255"/>
        </w:trPr>
        <w:tc>
          <w:tcPr>
            <w:tcW w:w="0" w:type="auto"/>
            <w:tcBorders>
              <w:top w:val="nil"/>
              <w:left w:val="nil"/>
              <w:bottom w:val="nil"/>
              <w:right w:val="nil"/>
            </w:tcBorders>
            <w:noWrap/>
            <w:vAlign w:val="bottom"/>
            <w:hideMark/>
          </w:tcPr>
          <w:p w14:paraId="13E13BB4" w14:textId="77777777" w:rsidR="00EE41AE" w:rsidRPr="00575621" w:rsidRDefault="00EE41AE" w:rsidP="00575621">
            <w:pPr>
              <w:keepLines/>
              <w:ind w:firstLine="0"/>
              <w:rPr>
                <w:rFonts w:eastAsia="Times New Roman" w:cs="Times New Roman"/>
                <w:color w:val="000000"/>
                <w:sz w:val="16"/>
                <w:szCs w:val="16"/>
                <w:lang w:bidi="ar-SA"/>
              </w:rPr>
            </w:pPr>
          </w:p>
        </w:tc>
        <w:tc>
          <w:tcPr>
            <w:tcW w:w="0" w:type="auto"/>
            <w:tcBorders>
              <w:top w:val="nil"/>
              <w:left w:val="single" w:sz="4" w:space="0" w:color="auto"/>
              <w:bottom w:val="single" w:sz="4" w:space="0" w:color="auto"/>
              <w:right w:val="single" w:sz="8" w:space="0" w:color="auto"/>
            </w:tcBorders>
            <w:noWrap/>
            <w:vAlign w:val="bottom"/>
            <w:hideMark/>
          </w:tcPr>
          <w:p w14:paraId="42BC1233" w14:textId="77777777" w:rsidR="00EE41AE" w:rsidRPr="00124B71" w:rsidRDefault="00EE41AE" w:rsidP="00575621">
            <w:pPr>
              <w:keepLines/>
              <w:ind w:firstLine="0"/>
              <w:rPr>
                <w:rFonts w:eastAsia="Times New Roman" w:cs="Times New Roman"/>
                <w:b/>
                <w:bCs/>
                <w:color w:val="000000"/>
                <w:sz w:val="16"/>
                <w:szCs w:val="16"/>
                <w:lang w:bidi="ar-SA"/>
              </w:rPr>
            </w:pPr>
            <w:r w:rsidRPr="00124B71">
              <w:rPr>
                <w:rFonts w:eastAsia="Times New Roman" w:cs="Times New Roman"/>
                <w:b/>
                <w:bCs/>
                <w:color w:val="000000"/>
                <w:sz w:val="16"/>
                <w:szCs w:val="16"/>
                <w:lang w:bidi="ar-SA"/>
              </w:rPr>
              <w:t>Prime</w:t>
            </w:r>
            <w:r w:rsidR="001858B5">
              <w:rPr>
                <w:rFonts w:eastAsia="Times New Roman" w:cs="Times New Roman"/>
                <w:b/>
                <w:bCs/>
                <w:color w:val="000000"/>
                <w:sz w:val="16"/>
                <w:szCs w:val="16"/>
                <w:lang w:bidi="ar-SA"/>
              </w:rPr>
              <w:fldChar w:fldCharType="begin"/>
            </w:r>
            <w:r w:rsidR="001A53F8">
              <w:instrText xml:space="preserve"> XE "</w:instrText>
            </w:r>
            <w:r w:rsidR="001A53F8" w:rsidRPr="00011BCA">
              <w:rPr>
                <w:rFonts w:cs="Times New Roman"/>
              </w:rPr>
              <w:instrText>Prime</w:instrText>
            </w:r>
            <w:r w:rsidR="001A53F8">
              <w:instrText xml:space="preserve">" </w:instrText>
            </w:r>
            <w:r w:rsidR="001858B5">
              <w:rPr>
                <w:rFonts w:eastAsia="Times New Roman" w:cs="Times New Roman"/>
                <w:b/>
                <w:bCs/>
                <w:color w:val="000000"/>
                <w:sz w:val="16"/>
                <w:szCs w:val="16"/>
                <w:lang w:bidi="ar-SA"/>
              </w:rPr>
              <w:fldChar w:fldCharType="end"/>
            </w:r>
          </w:p>
        </w:tc>
        <w:tc>
          <w:tcPr>
            <w:tcW w:w="0" w:type="auto"/>
            <w:tcBorders>
              <w:top w:val="nil"/>
              <w:left w:val="nil"/>
              <w:bottom w:val="single" w:sz="4" w:space="0" w:color="auto"/>
              <w:right w:val="single" w:sz="4" w:space="0" w:color="auto"/>
            </w:tcBorders>
            <w:noWrap/>
            <w:vAlign w:val="bottom"/>
            <w:hideMark/>
          </w:tcPr>
          <w:p w14:paraId="44131601" w14:textId="77777777" w:rsidR="00EE41AE" w:rsidRPr="00124B71" w:rsidRDefault="00EE41AE" w:rsidP="00575621">
            <w:pPr>
              <w:keepLines/>
              <w:ind w:firstLine="0"/>
              <w:rPr>
                <w:rFonts w:eastAsia="Times New Roman" w:cs="Times New Roman"/>
                <w:color w:val="000000"/>
                <w:sz w:val="16"/>
                <w:szCs w:val="16"/>
                <w:lang w:bidi="ar-SA"/>
              </w:rPr>
            </w:pPr>
            <w:r w:rsidRPr="00124B71">
              <w:rPr>
                <w:rFonts w:eastAsia="Times New Roman" w:cs="Times New Roman"/>
                <w:color w:val="000000"/>
                <w:sz w:val="16"/>
                <w:szCs w:val="16"/>
                <w:lang w:bidi="ar-SA"/>
              </w:rPr>
              <w:t>Prime</w:t>
            </w:r>
            <w:r w:rsidR="001858B5">
              <w:rPr>
                <w:rFonts w:eastAsia="Times New Roman" w:cs="Times New Roman"/>
                <w:color w:val="000000"/>
                <w:sz w:val="16"/>
                <w:szCs w:val="16"/>
                <w:lang w:bidi="ar-SA"/>
              </w:rPr>
              <w:fldChar w:fldCharType="begin"/>
            </w:r>
            <w:r w:rsidR="001A53F8">
              <w:instrText xml:space="preserve"> XE "</w:instrText>
            </w:r>
            <w:r w:rsidR="001A53F8" w:rsidRPr="00011BCA">
              <w:rPr>
                <w:rFonts w:cs="Times New Roman"/>
              </w:rPr>
              <w:instrText>Prime</w:instrText>
            </w:r>
            <w:r w:rsidR="001A53F8">
              <w:instrText xml:space="preserve">" </w:instrText>
            </w:r>
            <w:r w:rsidR="001858B5">
              <w:rPr>
                <w:rFonts w:eastAsia="Times New Roman" w:cs="Times New Roman"/>
                <w:color w:val="000000"/>
                <w:sz w:val="16"/>
                <w:szCs w:val="16"/>
                <w:lang w:bidi="ar-SA"/>
              </w:rPr>
              <w:fldChar w:fldCharType="end"/>
            </w:r>
            <w:r w:rsidRPr="00124B71">
              <w:rPr>
                <w:rFonts w:eastAsia="Times New Roman" w:cs="Times New Roman"/>
                <w:color w:val="000000"/>
                <w:sz w:val="16"/>
                <w:szCs w:val="16"/>
                <w:lang w:bidi="ar-SA"/>
              </w:rPr>
              <w:t xml:space="preserve"> Conventional</w:t>
            </w:r>
          </w:p>
        </w:tc>
        <w:tc>
          <w:tcPr>
            <w:tcW w:w="0" w:type="auto"/>
            <w:tcBorders>
              <w:top w:val="nil"/>
              <w:left w:val="nil"/>
              <w:bottom w:val="single" w:sz="4" w:space="0" w:color="auto"/>
              <w:right w:val="single" w:sz="4" w:space="0" w:color="auto"/>
            </w:tcBorders>
            <w:noWrap/>
            <w:vAlign w:val="bottom"/>
            <w:hideMark/>
          </w:tcPr>
          <w:p w14:paraId="2B3FF849" w14:textId="77777777" w:rsidR="00EE41AE" w:rsidRPr="00124B71" w:rsidRDefault="00EE41AE" w:rsidP="00575621">
            <w:pPr>
              <w:keepLines/>
              <w:ind w:firstLine="0"/>
              <w:rPr>
                <w:rFonts w:eastAsia="Times New Roman" w:cs="Times New Roman"/>
                <w:color w:val="000000"/>
                <w:sz w:val="16"/>
                <w:szCs w:val="16"/>
                <w:lang w:bidi="ar-SA"/>
              </w:rPr>
            </w:pPr>
            <w:r w:rsidRPr="00124B71">
              <w:rPr>
                <w:rFonts w:eastAsia="Times New Roman" w:cs="Times New Roman"/>
                <w:color w:val="000000"/>
                <w:sz w:val="16"/>
                <w:szCs w:val="16"/>
                <w:lang w:bidi="ar-SA"/>
              </w:rPr>
              <w:t>Prime</w:t>
            </w:r>
            <w:r w:rsidR="001858B5">
              <w:rPr>
                <w:rFonts w:eastAsia="Times New Roman" w:cs="Times New Roman"/>
                <w:color w:val="000000"/>
                <w:sz w:val="16"/>
                <w:szCs w:val="16"/>
                <w:lang w:bidi="ar-SA"/>
              </w:rPr>
              <w:fldChar w:fldCharType="begin"/>
            </w:r>
            <w:r w:rsidR="001A53F8">
              <w:instrText xml:space="preserve"> XE "</w:instrText>
            </w:r>
            <w:r w:rsidR="001A53F8" w:rsidRPr="00011BCA">
              <w:rPr>
                <w:rFonts w:cs="Times New Roman"/>
              </w:rPr>
              <w:instrText>Prime</w:instrText>
            </w:r>
            <w:r w:rsidR="001A53F8">
              <w:instrText xml:space="preserve">" </w:instrText>
            </w:r>
            <w:r w:rsidR="001858B5">
              <w:rPr>
                <w:rFonts w:eastAsia="Times New Roman" w:cs="Times New Roman"/>
                <w:color w:val="000000"/>
                <w:sz w:val="16"/>
                <w:szCs w:val="16"/>
                <w:lang w:bidi="ar-SA"/>
              </w:rPr>
              <w:fldChar w:fldCharType="end"/>
            </w:r>
            <w:r w:rsidRPr="00124B71">
              <w:rPr>
                <w:rFonts w:eastAsia="Times New Roman" w:cs="Times New Roman"/>
                <w:color w:val="000000"/>
                <w:sz w:val="16"/>
                <w:szCs w:val="16"/>
                <w:lang w:bidi="ar-SA"/>
              </w:rPr>
              <w:t xml:space="preserve"> Interest Only</w:t>
            </w:r>
          </w:p>
        </w:tc>
        <w:tc>
          <w:tcPr>
            <w:tcW w:w="0" w:type="auto"/>
            <w:tcBorders>
              <w:top w:val="nil"/>
              <w:left w:val="nil"/>
              <w:bottom w:val="single" w:sz="4" w:space="0" w:color="auto"/>
              <w:right w:val="single" w:sz="4" w:space="0" w:color="auto"/>
            </w:tcBorders>
            <w:noWrap/>
            <w:vAlign w:val="bottom"/>
            <w:hideMark/>
          </w:tcPr>
          <w:p w14:paraId="5024CCC7" w14:textId="77777777" w:rsidR="00EE41AE" w:rsidRPr="00124B71" w:rsidRDefault="00413228" w:rsidP="00413228">
            <w:pPr>
              <w:keepLines/>
              <w:ind w:firstLine="0"/>
              <w:rPr>
                <w:rFonts w:eastAsia="Times New Roman" w:cs="Times New Roman"/>
                <w:color w:val="000000"/>
                <w:sz w:val="16"/>
                <w:szCs w:val="16"/>
                <w:lang w:bidi="ar-SA"/>
              </w:rPr>
            </w:pPr>
            <w:r w:rsidRPr="00124B71">
              <w:rPr>
                <w:rFonts w:eastAsia="Times New Roman" w:cs="Times New Roman"/>
                <w:color w:val="000000"/>
                <w:sz w:val="16"/>
                <w:szCs w:val="16"/>
                <w:lang w:bidi="ar-SA"/>
              </w:rPr>
              <w:t>Prime</w:t>
            </w:r>
            <w:r w:rsidR="001858B5">
              <w:rPr>
                <w:rFonts w:eastAsia="Times New Roman" w:cs="Times New Roman"/>
                <w:color w:val="000000"/>
                <w:sz w:val="16"/>
                <w:szCs w:val="16"/>
                <w:lang w:bidi="ar-SA"/>
              </w:rPr>
              <w:fldChar w:fldCharType="begin"/>
            </w:r>
            <w:r w:rsidR="001A53F8">
              <w:instrText xml:space="preserve"> XE "</w:instrText>
            </w:r>
            <w:r w:rsidR="001A53F8" w:rsidRPr="00011BCA">
              <w:rPr>
                <w:rFonts w:cs="Times New Roman"/>
              </w:rPr>
              <w:instrText>Prime</w:instrText>
            </w:r>
            <w:r w:rsidR="001A53F8">
              <w:instrText xml:space="preserve">" </w:instrText>
            </w:r>
            <w:r w:rsidR="001858B5">
              <w:rPr>
                <w:rFonts w:eastAsia="Times New Roman" w:cs="Times New Roman"/>
                <w:color w:val="000000"/>
                <w:sz w:val="16"/>
                <w:szCs w:val="16"/>
                <w:lang w:bidi="ar-SA"/>
              </w:rPr>
              <w:fldChar w:fldCharType="end"/>
            </w:r>
            <w:r w:rsidRPr="00124B71">
              <w:rPr>
                <w:rFonts w:eastAsia="Times New Roman" w:cs="Times New Roman"/>
                <w:color w:val="000000"/>
                <w:sz w:val="16"/>
                <w:szCs w:val="16"/>
                <w:lang w:bidi="ar-SA"/>
              </w:rPr>
              <w:t xml:space="preserve"> Neg</w:t>
            </w:r>
            <w:r w:rsidR="00EE41AE" w:rsidRPr="00124B71">
              <w:rPr>
                <w:rFonts w:eastAsia="Times New Roman" w:cs="Times New Roman"/>
                <w:color w:val="000000"/>
                <w:sz w:val="16"/>
                <w:szCs w:val="16"/>
                <w:lang w:bidi="ar-SA"/>
              </w:rPr>
              <w:t xml:space="preserve"> Am</w:t>
            </w:r>
          </w:p>
        </w:tc>
      </w:tr>
      <w:tr w:rsidR="00EE41AE" w:rsidRPr="00575621" w14:paraId="472E9919" w14:textId="77777777" w:rsidTr="00413228">
        <w:trPr>
          <w:trHeight w:val="255"/>
        </w:trPr>
        <w:tc>
          <w:tcPr>
            <w:tcW w:w="0" w:type="auto"/>
            <w:tcBorders>
              <w:top w:val="nil"/>
              <w:left w:val="nil"/>
              <w:bottom w:val="nil"/>
              <w:right w:val="nil"/>
            </w:tcBorders>
            <w:noWrap/>
            <w:vAlign w:val="center"/>
            <w:hideMark/>
          </w:tcPr>
          <w:p w14:paraId="1D55129A" w14:textId="77777777" w:rsidR="00EE41AE" w:rsidRPr="00124B71" w:rsidRDefault="00EE41AE" w:rsidP="00575621">
            <w:pPr>
              <w:keepLines/>
              <w:ind w:firstLine="0"/>
              <w:jc w:val="center"/>
              <w:rPr>
                <w:rFonts w:eastAsia="Times New Roman" w:cs="Times New Roman"/>
                <w:color w:val="000000"/>
                <w:sz w:val="16"/>
                <w:szCs w:val="16"/>
                <w:lang w:bidi="ar-SA"/>
              </w:rPr>
            </w:pPr>
            <w:r w:rsidRPr="00124B71">
              <w:rPr>
                <w:rFonts w:eastAsia="Times New Roman" w:cs="Times New Roman"/>
                <w:color w:val="000000"/>
                <w:sz w:val="16"/>
                <w:szCs w:val="16"/>
                <w:lang w:bidi="ar-SA"/>
              </w:rPr>
              <w:t>RISK</w:t>
            </w:r>
          </w:p>
        </w:tc>
        <w:tc>
          <w:tcPr>
            <w:tcW w:w="0" w:type="auto"/>
            <w:tcBorders>
              <w:top w:val="nil"/>
              <w:left w:val="nil"/>
              <w:bottom w:val="nil"/>
              <w:right w:val="nil"/>
            </w:tcBorders>
            <w:noWrap/>
            <w:vAlign w:val="bottom"/>
            <w:hideMark/>
          </w:tcPr>
          <w:p w14:paraId="63B74D00" w14:textId="77777777" w:rsidR="00EE41AE" w:rsidRPr="00124B71" w:rsidRDefault="00CA3B4A" w:rsidP="00575621">
            <w:pPr>
              <w:keepLines/>
              <w:ind w:firstLine="0"/>
              <w:rPr>
                <w:rFonts w:eastAsia="Times New Roman" w:cs="Times New Roman"/>
                <w:color w:val="000000"/>
                <w:sz w:val="16"/>
                <w:szCs w:val="16"/>
                <w:lang w:bidi="ar-SA"/>
              </w:rPr>
            </w:pPr>
            <w:r>
              <w:rPr>
                <w:rFonts w:eastAsia="Times New Roman" w:cs="Times New Roman"/>
                <w:noProof/>
                <w:color w:val="000000"/>
                <w:sz w:val="16"/>
                <w:szCs w:val="16"/>
                <w:lang w:bidi="ar-SA"/>
              </w:rPr>
              <w:pict w14:anchorId="173F0572">
                <v:shape id="_x0000_s2050" type="#_x0000_t32" alt="" style="position:absolute;left:0;text-align:left;margin-left:2.85pt;margin-top:-.65pt;width:3in;height:0;z-index:251660288;mso-wrap-edited:f;mso-width-percent:0;mso-height-percent:0;mso-position-horizontal-relative:text;mso-position-vertical-relative:text;mso-width-percent:0;mso-height-percent:0;mso-width-relative:margin" o:connectortype="straight">
                  <v:stroke endarrow="block"/>
                </v:shape>
              </w:pict>
            </w:r>
          </w:p>
        </w:tc>
        <w:tc>
          <w:tcPr>
            <w:tcW w:w="0" w:type="auto"/>
            <w:tcBorders>
              <w:top w:val="nil"/>
              <w:left w:val="nil"/>
              <w:bottom w:val="nil"/>
              <w:right w:val="nil"/>
            </w:tcBorders>
            <w:noWrap/>
            <w:vAlign w:val="bottom"/>
            <w:hideMark/>
          </w:tcPr>
          <w:p w14:paraId="0A11D58A" w14:textId="77777777" w:rsidR="00EE41AE" w:rsidRPr="00575621" w:rsidRDefault="00EE41AE" w:rsidP="00575621">
            <w:pPr>
              <w:keepLines/>
              <w:ind w:firstLine="0"/>
              <w:rPr>
                <w:rFonts w:eastAsia="Times New Roman" w:cs="Times New Roman"/>
                <w:color w:val="000000"/>
                <w:sz w:val="16"/>
                <w:szCs w:val="16"/>
                <w:lang w:bidi="ar-SA"/>
              </w:rPr>
            </w:pPr>
          </w:p>
        </w:tc>
        <w:tc>
          <w:tcPr>
            <w:tcW w:w="0" w:type="auto"/>
            <w:tcBorders>
              <w:top w:val="nil"/>
              <w:left w:val="nil"/>
              <w:bottom w:val="nil"/>
              <w:right w:val="nil"/>
            </w:tcBorders>
            <w:noWrap/>
            <w:vAlign w:val="bottom"/>
            <w:hideMark/>
          </w:tcPr>
          <w:p w14:paraId="6939CF1F" w14:textId="77777777" w:rsidR="00EE41AE" w:rsidRPr="00575621" w:rsidRDefault="00EE41AE" w:rsidP="00575621">
            <w:pPr>
              <w:keepLines/>
              <w:ind w:firstLine="0"/>
              <w:rPr>
                <w:rFonts w:eastAsia="Times New Roman" w:cs="Times New Roman"/>
                <w:color w:val="000000"/>
                <w:sz w:val="16"/>
                <w:szCs w:val="16"/>
                <w:lang w:bidi="ar-SA"/>
              </w:rPr>
            </w:pPr>
          </w:p>
        </w:tc>
        <w:tc>
          <w:tcPr>
            <w:tcW w:w="0" w:type="auto"/>
            <w:tcBorders>
              <w:top w:val="nil"/>
              <w:left w:val="nil"/>
              <w:bottom w:val="nil"/>
              <w:right w:val="nil"/>
            </w:tcBorders>
            <w:noWrap/>
            <w:vAlign w:val="bottom"/>
            <w:hideMark/>
          </w:tcPr>
          <w:p w14:paraId="69CBB6BE" w14:textId="77777777" w:rsidR="00EE41AE" w:rsidRPr="00575621" w:rsidRDefault="00EE41AE" w:rsidP="00575621">
            <w:pPr>
              <w:keepLines/>
              <w:ind w:firstLine="0"/>
              <w:rPr>
                <w:rFonts w:eastAsia="Times New Roman" w:cs="Times New Roman"/>
                <w:color w:val="000000"/>
                <w:sz w:val="16"/>
                <w:szCs w:val="16"/>
                <w:lang w:bidi="ar-SA"/>
              </w:rPr>
            </w:pPr>
          </w:p>
        </w:tc>
      </w:tr>
    </w:tbl>
    <w:p w14:paraId="61B43A82" w14:textId="77777777" w:rsidR="00EE41AE" w:rsidRPr="00124B71" w:rsidRDefault="00EE41AE" w:rsidP="00EE41AE">
      <w:pPr>
        <w:rPr>
          <w:rFonts w:cs="Times New Roman"/>
        </w:rPr>
      </w:pPr>
    </w:p>
    <w:p w14:paraId="5A3572AE" w14:textId="77777777" w:rsidR="00EE41AE" w:rsidRPr="00124B71" w:rsidRDefault="00EE41AE" w:rsidP="00EE41AE">
      <w:pPr>
        <w:rPr>
          <w:rFonts w:cs="Times New Roman"/>
        </w:rPr>
      </w:pPr>
      <w:r w:rsidRPr="00124B71">
        <w:rPr>
          <w:rFonts w:cs="Times New Roman"/>
        </w:rPr>
        <w:t xml:space="preserve">The category of loan and category of borrower are independent of each other. Starting in the lower left hand corner, there is lowest risk loan for a </w:t>
      </w:r>
      <w:r w:rsidRPr="00124B71">
        <w:rPr>
          <w:rFonts w:cs="Times New Roman"/>
        </w:rPr>
        <w:lastRenderedPageBreak/>
        <w:t>lender to make, a Prime</w:t>
      </w:r>
      <w:r w:rsidR="001858B5">
        <w:rPr>
          <w:rFonts w:cs="Times New Roman"/>
        </w:rPr>
        <w:fldChar w:fldCharType="begin"/>
      </w:r>
      <w:r w:rsidR="001A53F8">
        <w:instrText xml:space="preserve"> XE "</w:instrText>
      </w:r>
      <w:r w:rsidR="001A53F8" w:rsidRPr="00011BCA">
        <w:rPr>
          <w:rFonts w:cs="Times New Roman"/>
        </w:rPr>
        <w:instrText>Prime</w:instrText>
      </w:r>
      <w:r w:rsidR="001A53F8">
        <w:instrText xml:space="preserve">" </w:instrText>
      </w:r>
      <w:r w:rsidR="001858B5">
        <w:rPr>
          <w:rFonts w:cs="Times New Roman"/>
        </w:rPr>
        <w:fldChar w:fldCharType="end"/>
      </w:r>
      <w:r w:rsidRPr="00124B71">
        <w:rPr>
          <w:rFonts w:cs="Times New Roman"/>
        </w:rPr>
        <w:t xml:space="preserve"> Conventional mortgage</w:t>
      </w:r>
      <w:r w:rsidR="001858B5">
        <w:rPr>
          <w:rFonts w:cs="Times New Roman"/>
        </w:rPr>
        <w:fldChar w:fldCharType="begin"/>
      </w:r>
      <w:r w:rsidR="00E84A0F">
        <w:instrText xml:space="preserve"> XE "</w:instrText>
      </w:r>
      <w:r w:rsidR="00E84A0F" w:rsidRPr="00802046">
        <w:rPr>
          <w:rFonts w:cs="Times New Roman"/>
        </w:rPr>
        <w:instrText>Conventional mortgage</w:instrText>
      </w:r>
      <w:r w:rsidR="00E84A0F">
        <w:instrText xml:space="preserve">" </w:instrText>
      </w:r>
      <w:r w:rsidR="001858B5">
        <w:rPr>
          <w:rFonts w:cs="Times New Roman"/>
        </w:rPr>
        <w:fldChar w:fldCharType="end"/>
      </w:r>
      <w:r w:rsidRPr="00124B71">
        <w:rPr>
          <w:rFonts w:cs="Times New Roman"/>
        </w:rPr>
        <w:t>. Up or to the right, the risk increases. The riskiest loan a lender can make is the Negative Amortization loan</w:t>
      </w:r>
      <w:r w:rsidR="001858B5">
        <w:rPr>
          <w:rFonts w:cs="Times New Roman"/>
        </w:rPr>
        <w:fldChar w:fldCharType="begin"/>
      </w:r>
      <w:r w:rsidR="00E84A0F">
        <w:instrText xml:space="preserve"> XE "</w:instrText>
      </w:r>
      <w:r w:rsidR="00E84A0F" w:rsidRPr="00FA3B3E">
        <w:rPr>
          <w:rFonts w:cs="Times New Roman"/>
        </w:rPr>
        <w:instrText>Negative Amortization loan</w:instrText>
      </w:r>
      <w:r w:rsidR="00E84A0F">
        <w:instrText xml:space="preserve">" </w:instrText>
      </w:r>
      <w:r w:rsidR="001858B5">
        <w:rPr>
          <w:rFonts w:cs="Times New Roman"/>
        </w:rPr>
        <w:fldChar w:fldCharType="end"/>
      </w:r>
      <w:r w:rsidRPr="00124B71">
        <w:rPr>
          <w:rFonts w:cs="Times New Roman"/>
        </w:rPr>
        <w:t xml:space="preserve"> to a Subprime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Pr="00124B71">
        <w:rPr>
          <w:rFonts w:cs="Times New Roman"/>
        </w:rPr>
        <w:t xml:space="preserve"> borrower.</w:t>
      </w:r>
    </w:p>
    <w:p w14:paraId="4F7D54CD" w14:textId="77777777" w:rsidR="00263B2B" w:rsidRPr="00EF0EDA" w:rsidRDefault="00263B2B" w:rsidP="00263B2B">
      <w:pPr>
        <w:pStyle w:val="Heading3"/>
      </w:pPr>
      <w:bookmarkStart w:id="26" w:name="_Toc238867278"/>
      <w:r w:rsidRPr="00EF0EDA">
        <w:t>Conventional 30-Year Amortizing Mortgage</w:t>
      </w:r>
      <w:bookmarkEnd w:id="26"/>
    </w:p>
    <w:p w14:paraId="162B2347" w14:textId="77777777" w:rsidR="00263B2B" w:rsidRPr="00124B71" w:rsidRDefault="00263B2B" w:rsidP="00263B2B">
      <w:pPr>
        <w:rPr>
          <w:rFonts w:cs="Times New Roman"/>
        </w:rPr>
      </w:pPr>
      <w:r w:rsidRPr="00124B71">
        <w:rPr>
          <w:rFonts w:cs="Times New Roman"/>
        </w:rPr>
        <w:t>A fixed-rate conventionally-amortized mortgage</w:t>
      </w:r>
      <w:r w:rsidR="001858B5">
        <w:rPr>
          <w:rFonts w:cs="Times New Roman"/>
        </w:rPr>
        <w:fldChar w:fldCharType="begin"/>
      </w:r>
      <w:r w:rsidR="00E84A0F">
        <w:instrText xml:space="preserve"> XE "</w:instrText>
      </w:r>
      <w:r w:rsidR="00E84A0F" w:rsidRPr="000451A3">
        <w:rPr>
          <w:rFonts w:cs="Times New Roman"/>
        </w:rPr>
        <w:instrText>fixed-rate conventionally-amortized mortgage</w:instrText>
      </w:r>
      <w:r w:rsidR="00E84A0F">
        <w:instrText xml:space="preserve">" </w:instrText>
      </w:r>
      <w:r w:rsidR="001858B5">
        <w:rPr>
          <w:rFonts w:cs="Times New Roman"/>
        </w:rPr>
        <w:fldChar w:fldCharType="end"/>
      </w:r>
      <w:r w:rsidRPr="00124B71">
        <w:rPr>
          <w:rFonts w:cs="Times New Roman"/>
        </w:rPr>
        <w:t xml:space="preserve"> is the least risky kind of mortgage obligation. If borrower</w:t>
      </w:r>
      <w:r w:rsidR="00EF6494" w:rsidRPr="00124B71">
        <w:rPr>
          <w:rFonts w:cs="Times New Roman"/>
        </w:rPr>
        <w:t>s</w:t>
      </w:r>
      <w:r w:rsidRPr="00124B71">
        <w:rPr>
          <w:rFonts w:cs="Times New Roman"/>
        </w:rPr>
        <w:t xml:space="preserve"> can make the</w:t>
      </w:r>
      <w:r w:rsidR="00EF6494" w:rsidRPr="00124B71">
        <w:rPr>
          <w:rFonts w:cs="Times New Roman"/>
        </w:rPr>
        <w:t>ir</w:t>
      </w:r>
      <w:r w:rsidRPr="00124B71">
        <w:rPr>
          <w:rFonts w:cs="Times New Roman"/>
        </w:rPr>
        <w:t xml:space="preserve"> payment</w:t>
      </w:r>
      <w:r w:rsidR="007C469A">
        <w:rPr>
          <w:rFonts w:cs="Times New Roman"/>
        </w:rPr>
        <w:t>–</w:t>
      </w:r>
      <w:r w:rsidRPr="00124B71">
        <w:rPr>
          <w:rFonts w:cs="Times New Roman"/>
        </w:rPr>
        <w:t>a payment that will not change over time</w:t>
      </w:r>
      <w:r w:rsidR="007C469A">
        <w:rPr>
          <w:rFonts w:cs="Times New Roman"/>
        </w:rPr>
        <w:t>–</w:t>
      </w:r>
      <w:r w:rsidRPr="00124B71">
        <w:rPr>
          <w:rFonts w:cs="Times New Roman"/>
        </w:rPr>
        <w:t>they can keep the</w:t>
      </w:r>
      <w:r w:rsidR="00EE41AE" w:rsidRPr="00124B71">
        <w:rPr>
          <w:rFonts w:cs="Times New Roman"/>
        </w:rPr>
        <w:t>ir</w:t>
      </w:r>
      <w:r w:rsidRPr="00124B71">
        <w:rPr>
          <w:rFonts w:cs="Times New Roman"/>
        </w:rPr>
        <w:t xml:space="preserve"> home. A 30-year term is most common, but if bi-weekly payments are made (two extra per year), the loan can be pa</w:t>
      </w:r>
      <w:r w:rsidR="00EF6494" w:rsidRPr="00124B71">
        <w:rPr>
          <w:rFonts w:cs="Times New Roman"/>
        </w:rPr>
        <w:t>id off in about 22 years. If</w:t>
      </w:r>
      <w:r w:rsidRPr="00124B71">
        <w:rPr>
          <w:rFonts w:cs="Times New Roman"/>
        </w:rPr>
        <w:t xml:space="preserve"> borrower</w:t>
      </w:r>
      <w:r w:rsidR="00EF6494" w:rsidRPr="00124B71">
        <w:rPr>
          <w:rFonts w:cs="Times New Roman"/>
        </w:rPr>
        <w:t>s</w:t>
      </w:r>
      <w:r w:rsidRPr="00124B71">
        <w:rPr>
          <w:rFonts w:cs="Times New Roman"/>
        </w:rPr>
        <w:t xml:space="preserve"> can afford a larger payment in the future, they can increase the payment and amortize over 15 years and pay off the mortgage quickly. The best way to deal with unemployment</w:t>
      </w:r>
      <w:r w:rsidR="001858B5">
        <w:rPr>
          <w:rFonts w:cs="Times New Roman"/>
        </w:rPr>
        <w:fldChar w:fldCharType="begin"/>
      </w:r>
      <w:r w:rsidR="00FB4BC9">
        <w:instrText xml:space="preserve"> XE "</w:instrText>
      </w:r>
      <w:r w:rsidR="00FB4BC9" w:rsidRPr="00E7306C">
        <w:rPr>
          <w:rFonts w:cs="Times New Roman"/>
        </w:rPr>
        <w:instrText>unemployment</w:instrText>
      </w:r>
      <w:r w:rsidR="00FB4BC9">
        <w:instrText xml:space="preserve">" </w:instrText>
      </w:r>
      <w:r w:rsidR="001858B5">
        <w:rPr>
          <w:rFonts w:cs="Times New Roman"/>
        </w:rPr>
        <w:fldChar w:fldCharType="end"/>
      </w:r>
      <w:r w:rsidR="00122C5F" w:rsidRPr="00124B71">
        <w:rPr>
          <w:rFonts w:cs="Times New Roman"/>
        </w:rPr>
        <w:t xml:space="preserve"> or other loss of income</w:t>
      </w:r>
      <w:r w:rsidRPr="00124B71">
        <w:rPr>
          <w:rFonts w:cs="Times New Roman"/>
        </w:rPr>
        <w:t xml:space="preserve"> is to have a house that is paid off. Stabilizing or eliminating a mortgage payment</w:t>
      </w:r>
      <w:r w:rsidR="001858B5">
        <w:rPr>
          <w:rFonts w:cs="Times New Roman"/>
        </w:rPr>
        <w:fldChar w:fldCharType="begin"/>
      </w:r>
      <w:r w:rsidR="00180E6F">
        <w:instrText xml:space="preserve"> XE "</w:instrText>
      </w:r>
      <w:r w:rsidR="00180E6F" w:rsidRPr="00891096">
        <w:rPr>
          <w:rFonts w:cs="Times New Roman"/>
        </w:rPr>
        <w:instrText>mortgage payment</w:instrText>
      </w:r>
      <w:r w:rsidR="00180E6F">
        <w:instrText xml:space="preserve">" </w:instrText>
      </w:r>
      <w:r w:rsidR="001858B5">
        <w:rPr>
          <w:rFonts w:cs="Times New Roman"/>
        </w:rPr>
        <w:fldChar w:fldCharType="end"/>
      </w:r>
      <w:r w:rsidRPr="00124B71">
        <w:rPr>
          <w:rFonts w:cs="Times New Roman"/>
        </w:rPr>
        <w:t xml:space="preserve"> reduces the risk of losing a house or facing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Pr="00124B71">
        <w:rPr>
          <w:rFonts w:cs="Times New Roman"/>
        </w:rPr>
        <w:t>. Unfortunately, payments on fixed-rate mortgages are higher than other forms of financing, so borrowers often opt for the riskier alternatives.</w:t>
      </w:r>
    </w:p>
    <w:p w14:paraId="0FF5165D" w14:textId="77777777" w:rsidR="001767A9" w:rsidRPr="00EF0EDA" w:rsidRDefault="001767A9" w:rsidP="00263B2B">
      <w:pPr>
        <w:pStyle w:val="Heading3"/>
      </w:pPr>
      <w:bookmarkStart w:id="27" w:name="_Toc238867279"/>
      <w:r w:rsidRPr="00EF0EDA">
        <w:t>The Interest-Only, Adjustable-Rate Mortgage</w:t>
      </w:r>
      <w:bookmarkEnd w:id="27"/>
    </w:p>
    <w:p w14:paraId="4867B0C5" w14:textId="77777777" w:rsidR="001767A9" w:rsidRPr="00124B71" w:rsidRDefault="001767A9" w:rsidP="008560E2">
      <w:pPr>
        <w:rPr>
          <w:rFonts w:cs="Times New Roman"/>
        </w:rPr>
      </w:pPr>
      <w:r w:rsidRPr="00124B71">
        <w:rPr>
          <w:rFonts w:cs="Times New Roman"/>
        </w:rPr>
        <w:t>The interest-only, adjustable-rate mortgage</w:t>
      </w:r>
      <w:r w:rsidR="001858B5">
        <w:rPr>
          <w:rFonts w:cs="Times New Roman"/>
        </w:rPr>
        <w:fldChar w:fldCharType="begin"/>
      </w:r>
      <w:r w:rsidR="00C12412">
        <w:instrText xml:space="preserve"> XE "</w:instrText>
      </w:r>
      <w:r w:rsidR="00C12412" w:rsidRPr="00CB54F1">
        <w:rPr>
          <w:rFonts w:cs="Times New Roman"/>
        </w:rPr>
        <w:instrText>interest-only, adjustable-rate mortgage</w:instrText>
      </w:r>
      <w:r w:rsidR="00C12412">
        <w:instrText>" \t "</w:instrText>
      </w:r>
      <w:r w:rsidR="00C12412" w:rsidRPr="00D12114">
        <w:rPr>
          <w:rFonts w:asciiTheme="minorHAnsi" w:hAnsiTheme="minorHAnsi"/>
          <w:i/>
        </w:rPr>
        <w:instrText>See</w:instrText>
      </w:r>
      <w:r w:rsidR="00C12412" w:rsidRPr="00D12114">
        <w:rPr>
          <w:rFonts w:asciiTheme="minorHAnsi" w:hAnsiTheme="minorHAnsi"/>
        </w:rPr>
        <w:instrText xml:space="preserve"> IO ARM</w:instrText>
      </w:r>
      <w:r w:rsidR="00C12412">
        <w:instrText xml:space="preserve">" </w:instrText>
      </w:r>
      <w:r w:rsidR="001858B5">
        <w:rPr>
          <w:rFonts w:cs="Times New Roman"/>
        </w:rPr>
        <w:fldChar w:fldCharType="end"/>
      </w:r>
      <w:r w:rsidRPr="00124B71">
        <w:rPr>
          <w:rFonts w:cs="Times New Roman"/>
        </w:rPr>
        <w:t xml:space="preserve"> (IO ARM</w:t>
      </w:r>
      <w:r w:rsidR="001858B5">
        <w:rPr>
          <w:rFonts w:cs="Times New Roman"/>
        </w:rPr>
        <w:fldChar w:fldCharType="begin"/>
      </w:r>
      <w:r w:rsidR="00C12412">
        <w:instrText xml:space="preserve"> XE "</w:instrText>
      </w:r>
      <w:r w:rsidR="00C12412" w:rsidRPr="00EE6085">
        <w:rPr>
          <w:rFonts w:cs="Times New Roman"/>
        </w:rPr>
        <w:instrText>IO ARM</w:instrText>
      </w:r>
      <w:r w:rsidR="00C12412">
        <w:instrText xml:space="preserve">" </w:instrText>
      </w:r>
      <w:r w:rsidR="001858B5">
        <w:rPr>
          <w:rFonts w:cs="Times New Roman"/>
        </w:rPr>
        <w:fldChar w:fldCharType="end"/>
      </w:r>
      <w:r w:rsidRPr="00124B71">
        <w:rPr>
          <w:rFonts w:cs="Times New Roman"/>
        </w:rPr>
        <w:t xml:space="preserve">) became popular early in this bubble when fixed-rate mortgage payments were too large for buyers to afford. In the </w:t>
      </w:r>
      <w:r w:rsidR="0099743C" w:rsidRPr="00124B71">
        <w:rPr>
          <w:rFonts w:cs="Times New Roman"/>
        </w:rPr>
        <w:t xml:space="preserve">coastal </w:t>
      </w:r>
      <w:r w:rsidRPr="00124B71">
        <w:rPr>
          <w:rFonts w:cs="Times New Roman"/>
        </w:rPr>
        <w:t xml:space="preserve">bubble of the late </w:t>
      </w:r>
      <w:r w:rsidR="009767F5" w:rsidRPr="00124B71">
        <w:rPr>
          <w:rFonts w:cs="Times New Roman"/>
        </w:rPr>
        <w:t>80s</w:t>
      </w:r>
      <w:r w:rsidRPr="00124B71">
        <w:rPr>
          <w:rFonts w:cs="Times New Roman"/>
        </w:rPr>
        <w:t>, these mortgages did not become as common, and the bubble did not inflate far beyond people</w:t>
      </w:r>
      <w:r w:rsidR="00385DA0">
        <w:rPr>
          <w:rFonts w:cs="Times New Roman"/>
        </w:rPr>
        <w:t>'s</w:t>
      </w:r>
      <w:r w:rsidRPr="00124B71">
        <w:rPr>
          <w:rFonts w:cs="Times New Roman"/>
        </w:rPr>
        <w:t xml:space="preserve"> ability to make fixed-rate conventional mortgage payments</w:t>
      </w:r>
      <w:r w:rsidR="00A40CA5" w:rsidRPr="00124B71">
        <w:rPr>
          <w:rFonts w:cs="Times New Roman"/>
        </w:rPr>
        <w:t>.</w:t>
      </w:r>
      <w:r w:rsidR="00250F73" w:rsidRPr="00124B71">
        <w:rPr>
          <w:rFonts w:cs="Times New Roman"/>
        </w:rPr>
        <w:t xml:space="preserve"> </w:t>
      </w:r>
      <w:r w:rsidR="00A40CA5" w:rsidRPr="00124B71">
        <w:rPr>
          <w:rStyle w:val="EndnoteReference"/>
          <w:rFonts w:cs="Times New Roman"/>
        </w:rPr>
        <w:endnoteReference w:id="22"/>
      </w:r>
      <w:r w:rsidRPr="00124B71">
        <w:rPr>
          <w:rFonts w:cs="Times New Roman"/>
        </w:rPr>
        <w:t xml:space="preserve"> This is also why prices were slow to correct in the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Pr="00124B71">
        <w:rPr>
          <w:rFonts w:cs="Times New Roman"/>
        </w:rPr>
        <w:t xml:space="preserve"> of the early </w:t>
      </w:r>
      <w:r w:rsidR="009767F5" w:rsidRPr="00124B71">
        <w:rPr>
          <w:rFonts w:cs="Times New Roman"/>
        </w:rPr>
        <w:t>90s</w:t>
      </w:r>
      <w:r w:rsidRPr="00124B71">
        <w:rPr>
          <w:rFonts w:cs="Times New Roman"/>
        </w:rPr>
        <w:t xml:space="preserve">. Most sellers did not need to sell, so they just waited out the market. The correction was a market characterized </w:t>
      </w:r>
      <w:r w:rsidR="009767F5" w:rsidRPr="00124B71">
        <w:rPr>
          <w:rFonts w:cs="Times New Roman"/>
        </w:rPr>
        <w:t>by</w:t>
      </w:r>
      <w:r w:rsidRPr="00124B71">
        <w:rPr>
          <w:rFonts w:cs="Times New Roman"/>
        </w:rPr>
        <w:t xml:space="preserve"> large inventories, but this inventory was not composed of </w:t>
      </w:r>
      <w:r w:rsidR="0094722A" w:rsidRPr="00124B71">
        <w:rPr>
          <w:rFonts w:cs="Times New Roman"/>
        </w:rPr>
        <w:t>calamitous</w:t>
      </w:r>
      <w:r w:rsidRPr="00124B71">
        <w:rPr>
          <w:rFonts w:cs="Times New Roman"/>
        </w:rPr>
        <w:t xml:space="preserve"> numbers of must-sell</w:t>
      </w:r>
      <w:r w:rsidR="001858B5">
        <w:rPr>
          <w:rFonts w:cs="Times New Roman"/>
        </w:rPr>
        <w:fldChar w:fldCharType="begin"/>
      </w:r>
      <w:r w:rsidR="00C12412">
        <w:instrText xml:space="preserve"> XE "</w:instrText>
      </w:r>
      <w:r w:rsidR="00C12412" w:rsidRPr="0032623E">
        <w:rPr>
          <w:rFonts w:cs="Times New Roman"/>
        </w:rPr>
        <w:instrText>must-sell</w:instrText>
      </w:r>
      <w:r w:rsidR="00C12412">
        <w:instrText xml:space="preserve">" </w:instrText>
      </w:r>
      <w:r w:rsidR="001858B5">
        <w:rPr>
          <w:rFonts w:cs="Times New Roman"/>
        </w:rPr>
        <w:fldChar w:fldCharType="end"/>
      </w:r>
      <w:r w:rsidRPr="00124B71">
        <w:rPr>
          <w:rFonts w:cs="Times New Roman"/>
        </w:rPr>
        <w:t xml:space="preserve"> homes</w:t>
      </w:r>
      <w:r w:rsidR="0094722A" w:rsidRPr="00124B71">
        <w:rPr>
          <w:rFonts w:cs="Times New Roman"/>
        </w:rPr>
        <w:t>.</w:t>
      </w:r>
      <w:r w:rsidRPr="00124B71">
        <w:rPr>
          <w:rFonts w:cs="Times New Roman"/>
        </w:rPr>
        <w:t xml:space="preserve"> The few must-sell homes that came on the market in the early </w:t>
      </w:r>
      <w:r w:rsidR="009767F5" w:rsidRPr="00124B71">
        <w:rPr>
          <w:rFonts w:cs="Times New Roman"/>
        </w:rPr>
        <w:t>90s</w:t>
      </w:r>
      <w:r w:rsidRPr="00124B71">
        <w:rPr>
          <w:rFonts w:cs="Times New Roman"/>
        </w:rPr>
        <w:t xml:space="preserve"> drove prices lower, but not catastrophically because the rally in prices did not get too far out of control</w:t>
      </w:r>
      <w:r w:rsidR="009767F5" w:rsidRPr="00124B71">
        <w:rPr>
          <w:rFonts w:cs="Times New Roman"/>
        </w:rPr>
        <w:t>.</w:t>
      </w:r>
      <w:r w:rsidRPr="00124B71">
        <w:rPr>
          <w:rFonts w:cs="Times New Roman"/>
        </w:rPr>
        <w:t xml:space="preserve"> </w:t>
      </w:r>
      <w:r w:rsidR="009767F5" w:rsidRPr="00124B71">
        <w:rPr>
          <w:rFonts w:cs="Times New Roman"/>
        </w:rPr>
        <w:t>T</w:t>
      </w:r>
      <w:r w:rsidR="00E72011" w:rsidRPr="00124B71">
        <w:rPr>
          <w:rFonts w:cs="Times New Roman"/>
        </w:rPr>
        <w:t>he Great Housing Bubble was</w:t>
      </w:r>
      <w:r w:rsidRPr="00124B71">
        <w:rPr>
          <w:rFonts w:cs="Times New Roman"/>
        </w:rPr>
        <w:t xml:space="preserve"> different.</w:t>
      </w:r>
    </w:p>
    <w:p w14:paraId="4CF55E3E" w14:textId="77777777" w:rsidR="001767A9" w:rsidRPr="00124B71" w:rsidRDefault="001767A9" w:rsidP="008560E2">
      <w:pPr>
        <w:rPr>
          <w:rFonts w:cs="Times New Roman"/>
        </w:rPr>
      </w:pPr>
      <w:r w:rsidRPr="00124B71">
        <w:rPr>
          <w:rFonts w:cs="Times New Roman"/>
        </w:rPr>
        <w:t>IO ARMs are risky because they increase the likelihood of borrower</w:t>
      </w:r>
      <w:r w:rsidR="00A40CA5" w:rsidRPr="00124B71">
        <w:rPr>
          <w:rFonts w:cs="Times New Roman"/>
        </w:rPr>
        <w:t>s</w:t>
      </w:r>
      <w:r w:rsidRPr="00124B71">
        <w:rPr>
          <w:rFonts w:cs="Times New Roman"/>
        </w:rPr>
        <w:t xml:space="preserve"> losing their home</w:t>
      </w:r>
      <w:r w:rsidR="00A40CA5" w:rsidRPr="00124B71">
        <w:rPr>
          <w:rFonts w:cs="Times New Roman"/>
        </w:rPr>
        <w:t>s</w:t>
      </w:r>
      <w:r w:rsidRPr="00124B71">
        <w:rPr>
          <w:rFonts w:cs="Times New Roman"/>
        </w:rPr>
        <w:t>. IO ARMs generally have a fixed payment for a short period followed by a rate and payment adjustment. This adjustment is almost always higher</w:t>
      </w:r>
      <w:r w:rsidR="00A40CA5" w:rsidRPr="00124B71">
        <w:rPr>
          <w:rFonts w:cs="Times New Roman"/>
        </w:rPr>
        <w:t>;</w:t>
      </w:r>
      <w:r w:rsidRPr="00124B71">
        <w:rPr>
          <w:rFonts w:cs="Times New Roman"/>
        </w:rPr>
        <w:t xml:space="preserve"> sometimes, it is much higher. At the time of reset, if the borrower is unable to make the new payment (salary does not increase), or if the borrower is unable refinance the loan (home declines in value below the loan amount), the borrower will lose the home</w:t>
      </w:r>
      <w:r w:rsidR="00250F73" w:rsidRPr="00124B71">
        <w:rPr>
          <w:rFonts w:cs="Times New Roman"/>
        </w:rPr>
        <w:t xml:space="preserve">. </w:t>
      </w:r>
      <w:r w:rsidR="00F52564" w:rsidRPr="00124B71">
        <w:rPr>
          <w:rStyle w:val="EndnoteReference"/>
          <w:rFonts w:cs="Times New Roman"/>
        </w:rPr>
        <w:endnoteReference w:id="23"/>
      </w:r>
      <w:r w:rsidRPr="00124B71">
        <w:rPr>
          <w:rFonts w:cs="Times New Roman"/>
        </w:rPr>
        <w:t xml:space="preserve"> It</w:t>
      </w:r>
      <w:r w:rsidR="00122C5F" w:rsidRPr="00124B71">
        <w:rPr>
          <w:rFonts w:cs="Times New Roman"/>
        </w:rPr>
        <w:t xml:space="preserve"> i</w:t>
      </w:r>
      <w:r w:rsidRPr="00124B71">
        <w:rPr>
          <w:rFonts w:cs="Times New Roman"/>
        </w:rPr>
        <w:t xml:space="preserve">s that simple. </w:t>
      </w:r>
    </w:p>
    <w:p w14:paraId="7C2D40D8" w14:textId="77777777" w:rsidR="001767A9" w:rsidRPr="00124B71" w:rsidRDefault="001767A9" w:rsidP="008560E2">
      <w:pPr>
        <w:rPr>
          <w:rFonts w:cs="Times New Roman"/>
        </w:rPr>
      </w:pPr>
      <w:r w:rsidRPr="00124B71">
        <w:rPr>
          <w:rFonts w:cs="Times New Roman"/>
        </w:rPr>
        <w:t xml:space="preserve">These risks are real, as many homeowners have already discovered. People try to minimize this risk by extending the time to reset to 7 or even 10 years, but the risk is still present. If a house </w:t>
      </w:r>
      <w:r w:rsidR="00A40CA5" w:rsidRPr="00124B71">
        <w:rPr>
          <w:rFonts w:cs="Times New Roman"/>
        </w:rPr>
        <w:t>were</w:t>
      </w:r>
      <w:r w:rsidRPr="00124B71">
        <w:rPr>
          <w:rFonts w:cs="Times New Roman"/>
        </w:rPr>
        <w:t xml:space="preserve"> purchased in California in 19</w:t>
      </w:r>
      <w:r w:rsidR="00A4573A" w:rsidRPr="00124B71">
        <w:rPr>
          <w:rFonts w:cs="Times New Roman"/>
        </w:rPr>
        <w:t>89</w:t>
      </w:r>
      <w:r w:rsidRPr="00124B71">
        <w:rPr>
          <w:rFonts w:cs="Times New Roman"/>
        </w:rPr>
        <w:t xml:space="preserve"> with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w:t>
      </w:r>
      <w:r w:rsidR="009767F5" w:rsidRPr="00124B71">
        <w:rPr>
          <w:rFonts w:cs="Times New Roman"/>
        </w:rPr>
        <w:t>with a 10-year,</w:t>
      </w:r>
      <w:r w:rsidRPr="00124B71">
        <w:rPr>
          <w:rFonts w:cs="Times New Roman"/>
        </w:rPr>
        <w:t xml:space="preserve"> interest-only loan, at the time of refinance the house would have</w:t>
      </w:r>
      <w:r w:rsidR="00385DA0">
        <w:rPr>
          <w:rFonts w:cs="Times New Roman"/>
        </w:rPr>
        <w:t xml:space="preserve"> been</w:t>
      </w:r>
      <w:r w:rsidRPr="00124B71">
        <w:rPr>
          <w:rFonts w:cs="Times New Roman"/>
        </w:rPr>
        <w:t xml:space="preserve"> worth less than the borrower paid, and they would not have been given a new loan. (Fortunately 100% financing was unheard of in the late </w:t>
      </w:r>
      <w:r w:rsidR="009767F5" w:rsidRPr="00124B71">
        <w:rPr>
          <w:rFonts w:cs="Times New Roman"/>
        </w:rPr>
        <w:t>80s</w:t>
      </w:r>
      <w:r w:rsidR="00A40CA5" w:rsidRPr="00124B71">
        <w:rPr>
          <w:rFonts w:cs="Times New Roman"/>
        </w:rPr>
        <w:t>).</w:t>
      </w:r>
      <w:r w:rsidRPr="00124B71">
        <w:rPr>
          <w:rFonts w:cs="Times New Roman"/>
        </w:rPr>
        <w:t xml:space="preserve"> Even a 10 year term is not long enough if purchased at the wrong </w:t>
      </w:r>
      <w:r w:rsidRPr="00124B71">
        <w:rPr>
          <w:rFonts w:cs="Times New Roman"/>
        </w:rPr>
        <w:lastRenderedPageBreak/>
        <w:t>time. As the term of fixed payments gets shorter, the risk of losing the home becomes even greater.</w:t>
      </w:r>
    </w:p>
    <w:p w14:paraId="6F1D93E1" w14:textId="079C885F" w:rsidR="00CE1B0A" w:rsidRPr="00124B71" w:rsidRDefault="00CE1B0A" w:rsidP="00CE1B0A">
      <w:pPr>
        <w:rPr>
          <w:rFonts w:cs="Times New Roman"/>
        </w:rPr>
      </w:pPr>
      <w:r w:rsidRPr="00124B71">
        <w:rPr>
          <w:rFonts w:cs="Times New Roman"/>
        </w:rPr>
        <w:t>The most egregious examples of predatory lending occurred when thes</w:t>
      </w:r>
      <w:r w:rsidR="00385DA0">
        <w:rPr>
          <w:rFonts w:cs="Times New Roman"/>
        </w:rPr>
        <w:t>e interest-only loan products w</w:t>
      </w:r>
      <w:r w:rsidRPr="00124B71">
        <w:rPr>
          <w:rFonts w:cs="Times New Roman"/>
        </w:rPr>
        <w:t>ere offered to subprime borrowers whose income only qualified them to make the initial minimum payment (assuming the borrower actually had this income</w:t>
      </w:r>
      <w:r w:rsidR="00A40CA5" w:rsidRPr="00124B71">
        <w:rPr>
          <w:rFonts w:cs="Times New Roman"/>
        </w:rPr>
        <w:t>).</w:t>
      </w:r>
      <w:r w:rsidRPr="00124B71">
        <w:rPr>
          <w:rFonts w:cs="Times New Roman"/>
        </w:rPr>
        <w:t xml:space="preserve"> </w:t>
      </w:r>
      <w:r w:rsidR="00140F26" w:rsidRPr="00124B71">
        <w:rPr>
          <w:rFonts w:cs="Times New Roman"/>
        </w:rPr>
        <w:t>This loan program was commonly known as the two-twenty-eight (2/28</w:t>
      </w:r>
      <w:r w:rsidR="001858B5">
        <w:rPr>
          <w:rFonts w:cs="Times New Roman"/>
        </w:rPr>
        <w:fldChar w:fldCharType="begin"/>
      </w:r>
      <w:r w:rsidR="00C12412">
        <w:instrText xml:space="preserve"> XE "</w:instrText>
      </w:r>
      <w:r w:rsidR="00C12412" w:rsidRPr="00103CC1">
        <w:rPr>
          <w:rFonts w:cs="Times New Roman"/>
        </w:rPr>
        <w:instrText>2/28</w:instrText>
      </w:r>
      <w:r w:rsidR="00C12412">
        <w:instrText xml:space="preserve">" </w:instrText>
      </w:r>
      <w:r w:rsidR="001858B5">
        <w:rPr>
          <w:rFonts w:cs="Times New Roman"/>
        </w:rPr>
        <w:fldChar w:fldCharType="end"/>
      </w:r>
      <w:r w:rsidR="00A40CA5" w:rsidRPr="00124B71">
        <w:rPr>
          <w:rFonts w:cs="Times New Roman"/>
        </w:rPr>
        <w:t>).</w:t>
      </w:r>
      <w:r w:rsidR="00140F26" w:rsidRPr="00124B71">
        <w:rPr>
          <w:rFonts w:cs="Times New Roman"/>
        </w:rPr>
        <w:t xml:space="preserve"> It has a low fixed payment for the first two years, then the interest rate and payment would reset to a much higher value on a fully amortized schedule for the remaining 28 years. </w:t>
      </w:r>
      <w:r w:rsidRPr="00124B71">
        <w:rPr>
          <w:rFonts w:cs="Times New Roman"/>
        </w:rPr>
        <w:t>Seventy-eight percent of subprime loans in 2006 were two year adjustable rate mortgages</w:t>
      </w:r>
      <w:r w:rsidR="00FF6F14" w:rsidRPr="00124B71">
        <w:rPr>
          <w:rFonts w:cs="Times New Roman"/>
        </w:rPr>
        <w:t xml:space="preserve">. </w:t>
      </w:r>
      <w:r w:rsidRPr="00124B71">
        <w:rPr>
          <w:rStyle w:val="EndnoteReference"/>
          <w:rFonts w:cs="Times New Roman"/>
        </w:rPr>
        <w:endnoteReference w:id="24"/>
      </w:r>
      <w:r w:rsidRPr="00124B71">
        <w:rPr>
          <w:rFonts w:cs="Times New Roman"/>
        </w:rPr>
        <w:t xml:space="preserve"> Anecdotal evidence is that most of these borrowers were only qualified based on their ability to make the initial minimum payment </w:t>
      </w:r>
      <w:sdt>
        <w:sdtPr>
          <w:rPr>
            <w:rFonts w:cs="Times New Roman"/>
          </w:rPr>
          <w:id w:val="146076740"/>
          <w:citation/>
        </w:sdtPr>
        <w:sdtContent>
          <w:r w:rsidR="001858B5" w:rsidRPr="00124B71">
            <w:rPr>
              <w:rFonts w:cs="Times New Roman"/>
            </w:rPr>
            <w:fldChar w:fldCharType="begin"/>
          </w:r>
          <w:r w:rsidR="00F43CEA" w:rsidRPr="00124B71">
            <w:rPr>
              <w:rFonts w:cs="Times New Roman"/>
            </w:rPr>
            <w:instrText xml:space="preserve"> CITATION Cre07 \l 1033 </w:instrText>
          </w:r>
          <w:r w:rsidR="001858B5" w:rsidRPr="00124B71">
            <w:rPr>
              <w:rFonts w:cs="Times New Roman"/>
            </w:rPr>
            <w:fldChar w:fldCharType="separate"/>
          </w:r>
          <w:r w:rsidR="007E3004" w:rsidRPr="007E3004">
            <w:rPr>
              <w:rFonts w:cs="Times New Roman"/>
              <w:noProof/>
            </w:rPr>
            <w:t>(Credit Suisse, 2007)</w:t>
          </w:r>
          <w:r w:rsidR="001858B5" w:rsidRPr="00124B71">
            <w:rPr>
              <w:rFonts w:cs="Times New Roman"/>
            </w:rPr>
            <w:fldChar w:fldCharType="end"/>
          </w:r>
        </w:sdtContent>
      </w:sdt>
      <w:r w:rsidRPr="00124B71">
        <w:rPr>
          <w:rFonts w:cs="Times New Roman"/>
        </w:rPr>
        <w:t>. This practice did not fit the traditional definition of predatory lending because the lender was not planning to profit by taking the property in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However, the practice was predatory because the lender was still going to profit from making the loan through origination fees at the expense of the borrower who was sure to end up in foreclosure. There were feeble attempts at justifying the practice through increasing home ownership, but when the borrower had no ability to make the fully amortized payment, there was no chance of sustaining those increases. </w:t>
      </w:r>
    </w:p>
    <w:p w14:paraId="5CBF10DA" w14:textId="77777777" w:rsidR="001767A9" w:rsidRPr="00124B71" w:rsidRDefault="001767A9" w:rsidP="008560E2">
      <w:pPr>
        <w:rPr>
          <w:rFonts w:cs="Times New Roman"/>
        </w:rPr>
      </w:pPr>
      <w:r w:rsidRPr="00124B71">
        <w:rPr>
          <w:rFonts w:cs="Times New Roman"/>
        </w:rPr>
        <w:t xml:space="preserve">The advantage of IO ARMs is their lower payments. Or put another way, the same payment can finance a larger loan. This is how IO ARMs were used to drive up prices once the limit of conventional loans was reached (somewhere in 2003 in California). A bubble similar to the last bubble would have reached its zenith in 2003/2004 if IO </w:t>
      </w:r>
      <w:r w:rsidR="009767F5" w:rsidRPr="00124B71">
        <w:rPr>
          <w:rFonts w:cs="Times New Roman"/>
        </w:rPr>
        <w:t>ARMs had not entered the market and inflated prices further</w:t>
      </w:r>
      <w:r w:rsidRPr="00124B71">
        <w:rPr>
          <w:rFonts w:cs="Times New Roman"/>
        </w:rPr>
        <w:t xml:space="preserve">. In any bubble, the system is pushed to its breaking point, and it either implodes, or some new stimulus pushes it higher: </w:t>
      </w:r>
      <w:r w:rsidR="009767F5" w:rsidRPr="00124B71">
        <w:rPr>
          <w:rFonts w:cs="Times New Roman"/>
        </w:rPr>
        <w:t>t</w:t>
      </w:r>
      <w:r w:rsidRPr="00124B71">
        <w:rPr>
          <w:rFonts w:cs="Times New Roman"/>
        </w:rPr>
        <w:t>he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mortgage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Pr="00124B71">
        <w:rPr>
          <w:rFonts w:cs="Times New Roman"/>
        </w:rPr>
        <w:t>).</w:t>
      </w:r>
    </w:p>
    <w:p w14:paraId="28F66D9D" w14:textId="77777777" w:rsidR="001767A9" w:rsidRPr="00EF0EDA" w:rsidRDefault="001767A9" w:rsidP="00263B2B">
      <w:pPr>
        <w:pStyle w:val="Heading3"/>
      </w:pPr>
      <w:bookmarkStart w:id="28" w:name="_Toc238867280"/>
      <w:r w:rsidRPr="00EF0EDA">
        <w:t>Negative Amortization Mortgages</w:t>
      </w:r>
      <w:bookmarkEnd w:id="28"/>
    </w:p>
    <w:p w14:paraId="10D7E187" w14:textId="3EA070EA" w:rsidR="001767A9" w:rsidRPr="00124B71" w:rsidRDefault="001767A9" w:rsidP="008560E2">
      <w:pPr>
        <w:rPr>
          <w:rFonts w:cs="Times New Roman"/>
        </w:rPr>
      </w:pPr>
      <w:r w:rsidRPr="00124B71">
        <w:rPr>
          <w:rFonts w:cs="Times New Roman"/>
        </w:rPr>
        <w:t xml:space="preserve">The </w:t>
      </w:r>
      <w:r w:rsidR="009767F5" w:rsidRPr="00124B71">
        <w:rPr>
          <w:rFonts w:cs="Times New Roman"/>
        </w:rPr>
        <w:t xml:space="preserve">Negative Amortization </w:t>
      </w:r>
      <w:r w:rsidR="006178F9" w:rsidRPr="00124B71">
        <w:rPr>
          <w:rFonts w:cs="Times New Roman"/>
        </w:rPr>
        <w:t xml:space="preserve">mortgage (aka, </w:t>
      </w:r>
      <w:r w:rsidRPr="00124B71">
        <w:rPr>
          <w:rFonts w:cs="Times New Roman"/>
        </w:rPr>
        <w:t>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00575621" w:rsidRPr="00124B71">
        <w:rPr>
          <w:rFonts w:cs="Times New Roman"/>
        </w:rPr>
        <w:t xml:space="preserve"> or Neg Am</w:t>
      </w:r>
      <w:r w:rsidR="006178F9" w:rsidRPr="00124B71">
        <w:rPr>
          <w:rFonts w:cs="Times New Roman"/>
        </w:rPr>
        <w:t>)</w:t>
      </w:r>
      <w:r w:rsidRPr="00124B71">
        <w:rPr>
          <w:rFonts w:cs="Times New Roman"/>
        </w:rPr>
        <w:t xml:space="preserve"> is the riskiest loan imaginable. It has all the risks of an IO ARM</w:t>
      </w:r>
      <w:r w:rsidR="001858B5">
        <w:rPr>
          <w:rFonts w:cs="Times New Roman"/>
        </w:rPr>
        <w:fldChar w:fldCharType="begin"/>
      </w:r>
      <w:r w:rsidR="00C12412">
        <w:instrText xml:space="preserve"> XE "</w:instrText>
      </w:r>
      <w:r w:rsidR="00C12412" w:rsidRPr="00EE6085">
        <w:rPr>
          <w:rFonts w:cs="Times New Roman"/>
        </w:rPr>
        <w:instrText>IO ARM</w:instrText>
      </w:r>
      <w:r w:rsidR="00C12412">
        <w:instrText xml:space="preserve">" </w:instrText>
      </w:r>
      <w:r w:rsidR="001858B5">
        <w:rPr>
          <w:rFonts w:cs="Times New Roman"/>
        </w:rPr>
        <w:fldChar w:fldCharType="end"/>
      </w:r>
      <w:r w:rsidR="00A40CA5" w:rsidRPr="00124B71">
        <w:rPr>
          <w:rFonts w:cs="Times New Roman"/>
        </w:rPr>
        <w:t>,</w:t>
      </w:r>
      <w:r w:rsidRPr="00124B71">
        <w:rPr>
          <w:rFonts w:cs="Times New Roman"/>
        </w:rPr>
        <w:t xml:space="preserve"> but with the added risk of an increasing loan balance. Using this loan, there is the risk of not being able to make the payment at reset, and the borrower is much more at risk of being denied for refinancing because the loan balance can easily exceed the house value. In either case, the home will fall into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w:t>
      </w:r>
      <w:r w:rsidR="00DC4971" w:rsidRPr="00124B71">
        <w:rPr>
          <w:rFonts w:cs="Times New Roman"/>
        </w:rPr>
        <w:t>The Option ARM is one of the most complicated loan programs ever developed. It was heralded as an innovation because it allowed people greater control over their monthly payments, and it provided greater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00DC4971" w:rsidRPr="00124B71">
        <w:rPr>
          <w:rFonts w:cs="Times New Roman"/>
        </w:rPr>
        <w:t xml:space="preserve"> in the early years of the mortgage</w:t>
      </w:r>
      <w:r w:rsidR="00774601" w:rsidRPr="00124B71">
        <w:rPr>
          <w:rFonts w:cs="Times New Roman"/>
        </w:rPr>
        <w:t xml:space="preserve">. </w:t>
      </w:r>
      <w:r w:rsidR="0099743C" w:rsidRPr="00124B71">
        <w:rPr>
          <w:rStyle w:val="EndnoteReference"/>
          <w:rFonts w:cs="Times New Roman"/>
        </w:rPr>
        <w:endnoteReference w:id="25"/>
      </w:r>
      <w:r w:rsidR="006178F9" w:rsidRPr="00124B71">
        <w:rPr>
          <w:rFonts w:cs="Times New Roman"/>
        </w:rPr>
        <w:t xml:space="preserve"> </w:t>
      </w:r>
      <w:r w:rsidR="0094722A" w:rsidRPr="00124B71">
        <w:rPr>
          <w:rFonts w:cs="Times New Roman"/>
        </w:rPr>
        <w:t>Twenty-</w:t>
      </w:r>
      <w:r w:rsidR="009767F5" w:rsidRPr="00124B71">
        <w:rPr>
          <w:rFonts w:cs="Times New Roman"/>
        </w:rPr>
        <w:t>nine</w:t>
      </w:r>
      <w:r w:rsidR="0094722A" w:rsidRPr="00124B71">
        <w:rPr>
          <w:rFonts w:cs="Times New Roman"/>
        </w:rPr>
        <w:t xml:space="preserve"> percent</w:t>
      </w:r>
      <w:r w:rsidR="006178F9" w:rsidRPr="00124B71">
        <w:rPr>
          <w:rFonts w:cs="Times New Roman"/>
        </w:rPr>
        <w:t xml:space="preserve"> of purchase originations nationwide in 200</w:t>
      </w:r>
      <w:r w:rsidR="009767F5" w:rsidRPr="00124B71">
        <w:rPr>
          <w:rFonts w:cs="Times New Roman"/>
        </w:rPr>
        <w:t>5</w:t>
      </w:r>
      <w:r w:rsidR="006178F9" w:rsidRPr="00124B71">
        <w:rPr>
          <w:rFonts w:cs="Times New Roman"/>
        </w:rPr>
        <w:t xml:space="preserve"> were interest-only or option ARM</w:t>
      </w:r>
      <w:r w:rsidR="009767F5" w:rsidRPr="00124B71">
        <w:rPr>
          <w:rFonts w:cs="Times New Roman"/>
        </w:rPr>
        <w:t xml:space="preserve"> </w:t>
      </w:r>
      <w:sdt>
        <w:sdtPr>
          <w:rPr>
            <w:rFonts w:cs="Times New Roman"/>
          </w:rPr>
          <w:id w:val="146076738"/>
          <w:citation/>
        </w:sdtPr>
        <w:sdtContent>
          <w:r w:rsidR="001858B5" w:rsidRPr="00124B71">
            <w:rPr>
              <w:rFonts w:cs="Times New Roman"/>
            </w:rPr>
            <w:fldChar w:fldCharType="begin"/>
          </w:r>
          <w:r w:rsidR="00F43CEA" w:rsidRPr="00124B71">
            <w:rPr>
              <w:rFonts w:cs="Times New Roman"/>
            </w:rPr>
            <w:instrText xml:space="preserve"> CITATION Cre07 \l 1033 </w:instrText>
          </w:r>
          <w:r w:rsidR="001858B5" w:rsidRPr="00124B71">
            <w:rPr>
              <w:rFonts w:cs="Times New Roman"/>
            </w:rPr>
            <w:fldChar w:fldCharType="separate"/>
          </w:r>
          <w:r w:rsidR="007E3004" w:rsidRPr="007E3004">
            <w:rPr>
              <w:rFonts w:cs="Times New Roman"/>
              <w:noProof/>
            </w:rPr>
            <w:t>(Credit Suisse, 2007)</w:t>
          </w:r>
          <w:r w:rsidR="001858B5" w:rsidRPr="00124B71">
            <w:rPr>
              <w:rFonts w:cs="Times New Roman"/>
            </w:rPr>
            <w:fldChar w:fldCharType="end"/>
          </w:r>
        </w:sdtContent>
      </w:sdt>
      <w:r w:rsidR="006178F9" w:rsidRPr="00124B71">
        <w:rPr>
          <w:rFonts w:cs="Times New Roman"/>
        </w:rPr>
        <w:t>. The percentage in California was much higher.</w:t>
      </w:r>
      <w:r w:rsidR="00DC4971" w:rsidRPr="00124B71">
        <w:rPr>
          <w:rFonts w:cs="Times New Roman"/>
        </w:rPr>
        <w:t xml:space="preserve"> The proliferation of this product is largely responsible for the extreme prices at the bubble’s peak.</w:t>
      </w:r>
    </w:p>
    <w:p w14:paraId="44F3A214" w14:textId="77777777" w:rsidR="00240C86" w:rsidRPr="00124B71" w:rsidRDefault="00240C86" w:rsidP="00240C86">
      <w:pPr>
        <w:rPr>
          <w:rFonts w:cs="Times New Roman"/>
        </w:rPr>
      </w:pPr>
      <w:r w:rsidRPr="00124B71">
        <w:rPr>
          <w:rFonts w:cs="Times New Roman"/>
        </w:rPr>
        <w:t>An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Pr="00124B71">
        <w:rPr>
          <w:rFonts w:cs="Times New Roman"/>
        </w:rPr>
        <w:t xml:space="preserve"> loan provides the borrower with 3 different payment options each month: minimum payment, interest-only payment, and a fully </w:t>
      </w:r>
      <w:r w:rsidRPr="00124B71">
        <w:rPr>
          <w:rFonts w:cs="Times New Roman"/>
        </w:rPr>
        <w:lastRenderedPageBreak/>
        <w:t>amortizing payment. In theory, this loan would be ideal for those with variable income such as sales people or seasonal workers. This assumes the borrower has months where the income is more than the minimum, the borrower sees a need in good times to make more than the minimum payment and the borrower understands the loan. None of these assumptions proved to be true.</w:t>
      </w:r>
    </w:p>
    <w:p w14:paraId="519DAF48" w14:textId="1C2A7228" w:rsidR="007F7FDC" w:rsidRPr="00EF0EDA" w:rsidRDefault="00CF05FE" w:rsidP="007F7FDC">
      <w:pPr>
        <w:pStyle w:val="Caption"/>
      </w:pPr>
      <w:bookmarkStart w:id="29" w:name="_Toc238867444"/>
      <w:r>
        <w:t>Figure</w:t>
      </w:r>
      <w:r w:rsidR="007F7FDC" w:rsidRPr="00EF0EDA">
        <w:t xml:space="preserve"> </w:t>
      </w:r>
      <w:fldSimple w:instr=" SEQ Figure \* ARABIC ">
        <w:r w:rsidR="00493733">
          <w:rPr>
            <w:noProof/>
          </w:rPr>
          <w:t>3</w:t>
        </w:r>
      </w:fldSimple>
      <w:r w:rsidR="00317936">
        <w:t xml:space="preserve">: </w:t>
      </w:r>
      <w:r w:rsidR="007F7FDC" w:rsidRPr="00EF0EDA">
        <w:t xml:space="preserve">Interest-Only and Negative Amortization </w:t>
      </w:r>
      <w:r w:rsidR="00413228">
        <w:t>Purchase</w:t>
      </w:r>
      <w:r w:rsidR="005E58D4">
        <w:t>s</w:t>
      </w:r>
      <w:r w:rsidR="00DA32A5">
        <w:t>,</w:t>
      </w:r>
      <w:r w:rsidR="00A60E76">
        <w:t xml:space="preserve"> 2000-2006</w:t>
      </w:r>
      <w:bookmarkEnd w:id="29"/>
      <w:r w:rsidR="00A60E76">
        <w:t xml:space="preserve"> </w:t>
      </w:r>
    </w:p>
    <w:p w14:paraId="295A4B14" w14:textId="77777777" w:rsidR="008C3BD0" w:rsidRPr="00EF0EDA" w:rsidRDefault="00EB0D02" w:rsidP="000E6437">
      <w:pPr>
        <w:pStyle w:val="Graphics"/>
      </w:pPr>
      <w:r>
        <w:drawing>
          <wp:inline distT="0" distB="0" distL="0" distR="0" wp14:anchorId="554BFA8B" wp14:editId="5ED78042">
            <wp:extent cx="3657600" cy="2286000"/>
            <wp:effectExtent l="19050" t="0" r="0" b="0"/>
            <wp:docPr id="1" name="Picture 0" descr="IO and Neg Am loan Originations 2000-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 and Neg Am loan Originations 2000-2006.jpg"/>
                    <pic:cNvPicPr/>
                  </pic:nvPicPr>
                  <pic:blipFill>
                    <a:blip r:embed="rId29"/>
                    <a:stretch>
                      <a:fillRect/>
                    </a:stretch>
                  </pic:blipFill>
                  <pic:spPr>
                    <a:xfrm>
                      <a:off x="0" y="0"/>
                      <a:ext cx="3657600" cy="2286000"/>
                    </a:xfrm>
                    <a:prstGeom prst="rect">
                      <a:avLst/>
                    </a:prstGeom>
                    <a:noFill/>
                    <a:ln>
                      <a:noFill/>
                    </a:ln>
                  </pic:spPr>
                </pic:pic>
              </a:graphicData>
            </a:graphic>
          </wp:inline>
        </w:drawing>
      </w:r>
    </w:p>
    <w:p w14:paraId="07FF03A7" w14:textId="233A9653" w:rsidR="0017649F" w:rsidRPr="00124B71" w:rsidRDefault="0017649F" w:rsidP="008560E2">
      <w:pPr>
        <w:rPr>
          <w:rFonts w:cs="Times New Roman"/>
        </w:rPr>
      </w:pPr>
      <w:r w:rsidRPr="00124B71">
        <w:rPr>
          <w:rFonts w:cs="Times New Roman"/>
        </w:rPr>
        <w:t>When confronted with several different prices for the same asset, people</w:t>
      </w:r>
      <w:r w:rsidR="009767F5" w:rsidRPr="00124B71">
        <w:rPr>
          <w:rFonts w:cs="Times New Roman"/>
        </w:rPr>
        <w:t xml:space="preserve"> naturally</w:t>
      </w:r>
      <w:r w:rsidRPr="00124B71">
        <w:rPr>
          <w:rFonts w:cs="Times New Roman"/>
        </w:rPr>
        <w:t xml:space="preserve"> will ch</w:t>
      </w:r>
      <w:r w:rsidR="009767F5" w:rsidRPr="00124B71">
        <w:rPr>
          <w:rFonts w:cs="Times New Roman"/>
        </w:rPr>
        <w:t>o</w:t>
      </w:r>
      <w:r w:rsidRPr="00124B71">
        <w:rPr>
          <w:rFonts w:cs="Times New Roman"/>
        </w:rPr>
        <w:t>ose the lowest one. This common</w:t>
      </w:r>
      <w:r w:rsidR="00DD4A6A" w:rsidRPr="00124B71">
        <w:rPr>
          <w:rFonts w:cs="Times New Roman"/>
        </w:rPr>
        <w:t>-sense idea apparently escaped the innovators who developed the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00DD4A6A" w:rsidRPr="00124B71">
        <w:rPr>
          <w:rFonts w:cs="Times New Roman"/>
        </w:rPr>
        <w:t xml:space="preserve">. </w:t>
      </w:r>
      <w:r w:rsidR="000E0F7B" w:rsidRPr="00124B71">
        <w:rPr>
          <w:rFonts w:cs="Times New Roman"/>
        </w:rPr>
        <w:t>Studies</w:t>
      </w:r>
      <w:r w:rsidR="00DD4A6A" w:rsidRPr="00124B71">
        <w:rPr>
          <w:rFonts w:cs="Times New Roman"/>
        </w:rPr>
        <w:t xml:space="preserve"> from 2006 showed that 85% of households with an Option ARM only made the minimum payment every month</w:t>
      </w:r>
      <w:r w:rsidR="009767F5" w:rsidRPr="00124B71">
        <w:rPr>
          <w:rFonts w:cs="Times New Roman"/>
        </w:rPr>
        <w:t xml:space="preserve"> </w:t>
      </w:r>
      <w:sdt>
        <w:sdtPr>
          <w:rPr>
            <w:rFonts w:cs="Times New Roman"/>
          </w:rPr>
          <w:id w:val="146076741"/>
          <w:citation/>
        </w:sdtPr>
        <w:sdtContent>
          <w:r w:rsidR="001858B5" w:rsidRPr="00124B71">
            <w:rPr>
              <w:rFonts w:cs="Times New Roman"/>
            </w:rPr>
            <w:fldChar w:fldCharType="begin"/>
          </w:r>
          <w:r w:rsidR="00F43CEA" w:rsidRPr="00124B71">
            <w:rPr>
              <w:rFonts w:cs="Times New Roman"/>
            </w:rPr>
            <w:instrText xml:space="preserve"> CITATION Cre07 \l 1033 </w:instrText>
          </w:r>
          <w:r w:rsidR="001858B5" w:rsidRPr="00124B71">
            <w:rPr>
              <w:rFonts w:cs="Times New Roman"/>
            </w:rPr>
            <w:fldChar w:fldCharType="separate"/>
          </w:r>
          <w:r w:rsidR="007E3004" w:rsidRPr="007E3004">
            <w:rPr>
              <w:rFonts w:cs="Times New Roman"/>
              <w:noProof/>
            </w:rPr>
            <w:t>(Credit Suisse, 2007)</w:t>
          </w:r>
          <w:r w:rsidR="001858B5" w:rsidRPr="00124B71">
            <w:rPr>
              <w:rFonts w:cs="Times New Roman"/>
            </w:rPr>
            <w:fldChar w:fldCharType="end"/>
          </w:r>
        </w:sdtContent>
      </w:sdt>
      <w:r w:rsidR="00DD4A6A" w:rsidRPr="00124B71">
        <w:rPr>
          <w:rFonts w:cs="Times New Roman"/>
        </w:rPr>
        <w:t xml:space="preserve">. Many could not afford to pay more, and many more could not see a reason to pay more. </w:t>
      </w:r>
      <w:r w:rsidR="009767F5" w:rsidRPr="00124B71">
        <w:rPr>
          <w:rFonts w:cs="Times New Roman"/>
        </w:rPr>
        <w:t>Most</w:t>
      </w:r>
      <w:r w:rsidR="00DD4A6A" w:rsidRPr="00124B71">
        <w:rPr>
          <w:rFonts w:cs="Times New Roman"/>
        </w:rPr>
        <w:t xml:space="preserve"> simply thought they would refinance when the payments got too high.</w:t>
      </w:r>
    </w:p>
    <w:p w14:paraId="5D3BD8C9" w14:textId="77777777" w:rsidR="0017649F" w:rsidRPr="00124B71" w:rsidRDefault="0017649F" w:rsidP="008560E2">
      <w:pPr>
        <w:rPr>
          <w:rFonts w:cs="Times New Roman"/>
        </w:rPr>
      </w:pPr>
      <w:r w:rsidRPr="00124B71">
        <w:rPr>
          <w:rFonts w:cs="Times New Roman"/>
        </w:rPr>
        <w:t>These loans are also very confusing. The interest rate being charged to the borrower adjusts frequently, and the payment rate (which is not correlated to the actual interest rate being charged) also changes periodically. The separation of the interest rate charged and the interest rate paid is what allows for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and it also creates a great deal of confusion. </w:t>
      </w:r>
      <w:r w:rsidR="00DD4A6A" w:rsidRPr="00124B71">
        <w:rPr>
          <w:rFonts w:cs="Times New Roman"/>
        </w:rPr>
        <w:t>The following is an attempt to explain the mechanics of this loan.</w:t>
      </w:r>
    </w:p>
    <w:p w14:paraId="5BF87CEC" w14:textId="77777777" w:rsidR="00DD4A6A" w:rsidRPr="00EF0EDA" w:rsidRDefault="00DD4A6A" w:rsidP="00DD4A6A">
      <w:pPr>
        <w:pStyle w:val="Heading4"/>
      </w:pPr>
      <w:r w:rsidRPr="00EF0EDA">
        <w:t>Payment Rate</w:t>
      </w:r>
    </w:p>
    <w:p w14:paraId="66DD44C5" w14:textId="77777777" w:rsidR="004C7570" w:rsidRPr="00124B71" w:rsidRDefault="00D94BF3" w:rsidP="004C7570">
      <w:pPr>
        <w:rPr>
          <w:rFonts w:cs="Times New Roman"/>
        </w:rPr>
      </w:pPr>
      <w:r w:rsidRPr="00124B71">
        <w:rPr>
          <w:rFonts w:cs="Times New Roman"/>
        </w:rPr>
        <w:t>A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 is any loan where the monthly payment does not cover the monthly interest expense. Interest-only or conventionally amortizing loans do not have this feature, and the monthly payments are based on the interest rate charged and/or the duration of the amortization schedule</w:t>
      </w:r>
      <w:r w:rsidR="001858B5">
        <w:rPr>
          <w:rFonts w:cs="Times New Roman"/>
        </w:rPr>
        <w:fldChar w:fldCharType="begin"/>
      </w:r>
      <w:r w:rsidR="00E84A0F">
        <w:instrText xml:space="preserve"> XE "</w:instrText>
      </w:r>
      <w:r w:rsidR="00E84A0F" w:rsidRPr="00F4169C">
        <w:rPr>
          <w:rFonts w:cs="Times New Roman"/>
        </w:rPr>
        <w:instrText>amortization schedule</w:instrText>
      </w:r>
      <w:r w:rsidR="00E84A0F">
        <w:instrText xml:space="preserve">" </w:instrText>
      </w:r>
      <w:r w:rsidR="001858B5">
        <w:rPr>
          <w:rFonts w:cs="Times New Roman"/>
        </w:rPr>
        <w:fldChar w:fldCharType="end"/>
      </w:r>
      <w:r w:rsidRPr="00124B71">
        <w:rPr>
          <w:rFonts w:cs="Times New Roman"/>
        </w:rPr>
        <w:t>. Since the negative amortization loan breaks down this traditional relationship, there is a completely separate rate calculated for the minimum payment amount. In general</w:t>
      </w:r>
      <w:r w:rsidR="00A40CA5" w:rsidRPr="00124B71">
        <w:rPr>
          <w:rFonts w:cs="Times New Roman"/>
        </w:rPr>
        <w:t>,</w:t>
      </w:r>
      <w:r w:rsidRPr="00124B71">
        <w:rPr>
          <w:rFonts w:cs="Times New Roman"/>
        </w:rPr>
        <w:t xml:space="preserve"> this rate starts out low and increases gradually each year </w:t>
      </w:r>
      <w:r w:rsidRPr="00124B71">
        <w:rPr>
          <w:rFonts w:cs="Times New Roman"/>
        </w:rPr>
        <w:lastRenderedPageBreak/>
        <w:t xml:space="preserve">for the first </w:t>
      </w:r>
      <w:r w:rsidR="007E3D88" w:rsidRPr="00124B71">
        <w:rPr>
          <w:rFonts w:cs="Times New Roman"/>
        </w:rPr>
        <w:t>several</w:t>
      </w:r>
      <w:r w:rsidRPr="00124B71">
        <w:rPr>
          <w:rFonts w:cs="Times New Roman"/>
        </w:rPr>
        <w:t xml:space="preserve"> years.</w:t>
      </w:r>
      <w:r w:rsidR="00756C10" w:rsidRPr="00124B71">
        <w:rPr>
          <w:rFonts w:cs="Times New Roman"/>
        </w:rPr>
        <w:t xml:space="preserve"> </w:t>
      </w:r>
      <w:r w:rsidRPr="00124B71">
        <w:rPr>
          <w:rFonts w:cs="Times New Roman"/>
        </w:rPr>
        <w:t xml:space="preserve">This is to allow the borrower time to adjust to a higher loan payment amount. These yearly increases are usually capped to prevent dramatic </w:t>
      </w:r>
      <w:r w:rsidR="00A40CA5" w:rsidRPr="00124B71">
        <w:rPr>
          <w:rFonts w:cs="Times New Roman"/>
        </w:rPr>
        <w:t>phenomenon</w:t>
      </w:r>
      <w:r w:rsidRPr="00124B71">
        <w:rPr>
          <w:rFonts w:cs="Times New Roman"/>
        </w:rPr>
        <w:t xml:space="preserve"> known as “payment shock.” The payment rate is based on an interest rate, but this rate has no relationship to the interest rate the borrower is being charged on the loan balance. The presence of two interest rates is responsible for much of the confusion regarding these loans.</w:t>
      </w:r>
      <w:r w:rsidR="00756C10" w:rsidRPr="00124B71">
        <w:rPr>
          <w:rFonts w:cs="Times New Roman"/>
        </w:rPr>
        <w:t xml:space="preserve"> Th</w:t>
      </w:r>
      <w:r w:rsidR="00A40CA5" w:rsidRPr="00124B71">
        <w:rPr>
          <w:rFonts w:cs="Times New Roman"/>
        </w:rPr>
        <w:t xml:space="preserve">e </w:t>
      </w:r>
      <w:r w:rsidR="00756C10" w:rsidRPr="00124B71">
        <w:rPr>
          <w:rFonts w:cs="Times New Roman"/>
        </w:rPr>
        <w:t>low starting payment rate is often called a “teaser rate” because it is a temporary inducement to take on the mortgage. There was a widespread belief among borrowers that one could simply refinance from one teaser rate to another forever in a process known as serial refinancing. The biggest confusion regarding this loan is when people mistake this payment rate for the actual interest rate they are being charged on the loan. This is a natural mistake to make because historic loan programs did not make this distinction.</w:t>
      </w:r>
    </w:p>
    <w:p w14:paraId="51A42E01" w14:textId="77777777" w:rsidR="00DD4A6A" w:rsidRPr="00EF0EDA" w:rsidRDefault="00DD4A6A" w:rsidP="007E3D88">
      <w:pPr>
        <w:pStyle w:val="Heading4"/>
        <w:keepNext/>
      </w:pPr>
      <w:r w:rsidRPr="00EF0EDA">
        <w:t>Interest Rate</w:t>
      </w:r>
      <w:r w:rsidR="0094722A">
        <w:t xml:space="preserve"> Reset</w:t>
      </w:r>
    </w:p>
    <w:p w14:paraId="2285C08B" w14:textId="77777777" w:rsidR="0094722A" w:rsidRPr="00124B71" w:rsidRDefault="0094722A" w:rsidP="004F2E27">
      <w:pPr>
        <w:rPr>
          <w:rFonts w:cs="Times New Roman"/>
        </w:rPr>
      </w:pPr>
      <w:r w:rsidRPr="00124B71">
        <w:rPr>
          <w:rFonts w:cs="Times New Roman"/>
        </w:rPr>
        <w:t>The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Pr="00124B71">
        <w:rPr>
          <w:rFonts w:cs="Times New Roman"/>
        </w:rPr>
        <w:t xml:space="preserve"> is a hybrid adjustable rate mortgage with payment options. </w:t>
      </w:r>
      <w:r w:rsidR="00D94BF3" w:rsidRPr="00124B71">
        <w:rPr>
          <w:rFonts w:cs="Times New Roman"/>
        </w:rPr>
        <w:t>The interest rate being charged to the borrower</w:t>
      </w:r>
      <w:r w:rsidR="00756C10" w:rsidRPr="00124B71">
        <w:rPr>
          <w:rFonts w:cs="Times New Roman"/>
        </w:rPr>
        <w:t xml:space="preserve"> is </w:t>
      </w:r>
      <w:r w:rsidR="00E20FCC" w:rsidRPr="00124B71">
        <w:rPr>
          <w:rFonts w:cs="Times New Roman"/>
        </w:rPr>
        <w:t>subject to periodic fluctuations with changes in market interest rates similar to other adjustable rate mortgages.</w:t>
      </w:r>
      <w:r w:rsidR="009C42AE" w:rsidRPr="00124B71">
        <w:rPr>
          <w:rFonts w:cs="Times New Roman"/>
        </w:rPr>
        <w:t xml:space="preserve"> The timing of adjustment and limits therein are contained in the m</w:t>
      </w:r>
      <w:r w:rsidR="004F2E27" w:rsidRPr="00124B71">
        <w:rPr>
          <w:rFonts w:cs="Times New Roman"/>
        </w:rPr>
        <w:t xml:space="preserve">ortgage contract. </w:t>
      </w:r>
      <w:r w:rsidRPr="00124B71">
        <w:rPr>
          <w:rFonts w:cs="Times New Roman"/>
        </w:rPr>
        <w:t xml:space="preserve">The interest rate charged is fixed for certain periods at the end of which there is a change in the interest rate. </w:t>
      </w:r>
      <w:r w:rsidR="00C8774D" w:rsidRPr="00124B71">
        <w:rPr>
          <w:rFonts w:cs="Times New Roman"/>
        </w:rPr>
        <w:t>When the interest rate changes on most adjustable rate mortgages, the payment required of the borrower changes as well. Since the charged interest rate and the payment rate are not the same for Option ARM</w:t>
      </w:r>
      <w:r w:rsidR="00C12412">
        <w:rPr>
          <w:rFonts w:cs="Times New Roman"/>
        </w:rPr>
        <w:t>s</w:t>
      </w:r>
      <w:r w:rsidR="00C8774D" w:rsidRPr="00124B71">
        <w:rPr>
          <w:rFonts w:cs="Times New Roman"/>
        </w:rPr>
        <w:t xml:space="preserve">, the payment may not be </w:t>
      </w:r>
      <w:r w:rsidR="00664D92" w:rsidRPr="00124B71">
        <w:rPr>
          <w:rFonts w:cs="Times New Roman"/>
        </w:rPr>
        <w:t>a</w:t>
      </w:r>
      <w:r w:rsidR="00C8774D" w:rsidRPr="00124B71">
        <w:rPr>
          <w:rFonts w:cs="Times New Roman"/>
        </w:rPr>
        <w:t>ffected</w:t>
      </w:r>
      <w:r w:rsidR="00374800" w:rsidRPr="00124B71">
        <w:rPr>
          <w:rFonts w:cs="Times New Roman"/>
        </w:rPr>
        <w:t xml:space="preserve"> and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00374800" w:rsidRPr="00124B71">
        <w:rPr>
          <w:rFonts w:cs="Times New Roman"/>
        </w:rPr>
        <w:t xml:space="preserve"> can occur</w:t>
      </w:r>
      <w:r w:rsidR="00C8774D" w:rsidRPr="00124B71">
        <w:rPr>
          <w:rFonts w:cs="Times New Roman"/>
        </w:rPr>
        <w:t xml:space="preserve">. </w:t>
      </w:r>
      <w:r w:rsidR="00385DA0">
        <w:rPr>
          <w:rFonts w:cs="Times New Roman"/>
        </w:rPr>
        <w:t>The i</w:t>
      </w:r>
      <w:r w:rsidRPr="00124B71">
        <w:rPr>
          <w:rFonts w:cs="Times New Roman"/>
        </w:rPr>
        <w:t>nterest rate</w:t>
      </w:r>
      <w:r w:rsidR="00385DA0">
        <w:rPr>
          <w:rFonts w:cs="Times New Roman"/>
        </w:rPr>
        <w:t>s</w:t>
      </w:r>
      <w:r w:rsidRPr="00124B71">
        <w:rPr>
          <w:rFonts w:cs="Times New Roman"/>
        </w:rPr>
        <w:t xml:space="preserve"> on most adjustable-rate mortgag</w:t>
      </w:r>
      <w:r w:rsidR="00385DA0">
        <w:rPr>
          <w:rFonts w:cs="Times New Roman"/>
        </w:rPr>
        <w:t>es are</w:t>
      </w:r>
      <w:r w:rsidRPr="00124B71">
        <w:rPr>
          <w:rFonts w:cs="Times New Roman"/>
        </w:rPr>
        <w:t xml:space="preserve"> lower than</w:t>
      </w:r>
      <w:r w:rsidR="00664D92" w:rsidRPr="00124B71">
        <w:rPr>
          <w:rFonts w:cs="Times New Roman"/>
        </w:rPr>
        <w:t xml:space="preserve"> those for</w:t>
      </w:r>
      <w:r w:rsidRPr="00124B71">
        <w:rPr>
          <w:rFonts w:cs="Times New Roman"/>
        </w:rPr>
        <w:t xml:space="preserve"> fixed-rate mortgages because the lender is not subject to interest rate risk. If interest rates rise</w:t>
      </w:r>
      <w:r w:rsidR="00C8774D" w:rsidRPr="00124B71">
        <w:rPr>
          <w:rFonts w:cs="Times New Roman"/>
        </w:rPr>
        <w:t>, lenders who have issued fixed-rate mortgages have capital tied up in below-market mortgages. With adjustable rate mortgages, higher interest rates are passed on to the consumer.</w:t>
      </w:r>
    </w:p>
    <w:p w14:paraId="003868B8" w14:textId="77777777" w:rsidR="004C7570" w:rsidRPr="00124B71" w:rsidRDefault="00374800" w:rsidP="004F2E27">
      <w:pPr>
        <w:rPr>
          <w:rFonts w:cs="Times New Roman"/>
        </w:rPr>
      </w:pPr>
      <w:r w:rsidRPr="00124B71">
        <w:rPr>
          <w:rFonts w:cs="Times New Roman"/>
        </w:rPr>
        <w:t xml:space="preserve">Since the low payment option on </w:t>
      </w:r>
      <w:r w:rsidR="00664D92" w:rsidRPr="00124B71">
        <w:rPr>
          <w:rFonts w:cs="Times New Roman"/>
        </w:rPr>
        <w:t xml:space="preserve">Negative Amortization </w:t>
      </w:r>
      <w:r w:rsidRPr="00124B71">
        <w:rPr>
          <w:rFonts w:cs="Times New Roman"/>
        </w:rPr>
        <w:t>loans is so appealing to consumers, t</w:t>
      </w:r>
      <w:r w:rsidR="004F2E27" w:rsidRPr="00124B71">
        <w:rPr>
          <w:rFonts w:cs="Times New Roman"/>
        </w:rPr>
        <w:t>he actual interest rate charged</w:t>
      </w:r>
      <w:r w:rsidR="00C8774D" w:rsidRPr="00124B71">
        <w:rPr>
          <w:rFonts w:cs="Times New Roman"/>
        </w:rPr>
        <w:t xml:space="preserve"> on Option ARMs</w:t>
      </w:r>
      <w:r w:rsidR="004F2E27" w:rsidRPr="00124B71">
        <w:rPr>
          <w:rFonts w:cs="Times New Roman"/>
        </w:rPr>
        <w:t xml:space="preserve"> is</w:t>
      </w:r>
      <w:r w:rsidR="007E3D88" w:rsidRPr="00124B71">
        <w:rPr>
          <w:rFonts w:cs="Times New Roman"/>
        </w:rPr>
        <w:t xml:space="preserve"> often</w:t>
      </w:r>
      <w:r w:rsidR="004F2E27" w:rsidRPr="00124B71">
        <w:rPr>
          <w:rFonts w:cs="Times New Roman"/>
        </w:rPr>
        <w:t xml:space="preserve"> higher than interest-only or fixed rate mortgages, which make these loans very attractive to investors.</w:t>
      </w:r>
      <w:r w:rsidR="009C42AE" w:rsidRPr="00124B71">
        <w:rPr>
          <w:rFonts w:cs="Times New Roman"/>
        </w:rPr>
        <w:t xml:space="preserve"> Since the interest rate is higher than the payment rate,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009C42AE" w:rsidRPr="00124B71">
        <w:rPr>
          <w:rFonts w:cs="Times New Roman"/>
        </w:rPr>
        <w:t xml:space="preserve"> occurs, and the loan balance grows each month as the deferred interest is added to the loan balance.</w:t>
      </w:r>
      <w:r w:rsidR="004F2E27" w:rsidRPr="00124B71">
        <w:rPr>
          <w:rFonts w:cs="Times New Roman"/>
        </w:rPr>
        <w:t xml:space="preserve"> This capitalized interest is recognized as income on the books of mortgage holders. Generally </w:t>
      </w:r>
      <w:r w:rsidR="00664D92" w:rsidRPr="00124B71">
        <w:rPr>
          <w:rFonts w:cs="Times New Roman"/>
        </w:rPr>
        <w:t>Accepted Accounting Principles</w:t>
      </w:r>
      <w:r w:rsidR="001858B5">
        <w:rPr>
          <w:rFonts w:cs="Times New Roman"/>
        </w:rPr>
        <w:fldChar w:fldCharType="begin"/>
      </w:r>
      <w:r w:rsidR="00C12412">
        <w:instrText xml:space="preserve"> XE "</w:instrText>
      </w:r>
      <w:r w:rsidR="00C12412" w:rsidRPr="009B5D93">
        <w:rPr>
          <w:rFonts w:cs="Times New Roman"/>
        </w:rPr>
        <w:instrText>Generally Accepted Accounting Principles</w:instrText>
      </w:r>
      <w:r w:rsidR="00C12412">
        <w:instrText xml:space="preserve">" </w:instrText>
      </w:r>
      <w:r w:rsidR="001858B5">
        <w:rPr>
          <w:rFonts w:cs="Times New Roman"/>
        </w:rPr>
        <w:fldChar w:fldCharType="end"/>
      </w:r>
      <w:r w:rsidR="00664D92" w:rsidRPr="00124B71">
        <w:rPr>
          <w:rFonts w:cs="Times New Roman"/>
        </w:rPr>
        <w:t xml:space="preserve"> (GAAP) </w:t>
      </w:r>
      <w:r w:rsidR="004F2E27" w:rsidRPr="00124B71">
        <w:rPr>
          <w:rFonts w:cs="Times New Roman"/>
        </w:rPr>
        <w:t>allow this, but the amount of income is supposed to be reduced to reflect the likelihood of actually receiving this money. Since the loan program was new, and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4F2E27" w:rsidRPr="00124B71">
        <w:rPr>
          <w:rFonts w:cs="Times New Roman"/>
        </w:rPr>
        <w:t xml:space="preserve"> were low due to the bubble rally, the reported income was very high making these loans even more appealing to investors. From</w:t>
      </w:r>
      <w:r w:rsidR="00A40CA5" w:rsidRPr="00124B71">
        <w:rPr>
          <w:rFonts w:cs="Times New Roman"/>
        </w:rPr>
        <w:t xml:space="preserve"> the</w:t>
      </w:r>
      <w:r w:rsidR="004F2E27" w:rsidRPr="00124B71">
        <w:rPr>
          <w:rFonts w:cs="Times New Roman"/>
        </w:rPr>
        <w:t xml:space="preserve"> </w:t>
      </w:r>
      <w:r w:rsidR="00602511" w:rsidRPr="00124B71">
        <w:rPr>
          <w:rFonts w:cs="Times New Roman"/>
        </w:rPr>
        <w:t>investor</w:t>
      </w:r>
      <w:r w:rsidR="004F2E27" w:rsidRPr="00124B71">
        <w:rPr>
          <w:rFonts w:cs="Times New Roman"/>
        </w:rPr>
        <w:t>s</w:t>
      </w:r>
      <w:r w:rsidR="00602511" w:rsidRPr="00124B71">
        <w:rPr>
          <w:rFonts w:cs="Times New Roman"/>
        </w:rPr>
        <w:t>’</w:t>
      </w:r>
      <w:r w:rsidR="004F2E27" w:rsidRPr="00124B71">
        <w:rPr>
          <w:rFonts w:cs="Times New Roman"/>
        </w:rPr>
        <w:t xml:space="preserve"> perspective, they were buying high-interest loans with great income potential and low default rates. From </w:t>
      </w:r>
      <w:r w:rsidR="00A40CA5" w:rsidRPr="00124B71">
        <w:rPr>
          <w:rFonts w:cs="Times New Roman"/>
        </w:rPr>
        <w:t xml:space="preserve">the </w:t>
      </w:r>
      <w:r w:rsidR="00602511" w:rsidRPr="00124B71">
        <w:rPr>
          <w:rFonts w:cs="Times New Roman"/>
        </w:rPr>
        <w:t>borrower</w:t>
      </w:r>
      <w:r w:rsidR="004F2E27" w:rsidRPr="00124B71">
        <w:rPr>
          <w:rFonts w:cs="Times New Roman"/>
        </w:rPr>
        <w:t>s</w:t>
      </w:r>
      <w:r w:rsidR="00602511" w:rsidRPr="00124B71">
        <w:rPr>
          <w:rFonts w:cs="Times New Roman"/>
        </w:rPr>
        <w:t>’</w:t>
      </w:r>
      <w:r w:rsidR="004F2E27" w:rsidRPr="00124B71">
        <w:rPr>
          <w:rFonts w:cs="Times New Roman"/>
        </w:rPr>
        <w:t xml:space="preserve"> perspective, they were obtaining a loan at a very low interest rate</w:t>
      </w:r>
      <w:r w:rsidR="007C469A">
        <w:rPr>
          <w:rFonts w:cs="Times New Roman"/>
        </w:rPr>
        <w:t>–</w:t>
      </w:r>
      <w:r w:rsidR="004F2E27" w:rsidRPr="00124B71">
        <w:rPr>
          <w:rFonts w:cs="Times New Roman"/>
        </w:rPr>
        <w:t>a perception rooted in a basic misunderstanding of the loan terms</w:t>
      </w:r>
      <w:r w:rsidR="007C469A">
        <w:rPr>
          <w:rFonts w:cs="Times New Roman"/>
        </w:rPr>
        <w:t>–</w:t>
      </w:r>
      <w:r w:rsidR="004F2E27" w:rsidRPr="00124B71">
        <w:rPr>
          <w:rFonts w:cs="Times New Roman"/>
        </w:rPr>
        <w:t xml:space="preserve">and a very low payment which allowed them to finance large sums to purchase homes at inflated prices. </w:t>
      </w:r>
      <w:r w:rsidR="00602511" w:rsidRPr="00124B71">
        <w:rPr>
          <w:rFonts w:cs="Times New Roman"/>
        </w:rPr>
        <w:lastRenderedPageBreak/>
        <w:t>This</w:t>
      </w:r>
      <w:r w:rsidR="001D0176" w:rsidRPr="00124B71">
        <w:rPr>
          <w:rFonts w:cs="Times New Roman"/>
        </w:rPr>
        <w:t xml:space="preserve"> dissonance </w:t>
      </w:r>
      <w:r w:rsidR="004F2E27" w:rsidRPr="00124B71">
        <w:rPr>
          <w:rFonts w:cs="Times New Roman"/>
        </w:rPr>
        <w:t xml:space="preserve">between the </w:t>
      </w:r>
      <w:r w:rsidR="00377237" w:rsidRPr="00124B71">
        <w:rPr>
          <w:rFonts w:cs="Times New Roman"/>
        </w:rPr>
        <w:t>investors</w:t>
      </w:r>
      <w:r w:rsidR="004F2E27" w:rsidRPr="00124B71">
        <w:rPr>
          <w:rFonts w:cs="Times New Roman"/>
        </w:rPr>
        <w:t xml:space="preserve"> who purchased these loans and the borrowers who </w:t>
      </w:r>
      <w:r w:rsidR="00602511" w:rsidRPr="00124B71">
        <w:rPr>
          <w:rFonts w:cs="Times New Roman"/>
        </w:rPr>
        <w:t>signed up for them</w:t>
      </w:r>
      <w:r w:rsidR="004F2E27" w:rsidRPr="00124B71">
        <w:rPr>
          <w:rFonts w:cs="Times New Roman"/>
        </w:rPr>
        <w:t xml:space="preserve"> </w:t>
      </w:r>
      <w:r w:rsidR="00377237" w:rsidRPr="00124B71">
        <w:rPr>
          <w:rFonts w:cs="Times New Roman"/>
        </w:rPr>
        <w:t>did not become apparent until these loans began to reset to higher rates and recast to higher payments. In short, these loans are time bombs with fuses of varying lengths set to blow up the dreams of investors and borrowers alike.</w:t>
      </w:r>
    </w:p>
    <w:p w14:paraId="0F16149E" w14:textId="77777777" w:rsidR="004C7570" w:rsidRPr="00EF0EDA" w:rsidRDefault="0094722A" w:rsidP="004C7570">
      <w:pPr>
        <w:pStyle w:val="Heading4"/>
      </w:pPr>
      <w:r>
        <w:t>Payment</w:t>
      </w:r>
      <w:r w:rsidR="004C7570" w:rsidRPr="00EF0EDA">
        <w:t xml:space="preserve"> Re</w:t>
      </w:r>
      <w:r>
        <w:t>cast</w:t>
      </w:r>
    </w:p>
    <w:p w14:paraId="5D21A699" w14:textId="77777777" w:rsidR="004C7570" w:rsidRPr="00124B71" w:rsidRDefault="00C8774D" w:rsidP="004C7570">
      <w:pPr>
        <w:rPr>
          <w:rFonts w:cs="Times New Roman"/>
        </w:rPr>
      </w:pPr>
      <w:r w:rsidRPr="00124B71">
        <w:rPr>
          <w:rFonts w:cs="Times New Roman"/>
        </w:rPr>
        <w:t>Interest-only and n</w:t>
      </w:r>
      <w:r w:rsidR="00421DA3" w:rsidRPr="00124B71">
        <w:rPr>
          <w:rFonts w:cs="Times New Roman"/>
        </w:rPr>
        <w:t>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payments</w:t>
      </w:r>
      <w:r w:rsidR="00421DA3" w:rsidRPr="00124B71">
        <w:rPr>
          <w:rFonts w:cs="Times New Roman"/>
        </w:rPr>
        <w:t xml:space="preserve"> cannot go on forever. At some point, the loan balance must be paid in full. For </w:t>
      </w:r>
      <w:r w:rsidRPr="00124B71">
        <w:rPr>
          <w:rFonts w:cs="Times New Roman"/>
        </w:rPr>
        <w:t>all adjustable rate mortgages</w:t>
      </w:r>
      <w:r w:rsidR="001858B5">
        <w:rPr>
          <w:rFonts w:cs="Times New Roman"/>
        </w:rPr>
        <w:fldChar w:fldCharType="begin"/>
      </w:r>
      <w:r w:rsidR="00FA2AEF">
        <w:instrText xml:space="preserve"> XE "</w:instrText>
      </w:r>
      <w:r w:rsidR="00FA2AEF" w:rsidRPr="00534AEE">
        <w:rPr>
          <w:rFonts w:cs="Times New Roman"/>
        </w:rPr>
        <w:instrText>adjustable rate mortgages</w:instrText>
      </w:r>
      <w:r w:rsidR="00FA2AEF">
        <w:instrText>" \t "</w:instrText>
      </w:r>
      <w:r w:rsidR="00FA2AEF" w:rsidRPr="003D0378">
        <w:rPr>
          <w:rFonts w:asciiTheme="minorHAnsi" w:hAnsiTheme="minorHAnsi"/>
          <w:i/>
        </w:rPr>
        <w:instrText>See</w:instrText>
      </w:r>
      <w:r w:rsidR="00FA2AEF" w:rsidRPr="003D0378">
        <w:rPr>
          <w:rFonts w:asciiTheme="minorHAnsi" w:hAnsiTheme="minorHAnsi"/>
        </w:rPr>
        <w:instrText xml:space="preserve"> </w:instrText>
      </w:r>
      <w:r w:rsidR="00FA2AEF" w:rsidRPr="003D0378">
        <w:instrText>ARMs</w:instrText>
      </w:r>
      <w:r w:rsidR="00FA2AEF">
        <w:instrText xml:space="preserve">" </w:instrText>
      </w:r>
      <w:r w:rsidR="001858B5">
        <w:rPr>
          <w:rFonts w:cs="Times New Roman"/>
        </w:rPr>
        <w:fldChar w:fldCharType="end"/>
      </w:r>
      <w:r w:rsidR="00421DA3" w:rsidRPr="00124B71">
        <w:rPr>
          <w:rFonts w:cs="Times New Roman"/>
        </w:rPr>
        <w:t>, there is a mandatory recast after a fixed period of time where the loan reverts to a conventionally amortizing loan to be paid over the remaining portion of a 30 year term</w:t>
      </w:r>
      <w:r w:rsidRPr="00124B71">
        <w:rPr>
          <w:rFonts w:cs="Times New Roman"/>
        </w:rPr>
        <w:t xml:space="preserve">. This recast eliminates the options for negative amortization and interest-only payments and requires the fully amortized payments on </w:t>
      </w:r>
      <w:r w:rsidR="00602511" w:rsidRPr="00124B71">
        <w:rPr>
          <w:rFonts w:cs="Times New Roman"/>
        </w:rPr>
        <w:t>an</w:t>
      </w:r>
      <w:r w:rsidRPr="00124B71">
        <w:rPr>
          <w:rFonts w:cs="Times New Roman"/>
        </w:rPr>
        <w:t xml:space="preserve"> accelerated schedule </w:t>
      </w:r>
      <w:r w:rsidR="00602511" w:rsidRPr="00124B71">
        <w:rPr>
          <w:rFonts w:cs="Times New Roman"/>
        </w:rPr>
        <w:t>for</w:t>
      </w:r>
      <w:r w:rsidRPr="00124B71">
        <w:rPr>
          <w:rFonts w:cs="Times New Roman"/>
        </w:rPr>
        <w:t xml:space="preserve"> what is often an increased loan balance. For instance, if </w:t>
      </w:r>
      <w:r w:rsidR="00602511" w:rsidRPr="00124B71">
        <w:rPr>
          <w:rFonts w:cs="Times New Roman"/>
        </w:rPr>
        <w:t>an</w:t>
      </w:r>
      <w:r w:rsidRPr="00124B71">
        <w:rPr>
          <w:rFonts w:cs="Times New Roman"/>
        </w:rPr>
        <w:t xml:space="preserve"> interest-only loan is fixed for 5 years, at the end of 5 years, the loan changes to a fully-amortized loan with payments based on the remaining 25 year period. The longer interest-only or negative amortization is allowed to go on, the more severe the payment shock is when the loan is recast to fully amortizing status.</w:t>
      </w:r>
      <w:r w:rsidR="00421DA3" w:rsidRPr="00124B71">
        <w:rPr>
          <w:rFonts w:cs="Times New Roman"/>
        </w:rPr>
        <w:t xml:space="preserve"> Also,</w:t>
      </w:r>
      <w:r w:rsidRPr="00124B71">
        <w:rPr>
          <w:rFonts w:cs="Times New Roman"/>
        </w:rPr>
        <w:t xml:space="preserve"> in the case of negative amortization loans,</w:t>
      </w:r>
      <w:r w:rsidR="00421DA3" w:rsidRPr="00124B71">
        <w:rPr>
          <w:rFonts w:cs="Times New Roman"/>
        </w:rPr>
        <w:t xml:space="preserve"> the total loan balance </w:t>
      </w:r>
      <w:r w:rsidR="00093EC4" w:rsidRPr="00124B71">
        <w:rPr>
          <w:rFonts w:cs="Times New Roman"/>
        </w:rPr>
        <w:t>is</w:t>
      </w:r>
      <w:r w:rsidR="00421DA3" w:rsidRPr="00124B71">
        <w:rPr>
          <w:rFonts w:cs="Times New Roman"/>
        </w:rPr>
        <w:t xml:space="preserve"> capped at </w:t>
      </w:r>
      <w:r w:rsidR="00E946B8" w:rsidRPr="00124B71">
        <w:rPr>
          <w:rFonts w:cs="Times New Roman"/>
        </w:rPr>
        <w:t>a certain</w:t>
      </w:r>
      <w:r w:rsidR="00421DA3" w:rsidRPr="00124B71">
        <w:rPr>
          <w:rFonts w:cs="Times New Roman"/>
        </w:rPr>
        <w:t xml:space="preserve"> percentage of the original loan amount, typically 110% but sometimes higher. If this threshold is reached before the mandatory time limit, the loan is also recast as a conventionally amortizing loan. </w:t>
      </w:r>
      <w:r w:rsidR="00093EC4" w:rsidRPr="00124B71">
        <w:rPr>
          <w:rFonts w:cs="Times New Roman"/>
        </w:rPr>
        <w:t>Since many borrowers were qualified based on their ability to make the minimum payment at the teaser rate, when the loan re</w:t>
      </w:r>
      <w:r w:rsidRPr="00124B71">
        <w:rPr>
          <w:rFonts w:cs="Times New Roman"/>
        </w:rPr>
        <w:t>casts</w:t>
      </w:r>
      <w:r w:rsidR="00093EC4" w:rsidRPr="00124B71">
        <w:rPr>
          <w:rFonts w:cs="Times New Roman"/>
        </w:rPr>
        <w:t xml:space="preserve"> and the payment significantly increases (double or triples or more,) the borrower is left unable to make the payment, and the loan quickly goes into default.</w:t>
      </w:r>
    </w:p>
    <w:p w14:paraId="6F012270" w14:textId="77777777" w:rsidR="00093EC4" w:rsidRPr="00124B71" w:rsidRDefault="00093EC4" w:rsidP="004C7570">
      <w:pPr>
        <w:rPr>
          <w:rFonts w:cs="Times New Roman"/>
        </w:rPr>
      </w:pPr>
      <w:r w:rsidRPr="00124B71">
        <w:rPr>
          <w:rFonts w:cs="Times New Roman"/>
        </w:rPr>
        <w:t>The natural question to ask is, “Why would lenders do this?” There is no easy answer. Most simply did not care. The lender made large fees through the origination of the loan and subsequent servicing, and the loan itself was sold to an investor. The investor bought insurance against default, and many of these loans were packaged into asset backed securities which were highly rated by ratings agencies due to their low historic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Pr="00124B71">
        <w:rPr>
          <w:rFonts w:cs="Times New Roman"/>
        </w:rPr>
        <w:t xml:space="preserve">. Nobody cared to examine the systemic risk likely to result in extremely high future default rates because the business was so profitable at the time of origination. Most </w:t>
      </w:r>
      <w:r w:rsidR="00602511" w:rsidRPr="00124B71">
        <w:rPr>
          <w:rFonts w:cs="Times New Roman"/>
        </w:rPr>
        <w:t>assumed</w:t>
      </w:r>
      <w:r w:rsidRPr="00124B71">
        <w:rPr>
          <w:rFonts w:cs="Times New Roman"/>
        </w:rPr>
        <w:t xml:space="preserve"> this would go on forever as house prices continued to appreciate. It was envisioned that most borrowers would either increase their incomes enough to afford these payments or simply refinance into another highly profitable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Pr="00124B71">
        <w:rPr>
          <w:rFonts w:cs="Times New Roman"/>
        </w:rPr>
        <w:t xml:space="preserve"> loan. In hindsight, the folly is easy to identify, but for those involved in the game, there was little incentive to question the workings of </w:t>
      </w:r>
      <w:r w:rsidR="00385DA0">
        <w:rPr>
          <w:rFonts w:cs="Times New Roman"/>
        </w:rPr>
        <w:t xml:space="preserve">the </w:t>
      </w:r>
      <w:r w:rsidRPr="00124B71">
        <w:rPr>
          <w:rFonts w:cs="Times New Roman"/>
        </w:rPr>
        <w:t>system, particularly since it was so profitable to everyone involved.</w:t>
      </w:r>
    </w:p>
    <w:p w14:paraId="19931375" w14:textId="77777777" w:rsidR="00263B2B" w:rsidRPr="00EF0EDA" w:rsidRDefault="00263B2B" w:rsidP="00263B2B">
      <w:pPr>
        <w:pStyle w:val="Heading2"/>
      </w:pPr>
      <w:bookmarkStart w:id="30" w:name="_Toc238867281"/>
      <w:r w:rsidRPr="00EF0EDA">
        <w:t>State</w:t>
      </w:r>
      <w:r w:rsidR="000261EF" w:rsidRPr="00EF0EDA">
        <w:t>d</w:t>
      </w:r>
      <w:r w:rsidRPr="00EF0EDA">
        <w:t xml:space="preserve"> Income Loans</w:t>
      </w:r>
      <w:bookmarkEnd w:id="30"/>
    </w:p>
    <w:p w14:paraId="3A5E3137" w14:textId="1E57C41E" w:rsidR="00370CEF" w:rsidRPr="00124B71" w:rsidRDefault="00263B2B" w:rsidP="00370CEF">
      <w:pPr>
        <w:rPr>
          <w:rFonts w:cs="Times New Roman"/>
        </w:rPr>
      </w:pPr>
      <w:r w:rsidRPr="00124B71">
        <w:rPr>
          <w:rFonts w:cs="Times New Roman"/>
        </w:rPr>
        <w:t xml:space="preserve">One unique phenomenon of </w:t>
      </w:r>
      <w:r w:rsidR="001A34D5">
        <w:rPr>
          <w:rFonts w:cs="Times New Roman"/>
        </w:rPr>
        <w:t>the Great Housing Bubble</w:t>
      </w:r>
      <w:r w:rsidRPr="00124B71">
        <w:rPr>
          <w:rFonts w:cs="Times New Roman"/>
        </w:rPr>
        <w:t xml:space="preserve"> was the utilization of state</w:t>
      </w:r>
      <w:r w:rsidR="000261EF" w:rsidRPr="00124B71">
        <w:rPr>
          <w:rFonts w:cs="Times New Roman"/>
        </w:rPr>
        <w:t>d</w:t>
      </w:r>
      <w:r w:rsidRPr="00124B71">
        <w:rPr>
          <w:rFonts w:cs="Times New Roman"/>
        </w:rPr>
        <w:t>-income</w:t>
      </w:r>
      <w:r w:rsidR="001858B5">
        <w:rPr>
          <w:rFonts w:cs="Times New Roman"/>
        </w:rPr>
        <w:fldChar w:fldCharType="begin"/>
      </w:r>
      <w:r w:rsidR="00FA2AEF">
        <w:instrText xml:space="preserve"> XE "</w:instrText>
      </w:r>
      <w:r w:rsidR="00FA2AEF" w:rsidRPr="004E3026">
        <w:rPr>
          <w:rFonts w:cs="Times New Roman"/>
        </w:rPr>
        <w:instrText>stated-income</w:instrText>
      </w:r>
      <w:r w:rsidR="00FA2AEF">
        <w:instrText xml:space="preserve">" </w:instrText>
      </w:r>
      <w:r w:rsidR="001858B5">
        <w:rPr>
          <w:rFonts w:cs="Times New Roman"/>
        </w:rPr>
        <w:fldChar w:fldCharType="end"/>
      </w:r>
      <w:r w:rsidRPr="00124B71">
        <w:rPr>
          <w:rFonts w:cs="Times New Roman"/>
        </w:rPr>
        <w:t xml:space="preserve"> loans, also known as </w:t>
      </w:r>
      <w:r w:rsidR="00B15FE6" w:rsidRPr="00124B71">
        <w:rPr>
          <w:rFonts w:cs="Times New Roman"/>
        </w:rPr>
        <w:t>“liar loans</w:t>
      </w:r>
      <w:r w:rsidR="001858B5">
        <w:rPr>
          <w:rFonts w:cs="Times New Roman"/>
        </w:rPr>
        <w:fldChar w:fldCharType="begin"/>
      </w:r>
      <w:r w:rsidR="00FA2AEF">
        <w:instrText xml:space="preserve"> XE "</w:instrText>
      </w:r>
      <w:r w:rsidR="00FA2AEF" w:rsidRPr="00A13C2C">
        <w:rPr>
          <w:rFonts w:cs="Times New Roman"/>
        </w:rPr>
        <w:instrText>liar loans</w:instrText>
      </w:r>
      <w:r w:rsidR="00FA2AEF">
        <w:instrText>" \t "</w:instrText>
      </w:r>
      <w:r w:rsidR="00FA2AEF" w:rsidRPr="00B65E98">
        <w:rPr>
          <w:rFonts w:asciiTheme="minorHAnsi" w:hAnsiTheme="minorHAnsi"/>
          <w:i/>
        </w:rPr>
        <w:instrText>See</w:instrText>
      </w:r>
      <w:r w:rsidR="00FA2AEF" w:rsidRPr="00B65E98">
        <w:rPr>
          <w:rFonts w:asciiTheme="minorHAnsi" w:hAnsiTheme="minorHAnsi"/>
        </w:rPr>
        <w:instrText xml:space="preserve"> stated-income</w:instrText>
      </w:r>
      <w:r w:rsidR="00FA2AEF">
        <w:instrText xml:space="preserve">" </w:instrText>
      </w:r>
      <w:r w:rsidR="001858B5">
        <w:rPr>
          <w:rFonts w:cs="Times New Roman"/>
        </w:rPr>
        <w:fldChar w:fldCharType="end"/>
      </w:r>
      <w:r w:rsidR="00B15FE6" w:rsidRPr="00124B71">
        <w:rPr>
          <w:rFonts w:cs="Times New Roman"/>
        </w:rPr>
        <w:t xml:space="preserve">” because most people were </w:t>
      </w:r>
      <w:r w:rsidR="00B15FE6" w:rsidRPr="00124B71">
        <w:rPr>
          <w:rFonts w:cs="Times New Roman"/>
        </w:rPr>
        <w:lastRenderedPageBreak/>
        <w:t>not truthful when stating their income.</w:t>
      </w:r>
      <w:r w:rsidR="00370CEF" w:rsidRPr="00124B71">
        <w:rPr>
          <w:rFonts w:cs="Times New Roman"/>
        </w:rPr>
        <w:t xml:space="preserve"> Loan documentation</w:t>
      </w:r>
      <w:r w:rsidR="001858B5">
        <w:rPr>
          <w:rFonts w:cs="Times New Roman"/>
        </w:rPr>
        <w:fldChar w:fldCharType="begin"/>
      </w:r>
      <w:r w:rsidR="00FA2AEF">
        <w:instrText xml:space="preserve"> XE "</w:instrText>
      </w:r>
      <w:r w:rsidR="00FA2AEF" w:rsidRPr="003F43F0">
        <w:rPr>
          <w:rFonts w:cs="Times New Roman"/>
        </w:rPr>
        <w:instrText>Loan documentation</w:instrText>
      </w:r>
      <w:r w:rsidR="00FA2AEF">
        <w:instrText xml:space="preserve">" </w:instrText>
      </w:r>
      <w:r w:rsidR="001858B5">
        <w:rPr>
          <w:rFonts w:cs="Times New Roman"/>
        </w:rPr>
        <w:fldChar w:fldCharType="end"/>
      </w:r>
      <w:r w:rsidR="00370CEF" w:rsidRPr="00124B71">
        <w:rPr>
          <w:rFonts w:cs="Times New Roman"/>
        </w:rPr>
        <w:t xml:space="preserve"> is usually a routine part of obtaining financing. Lenders ordinarily require a borrower to provide documentation proving income, assets and debt. However, during the final stages of the Great Housing Bubble, loan documentation was seen as an unnecessary barrier to completing more transactions, and loan programs which circumvented normal documentation procedures flourished. The fact that these programs existed at all is remarkable proof of the risk lenders were taking through the relaxing or outright elimination of lending standards.</w:t>
      </w:r>
      <w:r w:rsidR="00F7498D" w:rsidRPr="00124B71">
        <w:rPr>
          <w:rFonts w:cs="Times New Roman"/>
        </w:rPr>
        <w:t xml:space="preserve"> </w:t>
      </w:r>
      <w:r w:rsidR="00374800" w:rsidRPr="00124B71">
        <w:rPr>
          <w:rFonts w:cs="Times New Roman"/>
        </w:rPr>
        <w:t>Eighty-one percent</w:t>
      </w:r>
      <w:r w:rsidR="00F7498D" w:rsidRPr="00124B71">
        <w:rPr>
          <w:rFonts w:cs="Times New Roman"/>
        </w:rPr>
        <w:t xml:space="preserve"> of Alt-A</w:t>
      </w:r>
      <w:r w:rsidR="001858B5">
        <w:rPr>
          <w:rFonts w:cs="Times New Roman"/>
        </w:rPr>
        <w:fldChar w:fldCharType="begin"/>
      </w:r>
      <w:r w:rsidR="00FA2AEF">
        <w:instrText xml:space="preserve"> XE "</w:instrText>
      </w:r>
      <w:r w:rsidR="00FA2AEF" w:rsidRPr="00044B58">
        <w:rPr>
          <w:rFonts w:cs="Times New Roman"/>
        </w:rPr>
        <w:instrText>Alt-A</w:instrText>
      </w:r>
      <w:r w:rsidR="00FA2AEF">
        <w:instrText xml:space="preserve">" </w:instrText>
      </w:r>
      <w:r w:rsidR="001858B5">
        <w:rPr>
          <w:rFonts w:cs="Times New Roman"/>
        </w:rPr>
        <w:fldChar w:fldCharType="end"/>
      </w:r>
      <w:r w:rsidR="00F7498D" w:rsidRPr="00124B71">
        <w:rPr>
          <w:rFonts w:cs="Times New Roman"/>
        </w:rPr>
        <w:t xml:space="preserve"> purchase originations in 2006 were stated</w:t>
      </w:r>
      <w:r w:rsidR="00374800" w:rsidRPr="00124B71">
        <w:rPr>
          <w:rFonts w:cs="Times New Roman"/>
        </w:rPr>
        <w:t>-</w:t>
      </w:r>
      <w:r w:rsidR="00F7498D" w:rsidRPr="00124B71">
        <w:rPr>
          <w:rFonts w:cs="Times New Roman"/>
        </w:rPr>
        <w:t>income</w:t>
      </w:r>
      <w:r w:rsidR="00CA1F80" w:rsidRPr="00124B71">
        <w:rPr>
          <w:rFonts w:cs="Times New Roman"/>
        </w:rPr>
        <w:t>, and 50% of subprime originations in 2005 and 2006 were stated income</w:t>
      </w:r>
      <w:r w:rsidR="00374800" w:rsidRPr="00124B71">
        <w:rPr>
          <w:rFonts w:cs="Times New Roman"/>
        </w:rPr>
        <w:t xml:space="preserve"> </w:t>
      </w:r>
      <w:sdt>
        <w:sdtPr>
          <w:rPr>
            <w:rFonts w:cs="Times New Roman"/>
          </w:rPr>
          <w:id w:val="62089826"/>
          <w:citation/>
        </w:sdtPr>
        <w:sdtContent>
          <w:r w:rsidR="001858B5" w:rsidRPr="00124B71">
            <w:rPr>
              <w:rFonts w:cs="Times New Roman"/>
            </w:rPr>
            <w:fldChar w:fldCharType="begin"/>
          </w:r>
          <w:r w:rsidR="00F43CEA" w:rsidRPr="00124B71">
            <w:rPr>
              <w:rFonts w:cs="Times New Roman"/>
            </w:rPr>
            <w:instrText xml:space="preserve"> CITATION Cre07 \l 1033 </w:instrText>
          </w:r>
          <w:r w:rsidR="001858B5" w:rsidRPr="00124B71">
            <w:rPr>
              <w:rFonts w:cs="Times New Roman"/>
            </w:rPr>
            <w:fldChar w:fldCharType="separate"/>
          </w:r>
          <w:r w:rsidR="007E3004" w:rsidRPr="007E3004">
            <w:rPr>
              <w:rFonts w:cs="Times New Roman"/>
              <w:noProof/>
            </w:rPr>
            <w:t>(Credit Suisse, 2007)</w:t>
          </w:r>
          <w:r w:rsidR="001858B5" w:rsidRPr="00124B71">
            <w:rPr>
              <w:rFonts w:cs="Times New Roman"/>
            </w:rPr>
            <w:fldChar w:fldCharType="end"/>
          </w:r>
        </w:sdtContent>
      </w:sdt>
      <w:r w:rsidR="00F7498D" w:rsidRPr="00124B71">
        <w:rPr>
          <w:rFonts w:cs="Times New Roman"/>
        </w:rPr>
        <w:t xml:space="preserve">. </w:t>
      </w:r>
      <w:r w:rsidR="00460FC9" w:rsidRPr="00124B71">
        <w:rPr>
          <w:rFonts w:cs="Times New Roman"/>
        </w:rPr>
        <w:t>Stated income loans increased from 18% of originations in 2001 to 49% in 2006 according to</w:t>
      </w:r>
      <w:r w:rsidR="00A40CA5" w:rsidRPr="00124B71">
        <w:rPr>
          <w:rFonts w:cs="Times New Roman"/>
        </w:rPr>
        <w:t xml:space="preserve"> Loan Performance. In a related study by the Mortgage Asset Research Institute, 60% of stated-income borrowers had exaggerated their incomes by more than 50%.</w:t>
      </w:r>
      <w:r w:rsidR="00374800" w:rsidRPr="00124B71">
        <w:rPr>
          <w:rStyle w:val="EndnoteReference"/>
          <w:rFonts w:cs="Times New Roman"/>
        </w:rPr>
        <w:endnoteReference w:id="26"/>
      </w:r>
      <w:r w:rsidR="00A40CA5" w:rsidRPr="00124B71">
        <w:rPr>
          <w:rFonts w:cs="Times New Roman"/>
          <w:vertAlign w:val="superscript"/>
        </w:rPr>
        <w:t xml:space="preserve">, </w:t>
      </w:r>
      <w:r w:rsidR="004618E1" w:rsidRPr="00124B71">
        <w:rPr>
          <w:rStyle w:val="EndnoteReference"/>
          <w:rFonts w:cs="Times New Roman"/>
        </w:rPr>
        <w:endnoteReference w:id="27"/>
      </w:r>
      <w:r w:rsidR="00460FC9" w:rsidRPr="00124B71">
        <w:rPr>
          <w:rFonts w:cs="Times New Roman"/>
        </w:rPr>
        <w:t xml:space="preserve"> </w:t>
      </w:r>
      <w:r w:rsidR="00DC4971" w:rsidRPr="00124B71">
        <w:rPr>
          <w:rFonts w:cs="Times New Roman"/>
        </w:rPr>
        <w:t>Obviously, lying about one’s income to obtain a loan is not a conservative method of financing a property purchase.</w:t>
      </w:r>
    </w:p>
    <w:p w14:paraId="4A92F048" w14:textId="2ED88DA7" w:rsidR="00412FE0" w:rsidRPr="00EF0EDA" w:rsidRDefault="00CF05FE" w:rsidP="00412FE0">
      <w:pPr>
        <w:pStyle w:val="Caption"/>
      </w:pPr>
      <w:bookmarkStart w:id="31" w:name="_Toc238867445"/>
      <w:r>
        <w:t>Figure</w:t>
      </w:r>
      <w:r w:rsidR="00412FE0" w:rsidRPr="00EF0EDA">
        <w:t xml:space="preserve"> </w:t>
      </w:r>
      <w:fldSimple w:instr=" SEQ Figure \* ARABIC ">
        <w:r w:rsidR="00493733">
          <w:rPr>
            <w:noProof/>
          </w:rPr>
          <w:t>4</w:t>
        </w:r>
      </w:fldSimple>
      <w:r w:rsidR="00317936">
        <w:t xml:space="preserve">: </w:t>
      </w:r>
      <w:r w:rsidR="00412FE0" w:rsidRPr="00EF0EDA">
        <w:t>Private Builder Low/No Documentation Loan</w:t>
      </w:r>
      <w:r w:rsidR="00DA32A5">
        <w:t>s</w:t>
      </w:r>
      <w:r w:rsidR="00412FE0" w:rsidRPr="00EF0EDA">
        <w:t xml:space="preserve"> </w:t>
      </w:r>
      <w:r w:rsidR="00DA32A5">
        <w:t xml:space="preserve">as </w:t>
      </w:r>
      <w:r w:rsidR="00BD42A9">
        <w:t>%</w:t>
      </w:r>
      <w:r w:rsidR="00412FE0" w:rsidRPr="00EF0EDA">
        <w:t xml:space="preserve"> of Total</w:t>
      </w:r>
      <w:r w:rsidR="00DA32A5">
        <w:t>,</w:t>
      </w:r>
      <w:r w:rsidR="00412FE0" w:rsidRPr="00EF0EDA">
        <w:t xml:space="preserve"> 2006</w:t>
      </w:r>
      <w:bookmarkEnd w:id="31"/>
    </w:p>
    <w:p w14:paraId="0218EA2E" w14:textId="77777777" w:rsidR="009B2F1D" w:rsidRPr="00EF0EDA" w:rsidRDefault="00987FDA" w:rsidP="00A56E02">
      <w:pPr>
        <w:pStyle w:val="Graphics"/>
      </w:pPr>
      <w:r>
        <w:drawing>
          <wp:inline distT="0" distB="0" distL="0" distR="0" wp14:anchorId="0C60550C" wp14:editId="66AB6481">
            <wp:extent cx="3657600" cy="3200400"/>
            <wp:effectExtent l="19050" t="0" r="0" b="0"/>
            <wp:docPr id="25" name="Picture 24" descr="Private Builder Low-No Documentation Loan Originations Sh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vate Builder Low-No Documentation Loan Originations Share.jpg"/>
                    <pic:cNvPicPr/>
                  </pic:nvPicPr>
                  <pic:blipFill>
                    <a:blip r:embed="rId30"/>
                    <a:stretch>
                      <a:fillRect/>
                    </a:stretch>
                  </pic:blipFill>
                  <pic:spPr>
                    <a:xfrm>
                      <a:off x="0" y="0"/>
                      <a:ext cx="3657600" cy="3200400"/>
                    </a:xfrm>
                    <a:prstGeom prst="rect">
                      <a:avLst/>
                    </a:prstGeom>
                  </pic:spPr>
                </pic:pic>
              </a:graphicData>
            </a:graphic>
          </wp:inline>
        </w:drawing>
      </w:r>
    </w:p>
    <w:p w14:paraId="10DC8908" w14:textId="77777777" w:rsidR="00370CEF" w:rsidRPr="00124B71" w:rsidRDefault="00370CEF" w:rsidP="00370CEF">
      <w:pPr>
        <w:rPr>
          <w:rFonts w:cs="Times New Roman"/>
        </w:rPr>
      </w:pPr>
      <w:r w:rsidRPr="00124B71">
        <w:rPr>
          <w:rFonts w:cs="Times New Roman"/>
        </w:rPr>
        <w:t>The stated-income</w:t>
      </w:r>
      <w:r w:rsidR="001858B5">
        <w:rPr>
          <w:rFonts w:cs="Times New Roman"/>
        </w:rPr>
        <w:fldChar w:fldCharType="begin"/>
      </w:r>
      <w:r w:rsidR="00FA2AEF">
        <w:instrText xml:space="preserve"> XE "</w:instrText>
      </w:r>
      <w:r w:rsidR="00FA2AEF" w:rsidRPr="004E3026">
        <w:rPr>
          <w:rFonts w:cs="Times New Roman"/>
        </w:rPr>
        <w:instrText>stated-income</w:instrText>
      </w:r>
      <w:r w:rsidR="00FA2AEF">
        <w:instrText xml:space="preserve">" </w:instrText>
      </w:r>
      <w:r w:rsidR="001858B5">
        <w:rPr>
          <w:rFonts w:cs="Times New Roman"/>
        </w:rPr>
        <w:fldChar w:fldCharType="end"/>
      </w:r>
      <w:r w:rsidRPr="00124B71">
        <w:rPr>
          <w:rFonts w:cs="Times New Roman"/>
        </w:rPr>
        <w:t xml:space="preserve"> loan</w:t>
      </w:r>
      <w:r w:rsidR="00602511" w:rsidRPr="00124B71">
        <w:rPr>
          <w:rFonts w:cs="Times New Roman"/>
        </w:rPr>
        <w:t xml:space="preserve"> </w:t>
      </w:r>
      <w:r w:rsidRPr="00124B71">
        <w:rPr>
          <w:rFonts w:cs="Times New Roman"/>
        </w:rPr>
        <w:t>was originally provided to borrowers such as the self-employed who most often do not have W-2s</w:t>
      </w:r>
      <w:r w:rsidR="00E0366A" w:rsidRPr="00124B71">
        <w:rPr>
          <w:rFonts w:cs="Times New Roman"/>
        </w:rPr>
        <w:t xml:space="preserve"> to verify income. When these loan programs were first started, they were not made available to borrowers with W-2s as the transparency of the lie would have been obvious to all parties. During the bubble rally, </w:t>
      </w:r>
      <w:r w:rsidR="005D10A6" w:rsidRPr="00124B71">
        <w:rPr>
          <w:rFonts w:cs="Times New Roman"/>
        </w:rPr>
        <w:t xml:space="preserve">this loan was made available to anyone, and </w:t>
      </w:r>
      <w:r w:rsidR="0079189D" w:rsidRPr="00124B71">
        <w:rPr>
          <w:rFonts w:cs="Times New Roman"/>
        </w:rPr>
        <w:t>lying</w:t>
      </w:r>
      <w:r w:rsidR="00602511" w:rsidRPr="00124B71">
        <w:rPr>
          <w:rFonts w:cs="Times New Roman"/>
        </w:rPr>
        <w:t xml:space="preserve"> was not only</w:t>
      </w:r>
      <w:r w:rsidR="00E0366A" w:rsidRPr="00124B71">
        <w:rPr>
          <w:rFonts w:cs="Times New Roman"/>
        </w:rPr>
        <w:t xml:space="preserve"> </w:t>
      </w:r>
      <w:r w:rsidR="005D10A6" w:rsidRPr="00124B71">
        <w:rPr>
          <w:rFonts w:cs="Times New Roman"/>
        </w:rPr>
        <w:t>encouraged</w:t>
      </w:r>
      <w:r w:rsidR="00602511" w:rsidRPr="00124B71">
        <w:rPr>
          <w:rFonts w:cs="Times New Roman"/>
        </w:rPr>
        <w:t>,</w:t>
      </w:r>
      <w:r w:rsidR="0079189D" w:rsidRPr="00124B71">
        <w:rPr>
          <w:rFonts w:cs="Times New Roman"/>
        </w:rPr>
        <w:t xml:space="preserve"> borrowers</w:t>
      </w:r>
      <w:r w:rsidR="00E0366A" w:rsidRPr="00124B71">
        <w:rPr>
          <w:rFonts w:cs="Times New Roman"/>
        </w:rPr>
        <w:t xml:space="preserve"> were often assisted in fabricating paperwork </w:t>
      </w:r>
      <w:r w:rsidR="00E0366A" w:rsidRPr="00124B71">
        <w:rPr>
          <w:rFonts w:cs="Times New Roman"/>
        </w:rPr>
        <w:lastRenderedPageBreak/>
        <w:t>by aggressive loan officers and mortgage brokers</w:t>
      </w:r>
      <w:r w:rsidR="00A40CA5" w:rsidRPr="00124B71">
        <w:rPr>
          <w:rFonts w:cs="Times New Roman"/>
        </w:rPr>
        <w:t>.</w:t>
      </w:r>
      <w:r w:rsidR="00774601" w:rsidRPr="00124B71">
        <w:rPr>
          <w:rFonts w:cs="Times New Roman"/>
        </w:rPr>
        <w:t xml:space="preserve"> </w:t>
      </w:r>
      <w:r w:rsidR="00B15433" w:rsidRPr="00124B71">
        <w:rPr>
          <w:rStyle w:val="EndnoteReference"/>
          <w:rFonts w:cs="Times New Roman"/>
        </w:rPr>
        <w:endnoteReference w:id="28"/>
      </w:r>
      <w:r w:rsidR="00E0366A" w:rsidRPr="00124B71">
        <w:rPr>
          <w:rFonts w:cs="Times New Roman"/>
        </w:rPr>
        <w:t xml:space="preserve"> Since the loan could be packaged and sold to investors who had no idea what they were buying, there was a complete lack of concern for whether or not the borrower actually made the money stated in the loan application and thereby could actually make the payments on the loan. Everyone involved was </w:t>
      </w:r>
      <w:r w:rsidR="009A5663" w:rsidRPr="00124B71">
        <w:rPr>
          <w:rFonts w:cs="Times New Roman"/>
        </w:rPr>
        <w:t>raking in</w:t>
      </w:r>
      <w:r w:rsidR="00E0366A" w:rsidRPr="00124B71">
        <w:rPr>
          <w:rFonts w:cs="Times New Roman"/>
        </w:rPr>
        <w:t xml:space="preserve"> large fees, the borrower was obtaining the real estate they desired, and for a time, the investor was receiving payments from the borrower</w:t>
      </w:r>
      <w:r w:rsidR="00A40CA5" w:rsidRPr="00124B71">
        <w:rPr>
          <w:rFonts w:cs="Times New Roman"/>
        </w:rPr>
        <w:t>.</w:t>
      </w:r>
      <w:r w:rsidR="00774601" w:rsidRPr="00124B71">
        <w:rPr>
          <w:rFonts w:cs="Times New Roman"/>
        </w:rPr>
        <w:t xml:space="preserve"> </w:t>
      </w:r>
      <w:r w:rsidR="00076131" w:rsidRPr="00124B71">
        <w:rPr>
          <w:rStyle w:val="EndnoteReference"/>
          <w:rFonts w:cs="Times New Roman"/>
        </w:rPr>
        <w:endnoteReference w:id="29"/>
      </w:r>
      <w:r w:rsidR="00E0366A" w:rsidRPr="00124B71">
        <w:rPr>
          <w:rFonts w:cs="Times New Roman"/>
        </w:rPr>
        <w:t xml:space="preserve"> As long as prices were rising, everyone benefited from the arrangement. Of course, once prices started to fall, borrowers did not want to continue making payments they could not afford, and the whole system collapsed in a massive credit crunch</w:t>
      </w:r>
      <w:r w:rsidR="001858B5">
        <w:rPr>
          <w:rFonts w:cs="Times New Roman"/>
        </w:rPr>
        <w:fldChar w:fldCharType="begin"/>
      </w:r>
      <w:r w:rsidR="00FA2AEF">
        <w:instrText xml:space="preserve"> XE "</w:instrText>
      </w:r>
      <w:r w:rsidR="00FA2AEF" w:rsidRPr="00F6304A">
        <w:rPr>
          <w:rFonts w:cs="Times New Roman"/>
        </w:rPr>
        <w:instrText>credit crunch</w:instrText>
      </w:r>
      <w:r w:rsidR="00FA2AEF">
        <w:instrText xml:space="preserve">" </w:instrText>
      </w:r>
      <w:r w:rsidR="001858B5">
        <w:rPr>
          <w:rFonts w:cs="Times New Roman"/>
        </w:rPr>
        <w:fldChar w:fldCharType="end"/>
      </w:r>
      <w:r w:rsidR="00E0366A" w:rsidRPr="00124B71">
        <w:rPr>
          <w:rFonts w:cs="Times New Roman"/>
        </w:rPr>
        <w:t>.</w:t>
      </w:r>
    </w:p>
    <w:p w14:paraId="7781B2B9" w14:textId="414BCE7E" w:rsidR="00240C86" w:rsidRPr="00EF0EDA" w:rsidRDefault="00240C86" w:rsidP="00240C86">
      <w:pPr>
        <w:pStyle w:val="Caption"/>
      </w:pPr>
      <w:bookmarkStart w:id="32" w:name="_Toc238867446"/>
      <w:r>
        <w:t>Figure</w:t>
      </w:r>
      <w:r w:rsidRPr="00EF0EDA">
        <w:t xml:space="preserve"> </w:t>
      </w:r>
      <w:fldSimple w:instr=" SEQ Figure \* ARABIC ">
        <w:r w:rsidR="00493733">
          <w:rPr>
            <w:noProof/>
          </w:rPr>
          <w:t>5</w:t>
        </w:r>
      </w:fldSimple>
      <w:r w:rsidR="00317936">
        <w:t xml:space="preserve">: </w:t>
      </w:r>
      <w:r w:rsidRPr="00EF0EDA">
        <w:t>National Home Ownership Rate</w:t>
      </w:r>
      <w:r w:rsidR="00DA32A5">
        <w:t>,</w:t>
      </w:r>
      <w:r w:rsidRPr="00EF0EDA">
        <w:t xml:space="preserve"> 1984-2005</w:t>
      </w:r>
      <w:bookmarkEnd w:id="32"/>
    </w:p>
    <w:p w14:paraId="45B26A9A" w14:textId="77777777" w:rsidR="00240C86" w:rsidRPr="00EF0EDA" w:rsidRDefault="00987FDA" w:rsidP="00240C86">
      <w:pPr>
        <w:pStyle w:val="Graphics"/>
      </w:pPr>
      <w:r>
        <w:drawing>
          <wp:inline distT="0" distB="0" distL="0" distR="0" wp14:anchorId="583B9D13" wp14:editId="0205D78B">
            <wp:extent cx="3657600" cy="2834640"/>
            <wp:effectExtent l="19050" t="0" r="0" b="0"/>
            <wp:docPr id="31" name="Picture 30" descr="National Home Ownership Rate 1984-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Home Ownership Rate 1984-2005.jpg"/>
                    <pic:cNvPicPr/>
                  </pic:nvPicPr>
                  <pic:blipFill>
                    <a:blip r:embed="rId31" cstate="print"/>
                    <a:stretch>
                      <a:fillRect/>
                    </a:stretch>
                  </pic:blipFill>
                  <pic:spPr>
                    <a:xfrm>
                      <a:off x="0" y="0"/>
                      <a:ext cx="3657600" cy="2834640"/>
                    </a:xfrm>
                    <a:prstGeom prst="rect">
                      <a:avLst/>
                    </a:prstGeom>
                  </pic:spPr>
                </pic:pic>
              </a:graphicData>
            </a:graphic>
          </wp:inline>
        </w:drawing>
      </w:r>
    </w:p>
    <w:p w14:paraId="68B07879" w14:textId="77777777" w:rsidR="001767A9" w:rsidRPr="00EF0EDA" w:rsidRDefault="001767A9" w:rsidP="00263B2B">
      <w:pPr>
        <w:pStyle w:val="Heading2"/>
      </w:pPr>
      <w:bookmarkStart w:id="33" w:name="_Toc238867282"/>
      <w:r w:rsidRPr="00EF0EDA">
        <w:t>Downpayments</w:t>
      </w:r>
      <w:bookmarkEnd w:id="33"/>
    </w:p>
    <w:p w14:paraId="550AB4B0" w14:textId="77777777" w:rsidR="001767A9" w:rsidRPr="00124B71" w:rsidRDefault="001767A9" w:rsidP="008560E2">
      <w:pPr>
        <w:rPr>
          <w:rFonts w:cs="Times New Roman"/>
        </w:rPr>
      </w:pPr>
      <w:r w:rsidRPr="00124B71">
        <w:rPr>
          <w:rFonts w:cs="Times New Roman"/>
        </w:rPr>
        <w:t>The risk management measure not related to the mortgage terms is the downpayment. Most people do not think of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Pr="00124B71">
        <w:rPr>
          <w:rFonts w:cs="Times New Roman"/>
        </w:rPr>
        <w:t xml:space="preserve"> as a way of managing risk, but </w:t>
      </w:r>
      <w:r w:rsidR="00460FC9" w:rsidRPr="00124B71">
        <w:rPr>
          <w:rFonts w:cs="Times New Roman"/>
        </w:rPr>
        <w:t>lenders</w:t>
      </w:r>
      <w:r w:rsidRPr="00124B71">
        <w:rPr>
          <w:rFonts w:cs="Times New Roman"/>
        </w:rPr>
        <w:t xml:space="preserve"> do. Downpayments reduce risk in two ways: first, they lower the monthly payment, and second, they provide a cushion ensuring the borrower can refinance (if necessary) should the house value decline. The problem with downpayments is obvious: few people save enough money to have one.</w:t>
      </w:r>
    </w:p>
    <w:p w14:paraId="16C2B203" w14:textId="1FC47456" w:rsidR="001767A9" w:rsidRPr="00124B71" w:rsidRDefault="001767A9" w:rsidP="008560E2">
      <w:pPr>
        <w:rPr>
          <w:rFonts w:cs="Times New Roman"/>
        </w:rPr>
      </w:pPr>
      <w:r w:rsidRPr="00124B71">
        <w:rPr>
          <w:rFonts w:cs="Times New Roman"/>
        </w:rPr>
        <w:t>Eliminating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Pr="00124B71">
        <w:rPr>
          <w:rFonts w:cs="Times New Roman"/>
        </w:rPr>
        <w:t xml:space="preserve"> through the use of 80/20</w:t>
      </w:r>
      <w:r w:rsidR="001858B5">
        <w:rPr>
          <w:rFonts w:cs="Times New Roman"/>
        </w:rPr>
        <w:fldChar w:fldCharType="begin"/>
      </w:r>
      <w:r w:rsidR="00FA2AEF">
        <w:instrText xml:space="preserve"> XE "</w:instrText>
      </w:r>
      <w:r w:rsidR="00FA2AEF" w:rsidRPr="00A46ACB">
        <w:rPr>
          <w:rFonts w:cs="Times New Roman"/>
        </w:rPr>
        <w:instrText>80/20</w:instrText>
      </w:r>
      <w:r w:rsidR="00FA2AEF">
        <w:instrText xml:space="preserve">" </w:instrText>
      </w:r>
      <w:r w:rsidR="001858B5">
        <w:rPr>
          <w:rFonts w:cs="Times New Roman"/>
        </w:rPr>
        <w:fldChar w:fldCharType="end"/>
      </w:r>
      <w:r w:rsidRPr="00124B71">
        <w:rPr>
          <w:rFonts w:cs="Times New Roman"/>
        </w:rPr>
        <w:t xml:space="preserve"> combo loans was another massive stimulus to the housing market.</w:t>
      </w:r>
      <w:r w:rsidR="00460FC9" w:rsidRPr="00124B71">
        <w:rPr>
          <w:rFonts w:cs="Times New Roman"/>
        </w:rPr>
        <w:t xml:space="preserve"> </w:t>
      </w:r>
      <w:r w:rsidR="0003260E" w:rsidRPr="00124B71">
        <w:rPr>
          <w:rFonts w:cs="Times New Roman"/>
        </w:rPr>
        <w:t>S</w:t>
      </w:r>
      <w:r w:rsidR="00460FC9" w:rsidRPr="00124B71">
        <w:rPr>
          <w:rFonts w:cs="Times New Roman"/>
        </w:rPr>
        <w:t>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00460FC9" w:rsidRPr="00124B71">
        <w:rPr>
          <w:rFonts w:cs="Times New Roman"/>
        </w:rPr>
        <w:t xml:space="preserve"> loan originations in 2006 had an average loan-to-value</w:t>
      </w:r>
      <w:r w:rsidR="001858B5">
        <w:rPr>
          <w:rFonts w:cs="Times New Roman"/>
        </w:rPr>
        <w:fldChar w:fldCharType="begin"/>
      </w:r>
      <w:r w:rsidR="001A53F8">
        <w:instrText xml:space="preserve"> XE "</w:instrText>
      </w:r>
      <w:r w:rsidR="001A53F8" w:rsidRPr="00DB4DD4">
        <w:rPr>
          <w:rFonts w:cs="Times New Roman"/>
        </w:rPr>
        <w:instrText>loan-to-value</w:instrText>
      </w:r>
      <w:r w:rsidR="001A53F8">
        <w:instrText xml:space="preserve">" </w:instrText>
      </w:r>
      <w:r w:rsidR="001858B5">
        <w:rPr>
          <w:rFonts w:cs="Times New Roman"/>
        </w:rPr>
        <w:fldChar w:fldCharType="end"/>
      </w:r>
      <w:r w:rsidR="00460FC9" w:rsidRPr="00124B71">
        <w:rPr>
          <w:rFonts w:cs="Times New Roman"/>
        </w:rPr>
        <w:t xml:space="preserve"> ratio of 94%. That is an average downpayment of just 6%. Also, 46% of home purchases in 2006 had combined loan-to-value ratios of 95% or higher</w:t>
      </w:r>
      <w:r w:rsidR="0003260E" w:rsidRPr="00124B71">
        <w:rPr>
          <w:rFonts w:cs="Times New Roman"/>
        </w:rPr>
        <w:t xml:space="preserve"> </w:t>
      </w:r>
      <w:sdt>
        <w:sdtPr>
          <w:rPr>
            <w:rFonts w:cs="Times New Roman"/>
          </w:rPr>
          <w:id w:val="62089827"/>
          <w:citation/>
        </w:sdtPr>
        <w:sdtContent>
          <w:r w:rsidR="001858B5" w:rsidRPr="00124B71">
            <w:rPr>
              <w:rFonts w:cs="Times New Roman"/>
            </w:rPr>
            <w:fldChar w:fldCharType="begin"/>
          </w:r>
          <w:r w:rsidR="00F43CEA" w:rsidRPr="00124B71">
            <w:rPr>
              <w:rFonts w:cs="Times New Roman"/>
            </w:rPr>
            <w:instrText xml:space="preserve"> CITATION Cre07 \l 1033 </w:instrText>
          </w:r>
          <w:r w:rsidR="001858B5" w:rsidRPr="00124B71">
            <w:rPr>
              <w:rFonts w:cs="Times New Roman"/>
            </w:rPr>
            <w:fldChar w:fldCharType="separate"/>
          </w:r>
          <w:r w:rsidR="007E3004" w:rsidRPr="007E3004">
            <w:rPr>
              <w:rFonts w:cs="Times New Roman"/>
              <w:noProof/>
            </w:rPr>
            <w:t>(Credit Suisse, 2007)</w:t>
          </w:r>
          <w:r w:rsidR="001858B5" w:rsidRPr="00124B71">
            <w:rPr>
              <w:rFonts w:cs="Times New Roman"/>
            </w:rPr>
            <w:fldChar w:fldCharType="end"/>
          </w:r>
        </w:sdtContent>
      </w:sdt>
      <w:r w:rsidR="00460FC9" w:rsidRPr="00124B71">
        <w:rPr>
          <w:rFonts w:cs="Times New Roman"/>
        </w:rPr>
        <w:t>.</w:t>
      </w:r>
      <w:r w:rsidRPr="00124B71">
        <w:rPr>
          <w:rFonts w:cs="Times New Roman"/>
        </w:rPr>
        <w:t xml:space="preserve"> Lenders used to require </w:t>
      </w:r>
      <w:r w:rsidRPr="00124B71">
        <w:rPr>
          <w:rFonts w:cs="Times New Roman"/>
        </w:rPr>
        <w:lastRenderedPageBreak/>
        <w:t xml:space="preserve">downpayments because </w:t>
      </w:r>
      <w:r w:rsidR="009A5663" w:rsidRPr="00124B71">
        <w:rPr>
          <w:rFonts w:cs="Times New Roman"/>
        </w:rPr>
        <w:t xml:space="preserve">they </w:t>
      </w:r>
      <w:r w:rsidRPr="00124B71">
        <w:rPr>
          <w:rFonts w:cs="Times New Roman"/>
        </w:rPr>
        <w:t>demonstrate</w:t>
      </w:r>
      <w:r w:rsidR="006959A8" w:rsidRPr="00124B71">
        <w:rPr>
          <w:rFonts w:cs="Times New Roman"/>
        </w:rPr>
        <w:t>d</w:t>
      </w:r>
      <w:r w:rsidRPr="00124B71">
        <w:rPr>
          <w:rFonts w:cs="Times New Roman"/>
        </w:rPr>
        <w:t xml:space="preserve"> the </w:t>
      </w:r>
      <w:r w:rsidR="006959A8" w:rsidRPr="00124B71">
        <w:rPr>
          <w:rFonts w:cs="Times New Roman"/>
        </w:rPr>
        <w:t xml:space="preserve">borrower’s </w:t>
      </w:r>
      <w:r w:rsidRPr="00124B71">
        <w:rPr>
          <w:rFonts w:cs="Times New Roman"/>
        </w:rPr>
        <w:t xml:space="preserve">ability to save. At one time, </w:t>
      </w:r>
      <w:r w:rsidR="009A5663" w:rsidRPr="00124B71">
        <w:rPr>
          <w:rFonts w:cs="Times New Roman"/>
        </w:rPr>
        <w:t>having the financial discipline to be able to save for a downpayment</w:t>
      </w:r>
      <w:r w:rsidRPr="00124B71">
        <w:rPr>
          <w:rFonts w:cs="Times New Roman"/>
        </w:rPr>
        <w:t xml:space="preserve"> was considered a reliable indicator as to a borrower’s ability to make timely mortgage payments. Once downpayments became optional, a whole group of potential buyers who used to be excluded from the market suddenly had access to money to buy homes. Home ownership rates increased about 5% nationally due in part to the elimination of the downpayment barrier</w:t>
      </w:r>
      <w:r w:rsidR="00732890" w:rsidRPr="00124B71">
        <w:rPr>
          <w:rFonts w:cs="Times New Roman"/>
        </w:rPr>
        <w:t xml:space="preserve"> and the expansion of subprime lending</w:t>
      </w:r>
      <w:r w:rsidRPr="00124B71">
        <w:rPr>
          <w:rFonts w:cs="Times New Roman"/>
        </w:rPr>
        <w:t>.</w:t>
      </w:r>
    </w:p>
    <w:p w14:paraId="4633CA0C" w14:textId="77777777" w:rsidR="004F5523" w:rsidRPr="00EF0EDA" w:rsidRDefault="00FC516E" w:rsidP="004F5523">
      <w:pPr>
        <w:pStyle w:val="Heading2"/>
      </w:pPr>
      <w:bookmarkStart w:id="34" w:name="_Toc238867283"/>
      <w:r w:rsidRPr="00EF0EDA">
        <w:t>Equity Components</w:t>
      </w:r>
      <w:bookmarkEnd w:id="34"/>
      <w:r w:rsidRPr="00EF0EDA">
        <w:t xml:space="preserve"> </w:t>
      </w:r>
    </w:p>
    <w:p w14:paraId="4BDB0799" w14:textId="77777777" w:rsidR="004F5523" w:rsidRPr="00124B71" w:rsidRDefault="004F5523" w:rsidP="004F5523">
      <w:pPr>
        <w:spacing w:before="100" w:beforeAutospacing="1" w:after="100" w:afterAutospacing="1"/>
        <w:rPr>
          <w:rFonts w:cs="Times New Roman"/>
        </w:rPr>
      </w:pPr>
      <w:r w:rsidRPr="00124B71">
        <w:rPr>
          <w:rFonts w:cs="Times New Roman"/>
        </w:rPr>
        <w:t>In simple accounting terms,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is the difference between how much something is worth and how much money is owed on it (Equity = Assets</w:t>
      </w:r>
      <w:r w:rsidR="007C469A">
        <w:rPr>
          <w:rFonts w:cs="Times New Roman"/>
        </w:rPr>
        <w:t>–</w:t>
      </w:r>
      <w:r w:rsidRPr="00124B71">
        <w:rPr>
          <w:rFonts w:cs="Times New Roman"/>
        </w:rPr>
        <w:t>Liabilities</w:t>
      </w:r>
      <w:r w:rsidR="00813A15" w:rsidRPr="00124B71">
        <w:rPr>
          <w:rFonts w:cs="Times New Roman"/>
        </w:rPr>
        <w:t>).</w:t>
      </w:r>
      <w:r w:rsidR="00774601" w:rsidRPr="00124B71">
        <w:rPr>
          <w:rFonts w:cs="Times New Roman"/>
        </w:rPr>
        <w:t xml:space="preserve"> </w:t>
      </w:r>
      <w:r w:rsidR="00813A15" w:rsidRPr="00124B71">
        <w:rPr>
          <w:rStyle w:val="EndnoteReference"/>
          <w:rFonts w:cs="Times New Roman"/>
        </w:rPr>
        <w:endnoteReference w:id="30"/>
      </w:r>
      <w:r w:rsidRPr="00124B71">
        <w:rPr>
          <w:rFonts w:cs="Times New Roman"/>
        </w:rPr>
        <w:t xml:space="preserve"> People who purchase real estate use the phrase “building equity” to describe the overall increase in equity over time. However, it is important to look at the factors which either create or destroy equity to see how market conditions and financing terms impact this all-important feature of real estate.</w:t>
      </w:r>
    </w:p>
    <w:p w14:paraId="2CBF5F3C" w14:textId="49681D1A" w:rsidR="00955530" w:rsidRPr="00EF0EDA" w:rsidRDefault="00CF05FE" w:rsidP="008230F3">
      <w:pPr>
        <w:pStyle w:val="Caption"/>
      </w:pPr>
      <w:bookmarkStart w:id="35" w:name="_Toc238867447"/>
      <w:r>
        <w:t>Figure</w:t>
      </w:r>
      <w:r w:rsidR="008230F3" w:rsidRPr="00EF0EDA">
        <w:t xml:space="preserve"> </w:t>
      </w:r>
      <w:fldSimple w:instr=" SEQ Figure \* ARABIC ">
        <w:r w:rsidR="00493733">
          <w:rPr>
            <w:noProof/>
          </w:rPr>
          <w:t>6</w:t>
        </w:r>
      </w:fldSimple>
      <w:r w:rsidR="00317936">
        <w:t xml:space="preserve">: </w:t>
      </w:r>
      <w:r w:rsidR="008230F3" w:rsidRPr="00EF0EDA">
        <w:t>Types of Equity</w:t>
      </w:r>
      <w:bookmarkEnd w:id="35"/>
    </w:p>
    <w:p w14:paraId="44B554CB" w14:textId="77777777" w:rsidR="004F5523" w:rsidRPr="00EF0EDA" w:rsidRDefault="000031C7" w:rsidP="00A56E02">
      <w:pPr>
        <w:pStyle w:val="Graphics"/>
      </w:pPr>
      <w:r>
        <w:drawing>
          <wp:inline distT="0" distB="0" distL="0" distR="0" wp14:anchorId="352AA9B7" wp14:editId="40BDB07E">
            <wp:extent cx="3657600" cy="3026664"/>
            <wp:effectExtent l="19050" t="0" r="0" b="0"/>
            <wp:docPr id="3" name="Picture 2" descr="Types of Equ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es of Equity.jpg"/>
                    <pic:cNvPicPr/>
                  </pic:nvPicPr>
                  <pic:blipFill>
                    <a:blip r:embed="rId32"/>
                    <a:stretch>
                      <a:fillRect/>
                    </a:stretch>
                  </pic:blipFill>
                  <pic:spPr>
                    <a:xfrm>
                      <a:off x="0" y="0"/>
                      <a:ext cx="3657600" cy="3026664"/>
                    </a:xfrm>
                    <a:prstGeom prst="rect">
                      <a:avLst/>
                    </a:prstGeom>
                  </pic:spPr>
                </pic:pic>
              </a:graphicData>
            </a:graphic>
          </wp:inline>
        </w:drawing>
      </w:r>
    </w:p>
    <w:p w14:paraId="7B82BAF9" w14:textId="77777777" w:rsidR="004F5523" w:rsidRPr="00124B71" w:rsidRDefault="004F5523" w:rsidP="00A56E02">
      <w:pPr>
        <w:rPr>
          <w:rFonts w:cs="Times New Roman"/>
        </w:rPr>
      </w:pPr>
      <w:r w:rsidRPr="00124B71">
        <w:rPr>
          <w:rFonts w:cs="Times New Roman"/>
        </w:rPr>
        <w:t>For purposes of illustration,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can be broken down into several component parts: Initial Equity</w:t>
      </w:r>
      <w:r w:rsidR="001858B5">
        <w:rPr>
          <w:rFonts w:cs="Times New Roman"/>
        </w:rPr>
        <w:fldChar w:fldCharType="begin"/>
      </w:r>
      <w:r w:rsidR="003852DB">
        <w:instrText xml:space="preserve"> XE "</w:instrText>
      </w:r>
      <w:r w:rsidR="003852DB" w:rsidRPr="004F4F53">
        <w:rPr>
          <w:rFonts w:cs="Times New Roman"/>
        </w:rPr>
        <w:instrText>Initial Equity</w:instrText>
      </w:r>
      <w:r w:rsidR="003852DB">
        <w:instrText xml:space="preserve">" </w:instrText>
      </w:r>
      <w:r w:rsidR="001858B5">
        <w:rPr>
          <w:rFonts w:cs="Times New Roman"/>
        </w:rPr>
        <w:fldChar w:fldCharType="end"/>
      </w:r>
      <w:r w:rsidRPr="00124B71">
        <w:rPr>
          <w:rFonts w:cs="Times New Roman"/>
        </w:rPr>
        <w:t>, Financing Equity, Inflation</w:t>
      </w:r>
      <w:r w:rsidR="001858B5">
        <w:rPr>
          <w:rFonts w:cs="Times New Roman"/>
        </w:rPr>
        <w:fldChar w:fldCharType="begin"/>
      </w:r>
      <w:r w:rsidR="00E84A0F">
        <w:instrText xml:space="preserve"> XE "</w:instrText>
      </w:r>
      <w:r w:rsidR="00E84A0F" w:rsidRPr="00725B11">
        <w:rPr>
          <w:rFonts w:cs="Times New Roman"/>
        </w:rPr>
        <w:instrText>Inflation</w:instrText>
      </w:r>
      <w:r w:rsidR="00E84A0F">
        <w:instrText xml:space="preserve">" </w:instrText>
      </w:r>
      <w:r w:rsidR="001858B5">
        <w:rPr>
          <w:rFonts w:cs="Times New Roman"/>
        </w:rPr>
        <w:fldChar w:fldCharType="end"/>
      </w:r>
      <w:r w:rsidRPr="00124B71">
        <w:rPr>
          <w:rFonts w:cs="Times New Roman"/>
        </w:rPr>
        <w:t xml:space="preserve"> Equity, and Speculative Equity</w:t>
      </w:r>
      <w:r w:rsidR="001858B5">
        <w:rPr>
          <w:rFonts w:cs="Times New Roman"/>
        </w:rPr>
        <w:fldChar w:fldCharType="begin"/>
      </w:r>
      <w:r w:rsidR="003852DB">
        <w:instrText xml:space="preserve"> XE "</w:instrText>
      </w:r>
      <w:r w:rsidR="003852DB" w:rsidRPr="00BB7DB3">
        <w:rPr>
          <w:rFonts w:cs="Times New Roman"/>
        </w:rPr>
        <w:instrText>Speculative Equity</w:instrText>
      </w:r>
      <w:r w:rsidR="003852DB">
        <w:instrText xml:space="preserve">" </w:instrText>
      </w:r>
      <w:r w:rsidR="001858B5">
        <w:rPr>
          <w:rFonts w:cs="Times New Roman"/>
        </w:rPr>
        <w:fldChar w:fldCharType="end"/>
      </w:r>
      <w:r w:rsidRPr="00124B71">
        <w:rPr>
          <w:rFonts w:cs="Times New Roman"/>
        </w:rPr>
        <w:t>. Initial Equity is the amount of money a purchaser puts down to acquire the property. Financing Equity is the gain or loss of total equity based on the decrease or increase in loan balance over time. Inflation Equity is the increase in resale value due to the effect of inflation. This kind of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is the </w:t>
      </w:r>
      <w:r w:rsidRPr="00124B71">
        <w:rPr>
          <w:rFonts w:cs="Times New Roman"/>
        </w:rPr>
        <w:lastRenderedPageBreak/>
        <w:t>“inflation hedge</w:t>
      </w:r>
      <w:r w:rsidR="001858B5">
        <w:rPr>
          <w:rFonts w:cs="Times New Roman"/>
        </w:rPr>
        <w:fldChar w:fldCharType="begin"/>
      </w:r>
      <w:r w:rsidR="00FA2AEF">
        <w:instrText xml:space="preserve"> XE "</w:instrText>
      </w:r>
      <w:r w:rsidR="00FA2AEF" w:rsidRPr="00C66C2F">
        <w:rPr>
          <w:rFonts w:cs="Times New Roman"/>
        </w:rPr>
        <w:instrText>inflation hedge</w:instrText>
      </w:r>
      <w:r w:rsidR="00FA2AEF">
        <w:instrText xml:space="preserve">" </w:instrText>
      </w:r>
      <w:r w:rsidR="001858B5">
        <w:rPr>
          <w:rFonts w:cs="Times New Roman"/>
        </w:rPr>
        <w:fldChar w:fldCharType="end"/>
      </w:r>
      <w:r w:rsidRPr="00124B71">
        <w:rPr>
          <w:rFonts w:cs="Times New Roman"/>
        </w:rPr>
        <w:t>” that provides the primary financial benefit to home ownership. Finally, there is Speculative Equity. This is the fluctuation in equity caused by speculative activities in a real estate market. This can cause wild swings in equity both up and down. If life’s circumstances or careful analysis and timing cause a sale at the peak of a speculative mania</w:t>
      </w:r>
      <w:r w:rsidR="001858B5">
        <w:rPr>
          <w:rFonts w:cs="Times New Roman"/>
        </w:rPr>
        <w:fldChar w:fldCharType="begin"/>
      </w:r>
      <w:r w:rsidR="00FA2AEF">
        <w:instrText xml:space="preserve"> XE "</w:instrText>
      </w:r>
      <w:r w:rsidR="00FA2AEF" w:rsidRPr="009244C7">
        <w:rPr>
          <w:rFonts w:cs="Times New Roman"/>
        </w:rPr>
        <w:instrText>speculative mania</w:instrText>
      </w:r>
      <w:r w:rsidR="00FA2AEF">
        <w:instrText xml:space="preserve">" </w:instrText>
      </w:r>
      <w:r w:rsidR="001858B5">
        <w:rPr>
          <w:rFonts w:cs="Times New Roman"/>
        </w:rPr>
        <w:fldChar w:fldCharType="end"/>
      </w:r>
      <w:r w:rsidRPr="00124B71">
        <w:rPr>
          <w:rFonts w:cs="Times New Roman"/>
        </w:rPr>
        <w:t>, the windfall can be dramatic. Of course, it can go the other way as well. If a house is purchased at its fundamental valuation where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is equal to the cost of rental using a conventionally amortized mortgage with a downpayment, the amount of owner’s equity is the combination of the above factors.</w:t>
      </w:r>
    </w:p>
    <w:p w14:paraId="614BCA62" w14:textId="77777777" w:rsidR="004F5523" w:rsidRPr="00EF0EDA" w:rsidRDefault="004F5523" w:rsidP="004F5523">
      <w:pPr>
        <w:pStyle w:val="Heading3"/>
      </w:pPr>
      <w:bookmarkStart w:id="36" w:name="_Toc238867284"/>
      <w:r w:rsidRPr="00EF0EDA">
        <w:t>Initial Equity</w:t>
      </w:r>
      <w:bookmarkEnd w:id="36"/>
      <w:r w:rsidR="001858B5">
        <w:fldChar w:fldCharType="begin"/>
      </w:r>
      <w:r w:rsidR="003852DB">
        <w:instrText xml:space="preserve"> XE "</w:instrText>
      </w:r>
      <w:r w:rsidR="003852DB" w:rsidRPr="004F4F53">
        <w:rPr>
          <w:rFonts w:cs="Times New Roman"/>
        </w:rPr>
        <w:instrText>Initial Equity</w:instrText>
      </w:r>
      <w:r w:rsidR="003852DB">
        <w:instrText xml:space="preserve">" </w:instrText>
      </w:r>
      <w:r w:rsidR="001858B5">
        <w:fldChar w:fldCharType="end"/>
      </w:r>
    </w:p>
    <w:p w14:paraId="339FE90B" w14:textId="77777777" w:rsidR="004F5523" w:rsidRPr="00124B71" w:rsidRDefault="004F5523" w:rsidP="00A56E02">
      <w:pPr>
        <w:rPr>
          <w:rFonts w:cs="Times New Roman"/>
        </w:rPr>
      </w:pPr>
      <w:r w:rsidRPr="00124B71">
        <w:rPr>
          <w:rFonts w:cs="Times New Roman"/>
        </w:rPr>
        <w:t>The initial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is equal to a purchaser’s downpayment. If a buyer pays cash for a home, all equity is initial equity. Since most home purchases are financed, this initial equity is usually a small percentage of the purchase price, generally 20%. A downpayment is the borrower’s money acquired through careful financial planning and saving</w:t>
      </w:r>
      <w:r w:rsidR="009A5663" w:rsidRPr="00124B71">
        <w:rPr>
          <w:rFonts w:cs="Times New Roman"/>
        </w:rPr>
        <w:t>, gifts from family members,</w:t>
      </w:r>
      <w:r w:rsidRPr="00124B71">
        <w:rPr>
          <w:rFonts w:cs="Times New Roman"/>
        </w:rPr>
        <w:t xml:space="preserve"> or from the profits gained at the sale of a previous home. Downpayment money is not “free.” This money generally is accumulated in a savings account, or if a buyer chooses to rent instead, downpayment money could be put in a high-yield savings account or other investments. There is an opportunity cost to taking this money out of another investment and putting it into a house. This cost and its impact on home ownership costs are detailed </w:t>
      </w:r>
      <w:r w:rsidR="005D10A6" w:rsidRPr="00124B71">
        <w:rPr>
          <w:rFonts w:cs="Times New Roman"/>
        </w:rPr>
        <w:t>in later sections</w:t>
      </w:r>
      <w:r w:rsidRPr="00124B71">
        <w:rPr>
          <w:rFonts w:cs="Times New Roman"/>
        </w:rPr>
        <w:t>.</w:t>
      </w:r>
    </w:p>
    <w:p w14:paraId="18BC23DD" w14:textId="77777777" w:rsidR="004F5523" w:rsidRPr="00EF0EDA" w:rsidRDefault="004F5523" w:rsidP="004F5523">
      <w:pPr>
        <w:pStyle w:val="Heading3"/>
      </w:pPr>
      <w:bookmarkStart w:id="37" w:name="_Toc238867285"/>
      <w:r w:rsidRPr="00EF0EDA">
        <w:t>Financing Equity</w:t>
      </w:r>
      <w:bookmarkEnd w:id="37"/>
    </w:p>
    <w:p w14:paraId="04B89919" w14:textId="77777777" w:rsidR="004F5523" w:rsidRPr="00124B71" w:rsidRDefault="004F5523" w:rsidP="00A56E02">
      <w:pPr>
        <w:rPr>
          <w:rFonts w:cs="Times New Roman"/>
        </w:rPr>
      </w:pPr>
      <w:r w:rsidRPr="00124B71">
        <w:rPr>
          <w:rFonts w:cs="Times New Roman"/>
        </w:rPr>
        <w:t>Financing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is </w:t>
      </w:r>
      <w:r w:rsidR="005D10A6" w:rsidRPr="00124B71">
        <w:rPr>
          <w:rFonts w:cs="Times New Roman"/>
        </w:rPr>
        <w:t>determined</w:t>
      </w:r>
      <w:r w:rsidRPr="00124B71">
        <w:rPr>
          <w:rFonts w:cs="Times New Roman"/>
        </w:rPr>
        <w:t xml:space="preserve"> by the</w:t>
      </w:r>
      <w:r w:rsidR="005D10A6" w:rsidRPr="00124B71">
        <w:rPr>
          <w:rFonts w:cs="Times New Roman"/>
        </w:rPr>
        <w:t xml:space="preserve"> terms of the</w:t>
      </w:r>
      <w:r w:rsidRPr="00124B71">
        <w:rPr>
          <w:rFonts w:cs="Times New Roman"/>
        </w:rPr>
        <w:t xml:space="preserve"> loan. With a conventionally amortizing mortgage, a portion of the payment each month goes toward paying down the loan balance. As this loan balance decreases, the owner’s equity increases. This is a substantial long-term benefit of home ownership. With an interest-only mortgage, the loan balance does not decrease because only the interest is paid with each payment. With this kind of loan, there is no financing equity. One of the major drawbacks of using an interest-only loan does not become apparent until the house is sold and the seller wants to take the equity to the next home in a move-up</w:t>
      </w:r>
      <w:r w:rsidR="001858B5">
        <w:rPr>
          <w:rFonts w:cs="Times New Roman"/>
        </w:rPr>
        <w:fldChar w:fldCharType="begin"/>
      </w:r>
      <w:r w:rsidR="00FA2AEF">
        <w:instrText xml:space="preserve"> XE "</w:instrText>
      </w:r>
      <w:r w:rsidR="00FA2AEF" w:rsidRPr="003772E0">
        <w:rPr>
          <w:rFonts w:cs="Times New Roman"/>
        </w:rPr>
        <w:instrText>move-up</w:instrText>
      </w:r>
      <w:r w:rsidR="00FA2AEF">
        <w:instrText xml:space="preserve">" </w:instrText>
      </w:r>
      <w:r w:rsidR="001858B5">
        <w:rPr>
          <w:rFonts w:cs="Times New Roman"/>
        </w:rPr>
        <w:fldChar w:fldCharType="end"/>
      </w:r>
      <w:r w:rsidRPr="00124B71">
        <w:rPr>
          <w:rFonts w:cs="Times New Roman"/>
        </w:rPr>
        <w:t>. Since no financing equity has accumulated, the seller obtains less equity in the transaction. This means the move-up buyer will be able to afford less. Over the short-term, financing equity is not significant because the loan balance is not paid down by a large amount, but if the house has been held for 10 years or more, or if the loan was amortized over a shorter term, the financing equity can be a large amount. This can make a real difference when the total equity amount is to be put toward a larger, more expensive home. Also, financing equity is a great reservoir for retirement savings</w:t>
      </w:r>
      <w:r w:rsidR="001858B5">
        <w:rPr>
          <w:rFonts w:cs="Times New Roman"/>
        </w:rPr>
        <w:fldChar w:fldCharType="begin"/>
      </w:r>
      <w:r w:rsidR="00FA2AEF">
        <w:instrText xml:space="preserve"> XE "</w:instrText>
      </w:r>
      <w:r w:rsidR="00FA2AEF" w:rsidRPr="0027527E">
        <w:rPr>
          <w:rFonts w:cs="Times New Roman"/>
        </w:rPr>
        <w:instrText>retirement savings</w:instrText>
      </w:r>
      <w:r w:rsidR="00FA2AEF">
        <w:instrText xml:space="preserve">" </w:instrText>
      </w:r>
      <w:r w:rsidR="001858B5">
        <w:rPr>
          <w:rFonts w:cs="Times New Roman"/>
        </w:rPr>
        <w:fldChar w:fldCharType="end"/>
      </w:r>
      <w:r w:rsidRPr="00124B71">
        <w:rPr>
          <w:rFonts w:cs="Times New Roman"/>
        </w:rPr>
        <w:t>. In fact, it is the primary mechanism for retirement savings of most Americans</w:t>
      </w:r>
      <w:r w:rsidR="00F24C33" w:rsidRPr="00124B71">
        <w:rPr>
          <w:rFonts w:cs="Times New Roman"/>
        </w:rPr>
        <w:t xml:space="preserve"> outside of social security</w:t>
      </w:r>
      <w:r w:rsidR="007F792C" w:rsidRPr="00124B71">
        <w:rPr>
          <w:rFonts w:cs="Times New Roman"/>
        </w:rPr>
        <w:t>.</w:t>
      </w:r>
      <w:r w:rsidR="00774601" w:rsidRPr="00124B71">
        <w:rPr>
          <w:rFonts w:cs="Times New Roman"/>
        </w:rPr>
        <w:t xml:space="preserve"> </w:t>
      </w:r>
      <w:r w:rsidR="00F24C33" w:rsidRPr="00124B71">
        <w:rPr>
          <w:rStyle w:val="EndnoteReference"/>
          <w:rFonts w:cs="Times New Roman"/>
        </w:rPr>
        <w:endnoteReference w:id="31"/>
      </w:r>
    </w:p>
    <w:p w14:paraId="38D61652" w14:textId="77777777" w:rsidR="00240C86" w:rsidRPr="00124B71" w:rsidRDefault="00240C86" w:rsidP="00A56E02">
      <w:pPr>
        <w:rPr>
          <w:rFonts w:cs="Times New Roman"/>
        </w:rPr>
      </w:pPr>
      <w:r w:rsidRPr="00124B71">
        <w:rPr>
          <w:rFonts w:cs="Times New Roman"/>
        </w:rPr>
        <w:t>The worst possible loan is the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\t "</w:instrText>
      </w:r>
      <w:r w:rsidR="003852DB" w:rsidRPr="00366FE4">
        <w:rPr>
          <w:rFonts w:asciiTheme="minorHAnsi" w:hAnsiTheme="minorHAnsi"/>
          <w:i/>
        </w:rPr>
        <w:instrText>See</w:instrText>
      </w:r>
      <w:r w:rsidR="003852DB" w:rsidRPr="00366FE4">
        <w:rPr>
          <w:rFonts w:asciiTheme="minorHAnsi" w:hAnsiTheme="minorHAnsi"/>
        </w:rPr>
        <w:instrText xml:space="preserve"> Option ARM</w:instrText>
      </w:r>
      <w:r w:rsidR="003852DB">
        <w:instrText xml:space="preserve">" </w:instrText>
      </w:r>
      <w:r w:rsidR="001858B5">
        <w:rPr>
          <w:rFonts w:cs="Times New Roman"/>
        </w:rPr>
        <w:fldChar w:fldCharType="end"/>
      </w:r>
      <w:r w:rsidRPr="00124B71">
        <w:rPr>
          <w:rFonts w:cs="Times New Roman"/>
        </w:rPr>
        <w:t xml:space="preserve"> loan because of its impact on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As noted in the </w:t>
      </w:r>
      <w:r w:rsidR="00E46941">
        <w:rPr>
          <w:rFonts w:cs="Times New Roman"/>
        </w:rPr>
        <w:t>figure</w:t>
      </w:r>
      <w:r w:rsidRPr="00124B71">
        <w:rPr>
          <w:rFonts w:cs="Times New Roman"/>
        </w:rPr>
        <w:t xml:space="preserve"> </w:t>
      </w:r>
      <w:r w:rsidR="00F0186F">
        <w:rPr>
          <w:rFonts w:cs="Times New Roman"/>
        </w:rPr>
        <w:t>on the next page</w:t>
      </w:r>
      <w:r w:rsidRPr="00124B71">
        <w:rPr>
          <w:rFonts w:cs="Times New Roman"/>
        </w:rPr>
        <w:t xml:space="preserve">, if a negative amortization loan is utilized, it will consume all equity in its path. It is a form of cash-out </w:t>
      </w:r>
      <w:r w:rsidRPr="00124B71">
        <w:rPr>
          <w:rFonts w:cs="Times New Roman"/>
        </w:rPr>
        <w:lastRenderedPageBreak/>
        <w:t>financing that reduces equity. This loan relies on inflation and speculative equity to have any equity at all. The negative amortization loan will only begin to build financing equity after the loan recasts and becomes a fully-amortized loan and the payments skyrocket</w:t>
      </w:r>
      <w:r w:rsidR="007C469A">
        <w:rPr>
          <w:rFonts w:cs="Times New Roman"/>
        </w:rPr>
        <w:t>–</w:t>
      </w:r>
      <w:r w:rsidRPr="00124B71">
        <w:rPr>
          <w:rFonts w:cs="Times New Roman"/>
        </w:rPr>
        <w:t>assuming the borrower does not default. Most people cannot afford the fully-amortized payment, or they probably would not have used this form of financing initially. Even after the recast and the dramatic increase in payments, the loan does not get back to the original balance for many years.</w:t>
      </w:r>
    </w:p>
    <w:p w14:paraId="08231126" w14:textId="33BF9CA6" w:rsidR="00E13E87" w:rsidRPr="00EF0EDA" w:rsidRDefault="00CF05FE" w:rsidP="00E13E87">
      <w:pPr>
        <w:pStyle w:val="Caption"/>
      </w:pPr>
      <w:bookmarkStart w:id="38" w:name="_Toc238867448"/>
      <w:r>
        <w:t>Figure</w:t>
      </w:r>
      <w:r w:rsidR="00E13E87" w:rsidRPr="00EF0EDA">
        <w:t xml:space="preserve"> </w:t>
      </w:r>
      <w:fldSimple w:instr=" SEQ Figure \* ARABIC ">
        <w:r w:rsidR="00493733">
          <w:rPr>
            <w:noProof/>
          </w:rPr>
          <w:t>7</w:t>
        </w:r>
      </w:fldSimple>
      <w:r w:rsidR="00317936">
        <w:t xml:space="preserve">: </w:t>
      </w:r>
      <w:r w:rsidR="00E13E87" w:rsidRPr="00EF0EDA">
        <w:t>Negative Amortization Loan Equity Curve</w:t>
      </w:r>
      <w:bookmarkEnd w:id="38"/>
    </w:p>
    <w:p w14:paraId="44558B9D" w14:textId="77777777" w:rsidR="004F5523" w:rsidRPr="00EF0EDA" w:rsidRDefault="000031C7" w:rsidP="00A56E02">
      <w:pPr>
        <w:pStyle w:val="Graphics"/>
      </w:pPr>
      <w:r>
        <w:drawing>
          <wp:inline distT="0" distB="0" distL="0" distR="0" wp14:anchorId="4828A88A" wp14:editId="5AD69D02">
            <wp:extent cx="3657600" cy="3026664"/>
            <wp:effectExtent l="19050" t="0" r="0" b="0"/>
            <wp:docPr id="5" name="Picture 4" descr="Negative Amortization Loan Equity Cu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gative Amortization Loan Equity Curve.jpg"/>
                    <pic:cNvPicPr/>
                  </pic:nvPicPr>
                  <pic:blipFill>
                    <a:blip r:embed="rId33"/>
                    <a:stretch>
                      <a:fillRect/>
                    </a:stretch>
                  </pic:blipFill>
                  <pic:spPr>
                    <a:xfrm>
                      <a:off x="0" y="0"/>
                      <a:ext cx="3657600" cy="3026664"/>
                    </a:xfrm>
                    <a:prstGeom prst="rect">
                      <a:avLst/>
                    </a:prstGeom>
                  </pic:spPr>
                </pic:pic>
              </a:graphicData>
            </a:graphic>
          </wp:inline>
        </w:drawing>
      </w:r>
    </w:p>
    <w:p w14:paraId="20D9D157" w14:textId="77777777" w:rsidR="004F5523" w:rsidRPr="00EF0EDA" w:rsidRDefault="004F5523" w:rsidP="004F5523">
      <w:pPr>
        <w:pStyle w:val="Heading3"/>
      </w:pPr>
      <w:bookmarkStart w:id="39" w:name="_Toc238867286"/>
      <w:r w:rsidRPr="00EF0EDA">
        <w:t>Inflation</w:t>
      </w:r>
      <w:r w:rsidR="001858B5">
        <w:fldChar w:fldCharType="begin"/>
      </w:r>
      <w:r w:rsidR="00E84A0F">
        <w:instrText xml:space="preserve"> XE "</w:instrText>
      </w:r>
      <w:r w:rsidR="00E84A0F" w:rsidRPr="00725B11">
        <w:rPr>
          <w:rFonts w:cs="Times New Roman"/>
        </w:rPr>
        <w:instrText>Inflation</w:instrText>
      </w:r>
      <w:r w:rsidR="00E84A0F">
        <w:instrText xml:space="preserve">" </w:instrText>
      </w:r>
      <w:r w:rsidR="001858B5">
        <w:fldChar w:fldCharType="end"/>
      </w:r>
      <w:r w:rsidRPr="00EF0EDA">
        <w:t xml:space="preserve"> Equity</w:t>
      </w:r>
      <w:bookmarkEnd w:id="39"/>
    </w:p>
    <w:p w14:paraId="5F40BF22" w14:textId="77777777" w:rsidR="004F5523" w:rsidRPr="00124B71" w:rsidRDefault="004F5523" w:rsidP="00A56E02">
      <w:pPr>
        <w:rPr>
          <w:rFonts w:cs="Times New Roman"/>
        </w:rPr>
      </w:pPr>
      <w:r w:rsidRPr="00124B71">
        <w:rPr>
          <w:rFonts w:cs="Times New Roman"/>
        </w:rPr>
        <w:t>House prices historically have outpaced inflation by 0.7% nationally</w:t>
      </w:r>
      <w:r w:rsidR="007F792C" w:rsidRPr="00124B71">
        <w:rPr>
          <w:rFonts w:cs="Times New Roman"/>
        </w:rPr>
        <w:t>.</w:t>
      </w:r>
      <w:r w:rsidR="00774601" w:rsidRPr="00124B71">
        <w:rPr>
          <w:rFonts w:cs="Times New Roman"/>
        </w:rPr>
        <w:t xml:space="preserve"> </w:t>
      </w:r>
      <w:r w:rsidR="001809EA" w:rsidRPr="00124B71">
        <w:rPr>
          <w:rStyle w:val="EndnoteReference"/>
          <w:rFonts w:cs="Times New Roman"/>
        </w:rPr>
        <w:endnoteReference w:id="32"/>
      </w:r>
      <w:r w:rsidRPr="00124B71">
        <w:rPr>
          <w:rFonts w:cs="Times New Roman"/>
        </w:rPr>
        <w:t xml:space="preserve"> In a normal market, this is the only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homeowners obtain. This appreciation is caused by wage inflation translating into higher housing payments and the ability of borrowers to obtain larger loan amounts to bid up prices. In areas like Irvine</w:t>
      </w:r>
      <w:r w:rsidR="0083728B" w:rsidRPr="00124B71">
        <w:rPr>
          <w:rFonts w:cs="Times New Roman"/>
        </w:rPr>
        <w:t>, California,</w:t>
      </w:r>
      <w:r w:rsidRPr="00124B71">
        <w:rPr>
          <w:rFonts w:cs="Times New Roman"/>
        </w:rPr>
        <w:t xml:space="preserve"> where wage growth has outpaced the general rate of inflation, the fundamental valuation of houses has increased faster than inflation</w:t>
      </w:r>
      <w:r w:rsidR="0083728B" w:rsidRPr="00124B71">
        <w:rPr>
          <w:rFonts w:cs="Times New Roman"/>
        </w:rPr>
        <w:t>.</w:t>
      </w:r>
      <w:r w:rsidRPr="00124B71">
        <w:rPr>
          <w:rFonts w:cs="Times New Roman"/>
        </w:rPr>
        <w:t xml:space="preserve"> The related benefit to home ownership obtained through utilizing a fixed-rate, conventionally-amortizing mortgage is mortgage payments are frozen and the cost of housing does not increase with inflation. Renters must contend with ever-increasing rents while homeowners with the proper financing do not face escalating housing costs. Over the short term this is not significant, but over the long term, the monthly savings accruing to owners can be very sizable, and if the owner owns long enough or downsizes later in life, </w:t>
      </w:r>
      <w:r w:rsidRPr="00124B71">
        <w:rPr>
          <w:rFonts w:cs="Times New Roman"/>
        </w:rPr>
        <w:lastRenderedPageBreak/>
        <w:t>housing costs can be nearly eliminated when a mortgage is paid off (except for taxes, insurance and upkeep</w:t>
      </w:r>
      <w:r w:rsidR="00A40CA5" w:rsidRPr="00124B71">
        <w:rPr>
          <w:rFonts w:cs="Times New Roman"/>
        </w:rPr>
        <w:t>).</w:t>
      </w:r>
      <w:r w:rsidRPr="00124B71">
        <w:rPr>
          <w:rFonts w:cs="Times New Roman"/>
        </w:rPr>
        <w:t xml:space="preserve"> Although this benefit is attractive, it is not worth paying much of a premium to obtain. The long-term benefit is quickly negated if there is a short-term additional cost associated with obtaining it. For instance, if a property can be rented for a certain amount today, and this amount will increase by 3% over 30 years, the total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007C469A">
        <w:rPr>
          <w:rFonts w:cs="Times New Roman"/>
        </w:rPr>
        <w:t>–</w:t>
      </w:r>
      <w:r w:rsidRPr="00124B71">
        <w:rPr>
          <w:rFonts w:cs="Times New Roman"/>
        </w:rPr>
        <w:t>even when fixed</w:t>
      </w:r>
      <w:r w:rsidR="007C469A">
        <w:rPr>
          <w:rFonts w:cs="Times New Roman"/>
        </w:rPr>
        <w:t>–</w:t>
      </w:r>
      <w:r w:rsidRPr="00124B71">
        <w:rPr>
          <w:rFonts w:cs="Times New Roman"/>
        </w:rPr>
        <w:t>cannot exceed this figure by more than 10% to break even over 30 years. The shorter the holding time, the less this premium is worth. In short, capturing the benefit of inflation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requires a long holding period and a minimal ownership premium.</w:t>
      </w:r>
    </w:p>
    <w:p w14:paraId="51F174F6" w14:textId="77777777" w:rsidR="004F5523" w:rsidRPr="00EF0EDA" w:rsidRDefault="004F5523" w:rsidP="004F5523">
      <w:pPr>
        <w:pStyle w:val="Heading3"/>
      </w:pPr>
      <w:bookmarkStart w:id="40" w:name="_Toc238867287"/>
      <w:r w:rsidRPr="00EF0EDA">
        <w:t>Speculative Equity</w:t>
      </w:r>
      <w:bookmarkEnd w:id="40"/>
      <w:r w:rsidR="001858B5">
        <w:fldChar w:fldCharType="begin"/>
      </w:r>
      <w:r w:rsidR="003852DB">
        <w:instrText xml:space="preserve"> XE "</w:instrText>
      </w:r>
      <w:r w:rsidR="003852DB" w:rsidRPr="00BB7DB3">
        <w:rPr>
          <w:rFonts w:cs="Times New Roman"/>
        </w:rPr>
        <w:instrText>Speculative Equity</w:instrText>
      </w:r>
      <w:r w:rsidR="003852DB">
        <w:instrText xml:space="preserve">" </w:instrText>
      </w:r>
      <w:r w:rsidR="001858B5">
        <w:fldChar w:fldCharType="end"/>
      </w:r>
    </w:p>
    <w:p w14:paraId="3720D3A4" w14:textId="77777777" w:rsidR="000E6437" w:rsidRPr="00124B71" w:rsidRDefault="004F5523" w:rsidP="000E6437">
      <w:pPr>
        <w:rPr>
          <w:rFonts w:cs="Times New Roman"/>
        </w:rPr>
      </w:pPr>
      <w:r w:rsidRPr="00124B71">
        <w:rPr>
          <w:rFonts w:cs="Times New Roman"/>
        </w:rPr>
        <w:t>Speculative Equity</w:t>
      </w:r>
      <w:r w:rsidR="001858B5">
        <w:rPr>
          <w:rFonts w:cs="Times New Roman"/>
        </w:rPr>
        <w:fldChar w:fldCharType="begin"/>
      </w:r>
      <w:r w:rsidR="003852DB">
        <w:instrText xml:space="preserve"> XE "</w:instrText>
      </w:r>
      <w:r w:rsidR="003852DB" w:rsidRPr="00BB7DB3">
        <w:rPr>
          <w:rFonts w:cs="Times New Roman"/>
        </w:rPr>
        <w:instrText>Speculative Equity</w:instrText>
      </w:r>
      <w:r w:rsidR="003852DB">
        <w:instrText xml:space="preserve">" </w:instrText>
      </w:r>
      <w:r w:rsidR="001858B5">
        <w:rPr>
          <w:rFonts w:cs="Times New Roman"/>
        </w:rPr>
        <w:fldChar w:fldCharType="end"/>
      </w:r>
      <w:r w:rsidRPr="00124B71">
        <w:rPr>
          <w:rFonts w:cs="Times New Roman"/>
        </w:rPr>
        <w:t xml:space="preserve"> is purely a function of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007F792C" w:rsidRPr="00124B71">
        <w:rPr>
          <w:rFonts w:cs="Times New Roman"/>
        </w:rPr>
        <w:t>.</w:t>
      </w:r>
      <w:r w:rsidR="00215CB0" w:rsidRPr="00124B71">
        <w:rPr>
          <w:rFonts w:cs="Times New Roman"/>
        </w:rPr>
        <w:t xml:space="preserve"> </w:t>
      </w:r>
      <w:r w:rsidR="00F24C33" w:rsidRPr="00124B71">
        <w:rPr>
          <w:rStyle w:val="EndnoteReference"/>
          <w:rFonts w:cs="Times New Roman"/>
        </w:rPr>
        <w:endnoteReference w:id="33"/>
      </w:r>
      <w:r w:rsidRPr="00124B71">
        <w:rPr>
          <w:rFonts w:cs="Times New Roman"/>
        </w:rPr>
        <w:t xml:space="preserve"> It has become a common element in certain markets, and capturing it is the dream of every would-be speculator who buys residential real estate. </w:t>
      </w:r>
      <w:r w:rsidR="003614DD" w:rsidRPr="00124B71">
        <w:rPr>
          <w:rFonts w:cs="Times New Roman"/>
        </w:rPr>
        <w:t>I</w:t>
      </w:r>
      <w:r w:rsidRPr="00124B71">
        <w:rPr>
          <w:rFonts w:cs="Times New Roman"/>
        </w:rPr>
        <w:t>t is a loser</w:t>
      </w:r>
      <w:r w:rsidR="003614DD" w:rsidRPr="00124B71">
        <w:rPr>
          <w:rFonts w:cs="Times New Roman"/>
        </w:rPr>
        <w:t>’</w:t>
      </w:r>
      <w:r w:rsidRPr="00124B71">
        <w:rPr>
          <w:rFonts w:cs="Times New Roman"/>
        </w:rPr>
        <w:t>s game, but it does not stop people from chasing after it. Will the</w:t>
      </w:r>
      <w:r w:rsidR="003614DD" w:rsidRPr="00124B71">
        <w:rPr>
          <w:rFonts w:cs="Times New Roman"/>
        </w:rPr>
        <w:t xml:space="preserve"> markets bubble again?</w:t>
      </w:r>
      <w:r w:rsidRPr="00124B71">
        <w:rPr>
          <w:rFonts w:cs="Times New Roman"/>
        </w:rPr>
        <w:t xml:space="preserve"> Who knows? Human nature being what it is, the delusive beliefs of irrational exuberance may take root and the cycle may continue. In the aftermath of the Great Housing Bubble legislators may pass laws from preventing it from happening again. Of course, such laws require enforcement, and when greed takes hold, enforcement may simply not occur. For those that purchased at the peak of the bubble, they need another bubble or they </w:t>
      </w:r>
      <w:r w:rsidR="00C54580" w:rsidRPr="00124B71">
        <w:rPr>
          <w:rFonts w:cs="Times New Roman"/>
        </w:rPr>
        <w:t>may</w:t>
      </w:r>
      <w:r w:rsidRPr="00124B71">
        <w:rPr>
          <w:rFonts w:cs="Times New Roman"/>
        </w:rPr>
        <w:t xml:space="preserve"> not get back to breakeven in the next 20</w:t>
      </w:r>
      <w:r w:rsidR="00C54580" w:rsidRPr="00124B71">
        <w:rPr>
          <w:rFonts w:cs="Times New Roman"/>
        </w:rPr>
        <w:t xml:space="preserve"> to 30</w:t>
      </w:r>
      <w:r w:rsidRPr="00124B71">
        <w:rPr>
          <w:rFonts w:cs="Times New Roman"/>
        </w:rPr>
        <w:t xml:space="preserve"> years</w:t>
      </w:r>
      <w:r w:rsidR="00215CB0" w:rsidRPr="00124B71">
        <w:rPr>
          <w:rFonts w:cs="Times New Roman"/>
        </w:rPr>
        <w:t xml:space="preserve">. </w:t>
      </w:r>
      <w:r w:rsidR="00C54580" w:rsidRPr="00124B71">
        <w:rPr>
          <w:rStyle w:val="EndnoteReference"/>
          <w:rFonts w:cs="Times New Roman"/>
        </w:rPr>
        <w:endnoteReference w:id="34"/>
      </w:r>
      <w:r w:rsidRPr="00124B71">
        <w:rPr>
          <w:rFonts w:cs="Times New Roman"/>
        </w:rPr>
        <w:t xml:space="preserve"> If however, there is another bubble, those who purchased at rental equivalent value</w:t>
      </w:r>
      <w:r w:rsidR="001858B5">
        <w:rPr>
          <w:rFonts w:cs="Times New Roman"/>
        </w:rPr>
        <w:fldChar w:fldCharType="begin"/>
      </w:r>
      <w:r w:rsidR="00FF74AC">
        <w:instrText xml:space="preserve"> XE "</w:instrText>
      </w:r>
      <w:r w:rsidR="00FF74AC" w:rsidRPr="002A5D8B">
        <w:rPr>
          <w:rFonts w:cs="Times New Roman"/>
        </w:rPr>
        <w:instrText>rental equivalent value</w:instrText>
      </w:r>
      <w:r w:rsidR="00FF74AC">
        <w:instrText xml:space="preserve">" </w:instrText>
      </w:r>
      <w:r w:rsidR="001858B5">
        <w:rPr>
          <w:rFonts w:cs="Times New Roman"/>
        </w:rPr>
        <w:fldChar w:fldCharType="end"/>
      </w:r>
      <w:r w:rsidRPr="00124B71">
        <w:rPr>
          <w:rFonts w:cs="Times New Roman"/>
        </w:rPr>
        <w:t xml:space="preserve"> after the crash will have an opportunity to reap a huge windfall at the expense of those who purchase at inflated prices in the future. As PT Barnum </w:t>
      </w:r>
      <w:r w:rsidR="0083728B" w:rsidRPr="00124B71">
        <w:rPr>
          <w:rFonts w:cs="Times New Roman"/>
        </w:rPr>
        <w:t>is credited with saying</w:t>
      </w:r>
      <w:r w:rsidRPr="00124B71">
        <w:rPr>
          <w:rFonts w:cs="Times New Roman"/>
        </w:rPr>
        <w:t>, “There is a sucker born every minute.”</w:t>
      </w:r>
      <w:r w:rsidR="00215CB0" w:rsidRPr="00124B71">
        <w:rPr>
          <w:rFonts w:cs="Times New Roman"/>
        </w:rPr>
        <w:t xml:space="preserve"> </w:t>
      </w:r>
      <w:r w:rsidR="0083728B" w:rsidRPr="00124B71">
        <w:rPr>
          <w:rStyle w:val="EndnoteReference"/>
          <w:rFonts w:cs="Times New Roman"/>
        </w:rPr>
        <w:endnoteReference w:id="35"/>
      </w:r>
      <w:r w:rsidR="000E6437" w:rsidRPr="00124B71">
        <w:rPr>
          <w:rFonts w:cs="Times New Roman"/>
        </w:rPr>
        <w:t xml:space="preserve"> </w:t>
      </w:r>
    </w:p>
    <w:p w14:paraId="0163FEFE" w14:textId="77777777" w:rsidR="000E6437" w:rsidRPr="00124B71" w:rsidRDefault="000E6437" w:rsidP="000E6437">
      <w:pPr>
        <w:rPr>
          <w:rFonts w:cs="Times New Roman"/>
        </w:rPr>
      </w:pPr>
      <w:r w:rsidRPr="00124B71">
        <w:rPr>
          <w:rFonts w:cs="Times New Roman"/>
        </w:rPr>
        <w:t xml:space="preserve">The speculators who purchased at the peak of </w:t>
      </w:r>
      <w:r w:rsidR="001A34D5">
        <w:rPr>
          <w:rFonts w:cs="Times New Roman"/>
        </w:rPr>
        <w:t>the Great Housing Bubble</w:t>
      </w:r>
      <w:r w:rsidRPr="00124B71">
        <w:rPr>
          <w:rFonts w:cs="Times New Roman"/>
        </w:rPr>
        <w:t xml:space="preserve"> who put no money down (no Initial Equity</w:t>
      </w:r>
      <w:r w:rsidR="001858B5">
        <w:rPr>
          <w:rFonts w:cs="Times New Roman"/>
        </w:rPr>
        <w:fldChar w:fldCharType="begin"/>
      </w:r>
      <w:r w:rsidR="003852DB">
        <w:instrText xml:space="preserve"> XE "</w:instrText>
      </w:r>
      <w:r w:rsidR="003852DB" w:rsidRPr="004F4F53">
        <w:rPr>
          <w:rFonts w:cs="Times New Roman"/>
        </w:rPr>
        <w:instrText>Initial Equity</w:instrText>
      </w:r>
      <w:r w:rsidR="003852DB">
        <w:instrText xml:space="preserve">" </w:instrText>
      </w:r>
      <w:r w:rsidR="001858B5">
        <w:rPr>
          <w:rFonts w:cs="Times New Roman"/>
        </w:rPr>
        <w:fldChar w:fldCharType="end"/>
      </w:r>
      <w:r w:rsidRPr="00124B71">
        <w:rPr>
          <w:rFonts w:cs="Times New Roman"/>
        </w:rPr>
        <w:t>) and utilized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loans</w:t>
      </w:r>
      <w:r w:rsidR="007C469A">
        <w:rPr>
          <w:rFonts w:cs="Times New Roman"/>
        </w:rPr>
        <w:t>–</w:t>
      </w:r>
      <w:r w:rsidRPr="00124B71">
        <w:rPr>
          <w:rFonts w:cs="Times New Roman"/>
        </w:rPr>
        <w:t>and there were a great many of these people</w:t>
      </w:r>
      <w:r w:rsidR="007C469A">
        <w:rPr>
          <w:rFonts w:cs="Times New Roman"/>
        </w:rPr>
        <w:t>–</w:t>
      </w:r>
      <w:r w:rsidRPr="00124B71">
        <w:rPr>
          <w:rFonts w:cs="Times New Roman"/>
        </w:rPr>
        <w:t>will have a painful future. The loan balance will be increasing at a time when resale home prices are falling. They will be so far underwater; they will need scuba equipment to survive. Plus, during the worst of their nightmare, their loan will recast, and they will be asked to make a huge payment on a property worth roughly half their loan balance. What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Pr="00124B71">
        <w:rPr>
          <w:rFonts w:cs="Times New Roman"/>
        </w:rPr>
        <w:t xml:space="preserve"> will these loans see? Realistically, they will all default. The only reason they purchased was to capture speculative profits which did not materialize. Even if some of these people hold on, and there is another speculative bubble similar to the last one, it will take 10 years or more for them to get back to breakeven, not including their carry costs. If there is no ensuing bubble, it will be 20 years. If you factor in their holding costs, they may never get back to breakeven.</w:t>
      </w:r>
    </w:p>
    <w:p w14:paraId="743A0387" w14:textId="77777777" w:rsidR="000E6437" w:rsidRPr="00124B71" w:rsidRDefault="000E6437" w:rsidP="000E6437">
      <w:pPr>
        <w:rPr>
          <w:rFonts w:cs="Times New Roman"/>
        </w:rPr>
      </w:pPr>
      <w:r w:rsidRPr="00124B71">
        <w:rPr>
          <w:rFonts w:cs="Times New Roman"/>
        </w:rPr>
        <w:t>Equity is made up of several component parts: Initial Equity</w:t>
      </w:r>
      <w:r w:rsidR="001858B5">
        <w:rPr>
          <w:rFonts w:cs="Times New Roman"/>
        </w:rPr>
        <w:fldChar w:fldCharType="begin"/>
      </w:r>
      <w:r w:rsidR="003852DB">
        <w:instrText xml:space="preserve"> XE "</w:instrText>
      </w:r>
      <w:r w:rsidR="003852DB" w:rsidRPr="004F4F53">
        <w:rPr>
          <w:rFonts w:cs="Times New Roman"/>
        </w:rPr>
        <w:instrText>Initial Equity</w:instrText>
      </w:r>
      <w:r w:rsidR="003852DB">
        <w:instrText xml:space="preserve">" </w:instrText>
      </w:r>
      <w:r w:rsidR="001858B5">
        <w:rPr>
          <w:rFonts w:cs="Times New Roman"/>
        </w:rPr>
        <w:fldChar w:fldCharType="end"/>
      </w:r>
      <w:r w:rsidRPr="00124B71">
        <w:rPr>
          <w:rFonts w:cs="Times New Roman"/>
        </w:rPr>
        <w:t>, Financing Equity, Inflation</w:t>
      </w:r>
      <w:r w:rsidR="001858B5">
        <w:rPr>
          <w:rFonts w:cs="Times New Roman"/>
        </w:rPr>
        <w:fldChar w:fldCharType="begin"/>
      </w:r>
      <w:r w:rsidR="00E84A0F">
        <w:instrText xml:space="preserve"> XE "</w:instrText>
      </w:r>
      <w:r w:rsidR="00E84A0F" w:rsidRPr="00725B11">
        <w:rPr>
          <w:rFonts w:cs="Times New Roman"/>
        </w:rPr>
        <w:instrText>Inflation</w:instrText>
      </w:r>
      <w:r w:rsidR="00E84A0F">
        <w:instrText xml:space="preserve">" </w:instrText>
      </w:r>
      <w:r w:rsidR="001858B5">
        <w:rPr>
          <w:rFonts w:cs="Times New Roman"/>
        </w:rPr>
        <w:fldChar w:fldCharType="end"/>
      </w:r>
      <w:r w:rsidRPr="00124B71">
        <w:rPr>
          <w:rFonts w:cs="Times New Roman"/>
        </w:rPr>
        <w:t xml:space="preserve"> Equity, and Speculative Equity</w:t>
      </w:r>
      <w:r w:rsidR="001858B5">
        <w:rPr>
          <w:rFonts w:cs="Times New Roman"/>
        </w:rPr>
        <w:fldChar w:fldCharType="begin"/>
      </w:r>
      <w:r w:rsidR="003852DB">
        <w:instrText xml:space="preserve"> XE "</w:instrText>
      </w:r>
      <w:r w:rsidR="003852DB" w:rsidRPr="00BB7DB3">
        <w:rPr>
          <w:rFonts w:cs="Times New Roman"/>
        </w:rPr>
        <w:instrText>Speculative Equity</w:instrText>
      </w:r>
      <w:r w:rsidR="003852DB">
        <w:instrText xml:space="preserve">" </w:instrText>
      </w:r>
      <w:r w:rsidR="001858B5">
        <w:rPr>
          <w:rFonts w:cs="Times New Roman"/>
        </w:rPr>
        <w:fldChar w:fldCharType="end"/>
      </w:r>
      <w:r w:rsidRPr="00124B71">
        <w:rPr>
          <w:rFonts w:cs="Times New Roman"/>
        </w:rPr>
        <w:t xml:space="preserve">. Each of these components has different characteristics and different forces that govern how they rise and fall. It is important to understand these components to make wise decisions on </w:t>
      </w:r>
      <w:r w:rsidRPr="00124B71">
        <w:rPr>
          <w:rFonts w:cs="Times New Roman"/>
        </w:rPr>
        <w:lastRenderedPageBreak/>
        <w:t>when to buy, how much to buy, and how to finance it. Failing to understand the dynamics involved can lead to an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w:t>
      </w:r>
      <w:r w:rsidR="00E46941">
        <w:rPr>
          <w:rFonts w:cs="Times New Roman"/>
        </w:rPr>
        <w:t>graph</w:t>
      </w:r>
      <w:r w:rsidRPr="00124B71">
        <w:rPr>
          <w:rFonts w:cs="Times New Roman"/>
        </w:rPr>
        <w:t xml:space="preserve"> like the one for the peak buyer who purchased at the wrong time and utilized the wrong terms. Nobody wants to suffer that fate.</w:t>
      </w:r>
    </w:p>
    <w:p w14:paraId="70A64728" w14:textId="77777777" w:rsidR="004F5523" w:rsidRPr="00124B71" w:rsidRDefault="004F5523" w:rsidP="00A56E02">
      <w:pPr>
        <w:rPr>
          <w:rFonts w:cs="Times New Roman"/>
        </w:rPr>
      </w:pPr>
    </w:p>
    <w:p w14:paraId="3604AB2A" w14:textId="1AAE5AFE" w:rsidR="00E13E87" w:rsidRPr="00EF0EDA" w:rsidRDefault="00CF05FE" w:rsidP="004A4FBF">
      <w:pPr>
        <w:pStyle w:val="Caption"/>
      </w:pPr>
      <w:bookmarkStart w:id="41" w:name="_Toc238867449"/>
      <w:r>
        <w:t>Figure</w:t>
      </w:r>
      <w:r w:rsidR="004A4FBF" w:rsidRPr="00EF0EDA">
        <w:t xml:space="preserve"> </w:t>
      </w:r>
      <w:fldSimple w:instr=" SEQ Figure \* ARABIC ">
        <w:r w:rsidR="00493733">
          <w:rPr>
            <w:noProof/>
          </w:rPr>
          <w:t>8</w:t>
        </w:r>
      </w:fldSimple>
      <w:r w:rsidR="00317936">
        <w:t xml:space="preserve">: </w:t>
      </w:r>
      <w:r w:rsidR="004A4FBF" w:rsidRPr="00EF0EDA">
        <w:t>Peak Buyer, No Downpayment, Negative Amortization Loan</w:t>
      </w:r>
      <w:bookmarkEnd w:id="41"/>
    </w:p>
    <w:p w14:paraId="6C2737CE" w14:textId="77777777" w:rsidR="004A4FBF" w:rsidRPr="00EF0EDA" w:rsidRDefault="00AD6CCE" w:rsidP="00A56E02">
      <w:pPr>
        <w:pStyle w:val="Graphics"/>
      </w:pPr>
      <w:r>
        <w:drawing>
          <wp:inline distT="0" distB="0" distL="0" distR="0" wp14:anchorId="76523EA0" wp14:editId="4C39655A">
            <wp:extent cx="3657600" cy="3026664"/>
            <wp:effectExtent l="19050" t="0" r="0" b="0"/>
            <wp:docPr id="73" name="Picture 72" descr="Equity Curve of Peak Buyer, No Downpayment, Negative Amortization Lo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ity Curve of Peak Buyer, No Downpayment, Negative Amortization Loan.jpg"/>
                    <pic:cNvPicPr/>
                  </pic:nvPicPr>
                  <pic:blipFill>
                    <a:blip r:embed="rId34"/>
                    <a:stretch>
                      <a:fillRect/>
                    </a:stretch>
                  </pic:blipFill>
                  <pic:spPr>
                    <a:xfrm>
                      <a:off x="0" y="0"/>
                      <a:ext cx="3657600" cy="3026664"/>
                    </a:xfrm>
                    <a:prstGeom prst="rect">
                      <a:avLst/>
                    </a:prstGeom>
                  </pic:spPr>
                </pic:pic>
              </a:graphicData>
            </a:graphic>
          </wp:inline>
        </w:drawing>
      </w:r>
    </w:p>
    <w:p w14:paraId="3794D9F7" w14:textId="77777777" w:rsidR="005734DF" w:rsidRPr="00EF0EDA" w:rsidRDefault="005734DF" w:rsidP="004E08E7">
      <w:pPr>
        <w:pStyle w:val="Heading2"/>
      </w:pPr>
      <w:bookmarkStart w:id="42" w:name="_Toc238867288"/>
      <w:r w:rsidRPr="00EF0EDA">
        <w:t>Mortgage Equity Withdrawal</w:t>
      </w:r>
      <w:bookmarkEnd w:id="42"/>
    </w:p>
    <w:p w14:paraId="647AA36F" w14:textId="77777777" w:rsidR="00C17C7F" w:rsidRPr="00124B71" w:rsidRDefault="00E65A76" w:rsidP="00037009">
      <w:pPr>
        <w:rPr>
          <w:rFonts w:cs="Times New Roman"/>
        </w:rPr>
      </w:pPr>
      <w:r w:rsidRPr="00124B71">
        <w:rPr>
          <w:rFonts w:cs="Times New Roman"/>
        </w:rPr>
        <w:t>Mortgage</w:t>
      </w:r>
      <w:r w:rsidR="00C17C7F" w:rsidRPr="00124B71">
        <w:rPr>
          <w:rFonts w:cs="Times New Roman"/>
        </w:rPr>
        <w:t xml:space="preserve"> Equity Withdrawal</w:t>
      </w:r>
      <w:r w:rsidR="001858B5">
        <w:rPr>
          <w:rFonts w:cs="Times New Roman"/>
        </w:rPr>
        <w:fldChar w:fldCharType="begin"/>
      </w:r>
      <w:r w:rsidR="00FA2AEF">
        <w:instrText xml:space="preserve"> XE "</w:instrText>
      </w:r>
      <w:r w:rsidR="00FA2AEF" w:rsidRPr="00A1533C">
        <w:rPr>
          <w:rFonts w:cs="Times New Roman"/>
        </w:rPr>
        <w:instrText>Mortgage Equity Withdrawal</w:instrText>
      </w:r>
      <w:r w:rsidR="00FA2AEF">
        <w:instrText>" \t "</w:instrText>
      </w:r>
      <w:r w:rsidR="00FA2AEF" w:rsidRPr="00C14882">
        <w:rPr>
          <w:rFonts w:asciiTheme="minorHAnsi" w:hAnsiTheme="minorHAnsi"/>
          <w:i/>
        </w:rPr>
        <w:instrText>See</w:instrText>
      </w:r>
      <w:r w:rsidR="00FA2AEF" w:rsidRPr="00C14882">
        <w:rPr>
          <w:rFonts w:asciiTheme="minorHAnsi" w:hAnsiTheme="minorHAnsi"/>
        </w:rPr>
        <w:instrText xml:space="preserve"> MEW</w:instrText>
      </w:r>
      <w:r w:rsidR="00FA2AEF">
        <w:instrText xml:space="preserve">" </w:instrText>
      </w:r>
      <w:r w:rsidR="001858B5">
        <w:rPr>
          <w:rFonts w:cs="Times New Roman"/>
        </w:rPr>
        <w:fldChar w:fldCharType="end"/>
      </w:r>
      <w:r w:rsidR="00C17C7F" w:rsidRPr="00124B71">
        <w:rPr>
          <w:rFonts w:cs="Times New Roman"/>
        </w:rPr>
        <w:t xml:space="preserve"> or MEW</w:t>
      </w:r>
      <w:r w:rsidR="001858B5">
        <w:rPr>
          <w:rFonts w:cs="Times New Roman"/>
        </w:rPr>
        <w:fldChar w:fldCharType="begin"/>
      </w:r>
      <w:r w:rsidR="00FA2AEF">
        <w:instrText xml:space="preserve"> XE "</w:instrText>
      </w:r>
      <w:r w:rsidR="00FA2AEF" w:rsidRPr="00686F21">
        <w:rPr>
          <w:rFonts w:cs="Times New Roman"/>
        </w:rPr>
        <w:instrText>MEW</w:instrText>
      </w:r>
      <w:r w:rsidR="00FA2AEF">
        <w:instrText xml:space="preserve">" </w:instrText>
      </w:r>
      <w:r w:rsidR="001858B5">
        <w:rPr>
          <w:rFonts w:cs="Times New Roman"/>
        </w:rPr>
        <w:fldChar w:fldCharType="end"/>
      </w:r>
      <w:r w:rsidR="00C17C7F" w:rsidRPr="00124B71">
        <w:rPr>
          <w:rFonts w:cs="Times New Roman"/>
        </w:rPr>
        <w:t xml:space="preserve"> is the process of obtaining cash through refinancing residential real estate using the accumulated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C17C7F" w:rsidRPr="00124B71">
        <w:rPr>
          <w:rFonts w:cs="Times New Roman"/>
        </w:rPr>
        <w:t xml:space="preserve"> as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00D325D6" w:rsidRPr="00124B71">
        <w:rPr>
          <w:rFonts w:cs="Times New Roman"/>
        </w:rPr>
        <w:t xml:space="preserve"> for the loan</w:t>
      </w:r>
      <w:r w:rsidR="00C17C7F" w:rsidRPr="00124B71">
        <w:rPr>
          <w:rFonts w:cs="Times New Roman"/>
        </w:rPr>
        <w:t>.</w:t>
      </w:r>
      <w:r w:rsidR="00D325D6" w:rsidRPr="00124B71">
        <w:rPr>
          <w:rFonts w:cs="Times New Roman"/>
        </w:rPr>
        <w:t xml:space="preserve"> Before MEW homeowner</w:t>
      </w:r>
      <w:r w:rsidR="009A5663" w:rsidRPr="00124B71">
        <w:rPr>
          <w:rFonts w:cs="Times New Roman"/>
        </w:rPr>
        <w:t>s</w:t>
      </w:r>
      <w:r w:rsidR="00D325D6" w:rsidRPr="00124B71">
        <w:rPr>
          <w:rFonts w:cs="Times New Roman"/>
        </w:rPr>
        <w:t xml:space="preserve"> would have to wait until the property was sold to get their equity converted to cash. Apparently, this was deemed an inefficient use of capital, so lenders found ways to “liberate” this equity with home equity lines of credit</w:t>
      </w:r>
      <w:r w:rsidR="001858B5">
        <w:rPr>
          <w:rFonts w:cs="Times New Roman"/>
        </w:rPr>
        <w:fldChar w:fldCharType="begin"/>
      </w:r>
      <w:r w:rsidR="00FA2AEF">
        <w:instrText xml:space="preserve"> XE "</w:instrText>
      </w:r>
      <w:r w:rsidR="00FA2AEF" w:rsidRPr="006C558D">
        <w:rPr>
          <w:rFonts w:cs="Times New Roman"/>
        </w:rPr>
        <w:instrText>home equity lines of credit</w:instrText>
      </w:r>
      <w:r w:rsidR="00FA2AEF">
        <w:instrText xml:space="preserve">" </w:instrText>
      </w:r>
      <w:r w:rsidR="001858B5">
        <w:rPr>
          <w:rFonts w:cs="Times New Roman"/>
        </w:rPr>
        <w:fldChar w:fldCharType="end"/>
      </w:r>
      <w:r w:rsidR="00D325D6" w:rsidRPr="00124B71">
        <w:rPr>
          <w:rFonts w:cs="Times New Roman"/>
        </w:rPr>
        <w:t xml:space="preserve"> or cash-out mortgage refinancing.</w:t>
      </w:r>
      <w:r w:rsidR="003C4905" w:rsidRPr="00124B71">
        <w:rPr>
          <w:rFonts w:cs="Times New Roman"/>
        </w:rPr>
        <w:t xml:space="preserve"> Home equity lines of credit are popular with lenders despite the additional risk of being in the second or third lien</w:t>
      </w:r>
      <w:r w:rsidR="001858B5">
        <w:rPr>
          <w:rFonts w:cs="Times New Roman"/>
        </w:rPr>
        <w:fldChar w:fldCharType="begin"/>
      </w:r>
      <w:r w:rsidR="00180E6F">
        <w:instrText xml:space="preserve"> XE "</w:instrText>
      </w:r>
      <w:r w:rsidR="00180E6F" w:rsidRPr="00502317">
        <w:rPr>
          <w:rFonts w:cs="Times New Roman"/>
        </w:rPr>
        <w:instrText>lien</w:instrText>
      </w:r>
      <w:r w:rsidR="00180E6F">
        <w:instrText xml:space="preserve">" </w:instrText>
      </w:r>
      <w:r w:rsidR="001858B5">
        <w:rPr>
          <w:rFonts w:cs="Times New Roman"/>
        </w:rPr>
        <w:fldChar w:fldCharType="end"/>
      </w:r>
      <w:r w:rsidR="003C4905" w:rsidRPr="00124B71">
        <w:rPr>
          <w:rFonts w:cs="Times New Roman"/>
        </w:rPr>
        <w:t xml:space="preserve"> position because borrowers are less likely to default or prepay than non-cash-out </w:t>
      </w:r>
      <w:r w:rsidR="007F792C" w:rsidRPr="00124B71">
        <w:rPr>
          <w:rFonts w:cs="Times New Roman"/>
        </w:rPr>
        <w:t>refinancing.</w:t>
      </w:r>
      <w:r w:rsidR="00215CB0" w:rsidRPr="00124B71">
        <w:rPr>
          <w:rFonts w:cs="Times New Roman"/>
        </w:rPr>
        <w:t xml:space="preserve"> </w:t>
      </w:r>
      <w:r w:rsidR="003C4905" w:rsidRPr="00124B71">
        <w:rPr>
          <w:rStyle w:val="EndnoteReference"/>
          <w:rFonts w:cs="Times New Roman"/>
        </w:rPr>
        <w:endnoteReference w:id="36"/>
      </w:r>
      <w:r w:rsidR="00D325D6" w:rsidRPr="00124B71">
        <w:rPr>
          <w:rFonts w:cs="Times New Roman"/>
        </w:rPr>
        <w:t xml:space="preserve"> </w:t>
      </w:r>
      <w:r w:rsidR="00C17C7F" w:rsidRPr="00124B71">
        <w:rPr>
          <w:rFonts w:cs="Times New Roman"/>
        </w:rPr>
        <w:t>The impact</w:t>
      </w:r>
      <w:r w:rsidR="00D325D6" w:rsidRPr="00124B71">
        <w:rPr>
          <w:rFonts w:cs="Times New Roman"/>
        </w:rPr>
        <w:t xml:space="preserve"> of MEW</w:t>
      </w:r>
      <w:r w:rsidR="00C17C7F" w:rsidRPr="00124B71">
        <w:rPr>
          <w:rFonts w:cs="Times New Roman"/>
        </w:rPr>
        <w:t xml:space="preserve"> on equity is obvious; it reduces </w:t>
      </w:r>
      <w:r w:rsidR="00173AA5" w:rsidRPr="00124B71">
        <w:rPr>
          <w:rFonts w:cs="Times New Roman"/>
        </w:rPr>
        <w:t>equity</w:t>
      </w:r>
      <w:r w:rsidR="00C17C7F" w:rsidRPr="00124B71">
        <w:rPr>
          <w:rFonts w:cs="Times New Roman"/>
        </w:rPr>
        <w:t xml:space="preserve"> </w:t>
      </w:r>
      <w:r w:rsidR="00D325D6" w:rsidRPr="00124B71">
        <w:rPr>
          <w:rFonts w:cs="Times New Roman"/>
        </w:rPr>
        <w:t>by</w:t>
      </w:r>
      <w:r w:rsidR="00C17C7F" w:rsidRPr="00124B71">
        <w:rPr>
          <w:rFonts w:cs="Times New Roman"/>
        </w:rPr>
        <w:t xml:space="preserve"> increasing the loan balance. It has been noted that equity is a fantasy and debt is real, and MEW is the process of living the fantasy with the addition of very real debt. </w:t>
      </w:r>
      <w:r w:rsidRPr="00124B71">
        <w:rPr>
          <w:rFonts w:cs="Times New Roman"/>
        </w:rPr>
        <w:t>MEW has been utilized by homeowners for home improvement for decades, but the widespread use of this money for consumer spending was</w:t>
      </w:r>
      <w:r w:rsidR="00173AA5" w:rsidRPr="00124B71">
        <w:rPr>
          <w:rFonts w:cs="Times New Roman"/>
        </w:rPr>
        <w:t xml:space="preserve"> largely</w:t>
      </w:r>
      <w:r w:rsidRPr="00124B71">
        <w:rPr>
          <w:rFonts w:cs="Times New Roman"/>
        </w:rPr>
        <w:t xml:space="preserve"> an innovation of </w:t>
      </w:r>
      <w:r w:rsidR="001A34D5">
        <w:rPr>
          <w:rFonts w:cs="Times New Roman"/>
        </w:rPr>
        <w:t>the Great Housing Bubble</w:t>
      </w:r>
      <w:r w:rsidR="00B532DF" w:rsidRPr="00124B71">
        <w:rPr>
          <w:rFonts w:cs="Times New Roman"/>
        </w:rPr>
        <w:t xml:space="preserve">. </w:t>
      </w:r>
      <w:r w:rsidR="00B30BD8" w:rsidRPr="00124B71">
        <w:rPr>
          <w:rStyle w:val="EndnoteReference"/>
          <w:rFonts w:cs="Times New Roman"/>
        </w:rPr>
        <w:endnoteReference w:id="37"/>
      </w:r>
      <w:r w:rsidRPr="00124B71">
        <w:rPr>
          <w:rFonts w:cs="Times New Roman"/>
        </w:rPr>
        <w:t xml:space="preserve"> Since consumer spending is</w:t>
      </w:r>
      <w:r w:rsidR="0012398E" w:rsidRPr="00124B71">
        <w:rPr>
          <w:rFonts w:cs="Times New Roman"/>
        </w:rPr>
        <w:t xml:space="preserve"> almost 70% of the US economy, m</w:t>
      </w:r>
      <w:r w:rsidR="00C17C7F" w:rsidRPr="00124B71">
        <w:rPr>
          <w:rFonts w:cs="Times New Roman"/>
        </w:rPr>
        <w:t>ortgage</w:t>
      </w:r>
      <w:r w:rsidR="0012398E" w:rsidRPr="00124B71">
        <w:rPr>
          <w:rFonts w:cs="Times New Roman"/>
        </w:rPr>
        <w:t xml:space="preserve"> e</w:t>
      </w:r>
      <w:r w:rsidR="00C17C7F" w:rsidRPr="00124B71">
        <w:rPr>
          <w:rFonts w:cs="Times New Roman"/>
        </w:rPr>
        <w:t xml:space="preserve">quity withdrawal was the primary mechanism of economic growth </w:t>
      </w:r>
      <w:r w:rsidR="00C17C7F" w:rsidRPr="00124B71">
        <w:rPr>
          <w:rFonts w:cs="Times New Roman"/>
        </w:rPr>
        <w:lastRenderedPageBreak/>
        <w:t>after the recession of 2001</w:t>
      </w:r>
      <w:r w:rsidR="001858B5">
        <w:rPr>
          <w:rFonts w:cs="Times New Roman"/>
        </w:rPr>
        <w:fldChar w:fldCharType="begin"/>
      </w:r>
      <w:r w:rsidR="00FA2AEF">
        <w:instrText xml:space="preserve"> XE "</w:instrText>
      </w:r>
      <w:r w:rsidR="00FA2AEF" w:rsidRPr="002367D7">
        <w:rPr>
          <w:rFonts w:cs="Times New Roman"/>
        </w:rPr>
        <w:instrText>recession of 2001</w:instrText>
      </w:r>
      <w:r w:rsidR="00FA2AEF">
        <w:instrText xml:space="preserve">" </w:instrText>
      </w:r>
      <w:r w:rsidR="001858B5">
        <w:rPr>
          <w:rFonts w:cs="Times New Roman"/>
        </w:rPr>
        <w:fldChar w:fldCharType="end"/>
      </w:r>
      <w:r w:rsidR="007C469A">
        <w:rPr>
          <w:rFonts w:cs="Times New Roman"/>
        </w:rPr>
        <w:t>–</w:t>
      </w:r>
      <w:r w:rsidR="0012398E" w:rsidRPr="00124B71">
        <w:rPr>
          <w:rFonts w:cs="Times New Roman"/>
        </w:rPr>
        <w:t>a recession caused by the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0012398E" w:rsidRPr="00124B71">
        <w:rPr>
          <w:rFonts w:cs="Times New Roman"/>
        </w:rPr>
        <w:t xml:space="preserve"> of another asset bubble</w:t>
      </w:r>
      <w:r w:rsidR="00D325D6" w:rsidRPr="00124B71">
        <w:rPr>
          <w:rFonts w:cs="Times New Roman"/>
        </w:rPr>
        <w:t>, the NASDAQ</w:t>
      </w:r>
      <w:r w:rsidR="001858B5">
        <w:rPr>
          <w:rFonts w:cs="Times New Roman"/>
        </w:rPr>
        <w:fldChar w:fldCharType="begin"/>
      </w:r>
      <w:r w:rsidR="00074436">
        <w:instrText xml:space="preserve"> XE "</w:instrText>
      </w:r>
      <w:r w:rsidR="00074436" w:rsidRPr="00CB3115">
        <w:rPr>
          <w:rFonts w:cs="Times New Roman"/>
        </w:rPr>
        <w:instrText>NASDAQ</w:instrText>
      </w:r>
      <w:r w:rsidR="00074436">
        <w:instrText xml:space="preserve">" </w:instrText>
      </w:r>
      <w:r w:rsidR="001858B5">
        <w:rPr>
          <w:rFonts w:cs="Times New Roman"/>
        </w:rPr>
        <w:fldChar w:fldCharType="end"/>
      </w:r>
      <w:r w:rsidR="00D325D6" w:rsidRPr="00124B71">
        <w:rPr>
          <w:rFonts w:cs="Times New Roman"/>
        </w:rPr>
        <w:t xml:space="preserve"> technology stock bubble</w:t>
      </w:r>
      <w:r w:rsidR="00C17C7F" w:rsidRPr="00124B71">
        <w:rPr>
          <w:rFonts w:cs="Times New Roman"/>
        </w:rPr>
        <w:t>.</w:t>
      </w:r>
    </w:p>
    <w:p w14:paraId="4FDCB6D6" w14:textId="3D63AA6A" w:rsidR="00F0186F" w:rsidRPr="00EF0EDA" w:rsidRDefault="00F0186F" w:rsidP="00F0186F">
      <w:pPr>
        <w:pStyle w:val="Caption"/>
      </w:pPr>
      <w:bookmarkStart w:id="43" w:name="_Toc238867450"/>
      <w:r>
        <w:t>Figure</w:t>
      </w:r>
      <w:r w:rsidRPr="00EF0EDA">
        <w:t xml:space="preserve"> </w:t>
      </w:r>
      <w:fldSimple w:instr=" SEQ Figure \* ARABIC ">
        <w:r w:rsidR="00493733">
          <w:rPr>
            <w:noProof/>
          </w:rPr>
          <w:t>9</w:t>
        </w:r>
      </w:fldSimple>
      <w:r w:rsidR="00317936">
        <w:t xml:space="preserve">: </w:t>
      </w:r>
      <w:r w:rsidRPr="00EF0EDA">
        <w:t>Mortgage Equity Withdrawal</w:t>
      </w:r>
      <w:r>
        <w:t>,</w:t>
      </w:r>
      <w:r w:rsidRPr="00EF0EDA">
        <w:t xml:space="preserve"> 1991-2006</w:t>
      </w:r>
      <w:bookmarkEnd w:id="43"/>
    </w:p>
    <w:p w14:paraId="615EFD97" w14:textId="77777777" w:rsidR="00F0186F" w:rsidRPr="00EF0EDA" w:rsidRDefault="00AD6CCE" w:rsidP="00F0186F">
      <w:pPr>
        <w:pStyle w:val="Graphics"/>
      </w:pPr>
      <w:r>
        <w:drawing>
          <wp:inline distT="0" distB="0" distL="0" distR="0" wp14:anchorId="50F216D2" wp14:editId="72624A0E">
            <wp:extent cx="3657600" cy="2560320"/>
            <wp:effectExtent l="19050" t="0" r="0" b="0"/>
            <wp:docPr id="74" name="Picture 73" descr="Mortgage Equity Withdrawal 1991-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tgage Equity Withdrawal 1991-2006.jpg"/>
                    <pic:cNvPicPr/>
                  </pic:nvPicPr>
                  <pic:blipFill>
                    <a:blip r:embed="rId35"/>
                    <a:stretch>
                      <a:fillRect/>
                    </a:stretch>
                  </pic:blipFill>
                  <pic:spPr>
                    <a:xfrm>
                      <a:off x="0" y="0"/>
                      <a:ext cx="3657600" cy="2560320"/>
                    </a:xfrm>
                    <a:prstGeom prst="rect">
                      <a:avLst/>
                    </a:prstGeom>
                  </pic:spPr>
                </pic:pic>
              </a:graphicData>
            </a:graphic>
          </wp:inline>
        </w:drawing>
      </w:r>
    </w:p>
    <w:p w14:paraId="14337F7F" w14:textId="77777777" w:rsidR="0012398E" w:rsidRPr="00124B71" w:rsidRDefault="0083471D" w:rsidP="0083471D">
      <w:pPr>
        <w:rPr>
          <w:rFonts w:cs="Times New Roman"/>
        </w:rPr>
      </w:pPr>
      <w:r w:rsidRPr="00124B71">
        <w:rPr>
          <w:rFonts w:cs="Times New Roman"/>
        </w:rPr>
        <w:t>Many people who extracted their home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lost their homes for lack of ability to refinance or make their new payments. After so many people lost their homes due to their own reckless borrowing, it is natural to wonder why these people did it. </w:t>
      </w:r>
      <w:r w:rsidR="00881A08" w:rsidRPr="00124B71">
        <w:rPr>
          <w:rFonts w:cs="Times New Roman"/>
        </w:rPr>
        <w:t>Why did they risk their home for a little spending money?</w:t>
      </w:r>
      <w:r w:rsidR="0012398E" w:rsidRPr="00124B71">
        <w:rPr>
          <w:rFonts w:cs="Times New Roman"/>
        </w:rPr>
        <w:t xml:space="preserve"> </w:t>
      </w:r>
      <w:r w:rsidR="00881A08" w:rsidRPr="00124B71">
        <w:rPr>
          <w:rFonts w:cs="Times New Roman"/>
        </w:rPr>
        <w:t xml:space="preserve">First, it was not just a little money. Many markets saw home values increase at a rate equal to the </w:t>
      </w:r>
      <w:r w:rsidR="00173AA5" w:rsidRPr="00124B71">
        <w:rPr>
          <w:rFonts w:cs="Times New Roman"/>
        </w:rPr>
        <w:t xml:space="preserve">local </w:t>
      </w:r>
      <w:r w:rsidR="00881A08" w:rsidRPr="00124B71">
        <w:rPr>
          <w:rFonts w:cs="Times New Roman"/>
        </w:rPr>
        <w:t>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00881A08" w:rsidRPr="00124B71">
        <w:rPr>
          <w:rFonts w:cs="Times New Roman"/>
        </w:rPr>
        <w:t xml:space="preserve"> income. It was </w:t>
      </w:r>
      <w:r w:rsidR="00173AA5" w:rsidRPr="00124B71">
        <w:rPr>
          <w:rFonts w:cs="Times New Roman"/>
        </w:rPr>
        <w:t>as if</w:t>
      </w:r>
      <w:r w:rsidR="00881A08" w:rsidRPr="00124B71">
        <w:rPr>
          <w:rFonts w:cs="Times New Roman"/>
        </w:rPr>
        <w:t xml:space="preserve"> their home was another breadwinner.</w:t>
      </w:r>
      <w:r w:rsidR="00D325D6" w:rsidRPr="00124B71">
        <w:rPr>
          <w:rFonts w:cs="Times New Roman"/>
        </w:rPr>
        <w:t xml:space="preserve"> The lure of this easy money was too much for many to </w:t>
      </w:r>
      <w:r w:rsidR="00173AA5" w:rsidRPr="00124B71">
        <w:rPr>
          <w:rFonts w:cs="Times New Roman"/>
        </w:rPr>
        <w:t>resist</w:t>
      </w:r>
      <w:r w:rsidR="00D325D6" w:rsidRPr="00124B71">
        <w:rPr>
          <w:rFonts w:cs="Times New Roman"/>
        </w:rPr>
        <w:t xml:space="preserve">. </w:t>
      </w:r>
      <w:r w:rsidR="009A5663" w:rsidRPr="00124B71">
        <w:rPr>
          <w:rFonts w:cs="Times New Roman"/>
        </w:rPr>
        <w:t>The rampant, in-your-face, marketing of these loans in every available media outlet</w:t>
      </w:r>
      <w:r w:rsidR="00277290" w:rsidRPr="00124B71">
        <w:rPr>
          <w:rFonts w:cs="Times New Roman"/>
        </w:rPr>
        <w:t xml:space="preserve"> touting the glossy “lifestyle” of over-the-top consumerism was a drug to many spending addicts. </w:t>
      </w:r>
      <w:r w:rsidR="00D325D6" w:rsidRPr="00124B71">
        <w:rPr>
          <w:rFonts w:cs="Times New Roman"/>
        </w:rPr>
        <w:t>Also, d</w:t>
      </w:r>
      <w:r w:rsidR="0012398E" w:rsidRPr="00124B71">
        <w:rPr>
          <w:rFonts w:cs="Times New Roman"/>
        </w:rPr>
        <w:t>uring the bubble rally people really believed their house values would go up forever, and they would always have the ability to refinance enormous debts</w:t>
      </w:r>
      <w:r w:rsidR="00881A08" w:rsidRPr="00124B71">
        <w:rPr>
          <w:rFonts w:cs="Times New Roman"/>
        </w:rPr>
        <w:t xml:space="preserve"> at low interest rates and maintain</w:t>
      </w:r>
      <w:r w:rsidR="0012398E" w:rsidRPr="00124B71">
        <w:rPr>
          <w:rFonts w:cs="Times New Roman"/>
        </w:rPr>
        <w:t xml:space="preserve"> very low </w:t>
      </w:r>
      <w:r w:rsidR="00881A08" w:rsidRPr="00124B71">
        <w:rPr>
          <w:rFonts w:cs="Times New Roman"/>
        </w:rPr>
        <w:t>debt service</w:t>
      </w:r>
      <w:r w:rsidR="0012398E" w:rsidRPr="00124B71">
        <w:rPr>
          <w:rFonts w:cs="Times New Roman"/>
        </w:rPr>
        <w:t xml:space="preserve"> costs. Most people did not think it possible they would end up in circumstances </w:t>
      </w:r>
      <w:r w:rsidR="00881A08" w:rsidRPr="00124B71">
        <w:rPr>
          <w:rFonts w:cs="Times New Roman"/>
        </w:rPr>
        <w:t>where</w:t>
      </w:r>
      <w:r w:rsidR="0012398E" w:rsidRPr="00124B71">
        <w:rPr>
          <w:rFonts w:cs="Times New Roman"/>
        </w:rPr>
        <w:t xml:space="preserve"> they </w:t>
      </w:r>
      <w:r w:rsidR="00881A08" w:rsidRPr="00124B71">
        <w:rPr>
          <w:rFonts w:cs="Times New Roman"/>
        </w:rPr>
        <w:t>would lose</w:t>
      </w:r>
      <w:r w:rsidR="0012398E" w:rsidRPr="00124B71">
        <w:rPr>
          <w:rFonts w:cs="Times New Roman"/>
        </w:rPr>
        <w:t xml:space="preserve"> their homes</w:t>
      </w:r>
      <w:r w:rsidR="00881A08" w:rsidRPr="00124B71">
        <w:rPr>
          <w:rFonts w:cs="Times New Roman"/>
        </w:rPr>
        <w:t xml:space="preserve">; however, they were </w:t>
      </w:r>
      <w:r w:rsidR="002A66F2" w:rsidRPr="00124B71">
        <w:rPr>
          <w:rFonts w:cs="Times New Roman"/>
        </w:rPr>
        <w:t>mistaken</w:t>
      </w:r>
      <w:r w:rsidR="0012398E" w:rsidRPr="00124B71">
        <w:rPr>
          <w:rFonts w:cs="Times New Roman"/>
        </w:rPr>
        <w:t>. Given these beliefs, the equity accumulating in their house was “free money” they just needed</w:t>
      </w:r>
      <w:r w:rsidR="00881A08" w:rsidRPr="00124B71">
        <w:rPr>
          <w:rFonts w:cs="Times New Roman"/>
        </w:rPr>
        <w:t xml:space="preserve"> to</w:t>
      </w:r>
      <w:r w:rsidR="0012398E" w:rsidRPr="00124B71">
        <w:rPr>
          <w:rFonts w:cs="Times New Roman"/>
        </w:rPr>
        <w:t xml:space="preserve"> access in order to live and</w:t>
      </w:r>
      <w:r w:rsidR="00881A08" w:rsidRPr="00124B71">
        <w:rPr>
          <w:rFonts w:cs="Times New Roman"/>
        </w:rPr>
        <w:t xml:space="preserve"> to</w:t>
      </w:r>
      <w:r w:rsidR="0012398E" w:rsidRPr="00124B71">
        <w:rPr>
          <w:rFonts w:cs="Times New Roman"/>
        </w:rPr>
        <w:t xml:space="preserve"> spend like rich people. Even though they were consuming their net worth, </w:t>
      </w:r>
      <w:r w:rsidR="00881A08" w:rsidRPr="00124B71">
        <w:rPr>
          <w:rFonts w:cs="Times New Roman"/>
        </w:rPr>
        <w:t xml:space="preserve">and making themselves poor, </w:t>
      </w:r>
      <w:r w:rsidR="0012398E" w:rsidRPr="00124B71">
        <w:rPr>
          <w:rFonts w:cs="Times New Roman"/>
        </w:rPr>
        <w:t xml:space="preserve">they believed they were rich, and they </w:t>
      </w:r>
      <w:r w:rsidR="005748BD" w:rsidRPr="00124B71">
        <w:rPr>
          <w:rFonts w:cs="Times New Roman"/>
        </w:rPr>
        <w:t>wanted</w:t>
      </w:r>
      <w:r w:rsidR="0012398E" w:rsidRPr="00124B71">
        <w:rPr>
          <w:rFonts w:cs="Times New Roman"/>
        </w:rPr>
        <w:t xml:space="preserve"> to spend accordingly.</w:t>
      </w:r>
    </w:p>
    <w:p w14:paraId="16AEE55C" w14:textId="77777777" w:rsidR="0012398E" w:rsidRPr="00124B71" w:rsidRDefault="00C17C7F" w:rsidP="0012398E">
      <w:pPr>
        <w:rPr>
          <w:rFonts w:cs="Times New Roman"/>
        </w:rPr>
      </w:pPr>
      <w:r w:rsidRPr="00124B71">
        <w:rPr>
          <w:rFonts w:cs="Times New Roman"/>
        </w:rPr>
        <w:t>Most homeowners do not save money for major improvements and required maintenance, and these homeowners often take out home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w:t>
      </w:r>
      <w:r w:rsidR="001858B5">
        <w:rPr>
          <w:rFonts w:cs="Times New Roman"/>
        </w:rPr>
        <w:fldChar w:fldCharType="begin"/>
      </w:r>
      <w:r w:rsidR="00FA2AEF">
        <w:instrText xml:space="preserve"> XE "</w:instrText>
      </w:r>
      <w:r w:rsidR="00FA2AEF" w:rsidRPr="006C558D">
        <w:rPr>
          <w:rFonts w:cs="Times New Roman"/>
        </w:rPr>
        <w:instrText>home equity lines of credit</w:instrText>
      </w:r>
      <w:r w:rsidR="00FA2AEF">
        <w:instrText xml:space="preserve">" </w:instrText>
      </w:r>
      <w:r w:rsidR="001858B5">
        <w:rPr>
          <w:rFonts w:cs="Times New Roman"/>
        </w:rPr>
        <w:fldChar w:fldCharType="end"/>
      </w:r>
      <w:r w:rsidRPr="00124B71">
        <w:rPr>
          <w:rFonts w:cs="Times New Roman"/>
        </w:rPr>
        <w:t xml:space="preserve">lines of credit as a method of mortgage equity withdrawal to fund home improvement projects. The logic here is </w:t>
      </w:r>
      <w:r w:rsidR="00D325D6" w:rsidRPr="00124B71">
        <w:rPr>
          <w:rFonts w:cs="Times New Roman"/>
        </w:rPr>
        <w:t xml:space="preserve">that </w:t>
      </w:r>
      <w:r w:rsidRPr="00124B71">
        <w:rPr>
          <w:rFonts w:cs="Times New Roman"/>
        </w:rPr>
        <w:t>renovations improve the property so an increase in property value offsets the additional debt. In reality, home improvement project</w:t>
      </w:r>
      <w:r w:rsidR="005748BD" w:rsidRPr="00124B71">
        <w:rPr>
          <w:rFonts w:cs="Times New Roman"/>
        </w:rPr>
        <w:t>s</w:t>
      </w:r>
      <w:r w:rsidRPr="00124B71">
        <w:rPr>
          <w:rFonts w:cs="Times New Roman"/>
        </w:rPr>
        <w:t xml:space="preserve"> rarely add</w:t>
      </w:r>
      <w:r w:rsidR="00D325D6" w:rsidRPr="00124B71">
        <w:rPr>
          <w:rFonts w:cs="Times New Roman"/>
        </w:rPr>
        <w:t>s</w:t>
      </w:r>
      <w:r w:rsidRPr="00124B71">
        <w:rPr>
          <w:rFonts w:cs="Times New Roman"/>
        </w:rPr>
        <w:t xml:space="preserve"> value on a dollar</w:t>
      </w:r>
      <w:r w:rsidR="00E65A76" w:rsidRPr="00124B71">
        <w:rPr>
          <w:rFonts w:cs="Times New Roman"/>
        </w:rPr>
        <w:t>-</w:t>
      </w:r>
      <w:r w:rsidRPr="00124B71">
        <w:rPr>
          <w:rFonts w:cs="Times New Roman"/>
        </w:rPr>
        <w:t>for</w:t>
      </w:r>
      <w:r w:rsidR="00E65A76" w:rsidRPr="00124B71">
        <w:rPr>
          <w:rFonts w:cs="Times New Roman"/>
        </w:rPr>
        <w:t>-</w:t>
      </w:r>
      <w:r w:rsidRPr="00124B71">
        <w:rPr>
          <w:rFonts w:cs="Times New Roman"/>
        </w:rPr>
        <w:t xml:space="preserve">dollar basis, particularly </w:t>
      </w:r>
      <w:r w:rsidRPr="00124B71">
        <w:rPr>
          <w:rFonts w:cs="Times New Roman"/>
        </w:rPr>
        <w:lastRenderedPageBreak/>
        <w:t>with exterior enhancements which often only return 50 cents on the dollar in value.</w:t>
      </w:r>
      <w:r w:rsidR="007F792C" w:rsidRPr="00124B71">
        <w:rPr>
          <w:rStyle w:val="EndnoteReference"/>
          <w:rFonts w:cs="Times New Roman"/>
        </w:rPr>
        <w:t xml:space="preserve"> </w:t>
      </w:r>
      <w:r w:rsidR="007F792C" w:rsidRPr="00124B71">
        <w:rPr>
          <w:rStyle w:val="EndnoteReference"/>
          <w:rFonts w:cs="Times New Roman"/>
        </w:rPr>
        <w:endnoteReference w:id="38"/>
      </w:r>
      <w:r w:rsidR="0012398E" w:rsidRPr="00124B71">
        <w:rPr>
          <w:rFonts w:cs="Times New Roman"/>
        </w:rPr>
        <w:t xml:space="preserve"> The home-improvement craze was so common that the term </w:t>
      </w:r>
      <w:r w:rsidR="00173AA5" w:rsidRPr="00124B71">
        <w:rPr>
          <w:rFonts w:cs="Times New Roman"/>
        </w:rPr>
        <w:t>“</w:t>
      </w:r>
      <w:r w:rsidR="0012398E" w:rsidRPr="00124B71">
        <w:rPr>
          <w:rFonts w:cs="Times New Roman"/>
        </w:rPr>
        <w:t>pergraniteel</w:t>
      </w:r>
      <w:r w:rsidR="001858B5">
        <w:rPr>
          <w:rFonts w:cs="Times New Roman"/>
        </w:rPr>
        <w:fldChar w:fldCharType="begin"/>
      </w:r>
      <w:r w:rsidR="00FA2AEF">
        <w:instrText xml:space="preserve"> XE "</w:instrText>
      </w:r>
      <w:r w:rsidR="00FA2AEF" w:rsidRPr="00302F67">
        <w:rPr>
          <w:rFonts w:cs="Times New Roman"/>
        </w:rPr>
        <w:instrText>pergraniteel</w:instrText>
      </w:r>
      <w:r w:rsidR="00FA2AEF">
        <w:instrText xml:space="preserve">" </w:instrText>
      </w:r>
      <w:r w:rsidR="001858B5">
        <w:rPr>
          <w:rFonts w:cs="Times New Roman"/>
        </w:rPr>
        <w:fldChar w:fldCharType="end"/>
      </w:r>
      <w:r w:rsidR="00173AA5" w:rsidRPr="00124B71">
        <w:rPr>
          <w:rFonts w:cs="Times New Roman"/>
        </w:rPr>
        <w:t>”</w:t>
      </w:r>
      <w:r w:rsidR="0012398E" w:rsidRPr="00124B71">
        <w:rPr>
          <w:rFonts w:cs="Times New Roman"/>
        </w:rPr>
        <w:t xml:space="preserve"> was coined to describe the Pergo fake wood floors, granite countertops, and steel appliances </w:t>
      </w:r>
      <w:r w:rsidR="005748BD" w:rsidRPr="00124B71">
        <w:rPr>
          <w:rFonts w:cs="Times New Roman"/>
        </w:rPr>
        <w:t>that defined the Great Housing Bubble era in much the same way as shag carpeting and wood wall paneling defined the interior decorating of the 1970s</w:t>
      </w:r>
      <w:r w:rsidR="0012398E" w:rsidRPr="00124B71">
        <w:rPr>
          <w:rFonts w:cs="Times New Roman"/>
        </w:rPr>
        <w:t>.</w:t>
      </w:r>
    </w:p>
    <w:p w14:paraId="4EA1B311" w14:textId="77777777" w:rsidR="0012398E" w:rsidRPr="00124B71" w:rsidRDefault="0012398E" w:rsidP="007F792C">
      <w:pPr>
        <w:rPr>
          <w:rFonts w:cs="Times New Roman"/>
        </w:rPr>
      </w:pPr>
      <w:r w:rsidRPr="00124B71">
        <w:rPr>
          <w:rFonts w:cs="Times New Roman"/>
        </w:rPr>
        <w:t xml:space="preserve">Much of the money homeowners borrowed </w:t>
      </w:r>
      <w:r w:rsidR="00D325D6" w:rsidRPr="00124B71">
        <w:rPr>
          <w:rFonts w:cs="Times New Roman"/>
        </w:rPr>
        <w:t>fueled consumer spending and reinforced poor financial management techniques. It was common during the bubble rally for people to run up enormous credit card bills then refinance every year and pay them off</w:t>
      </w:r>
      <w:r w:rsidR="007F792C" w:rsidRPr="00124B71">
        <w:rPr>
          <w:rFonts w:cs="Times New Roman"/>
        </w:rPr>
        <w:t>.</w:t>
      </w:r>
      <w:r w:rsidR="002F74FE" w:rsidRPr="00124B71">
        <w:rPr>
          <w:rFonts w:cs="Times New Roman"/>
        </w:rPr>
        <w:t xml:space="preserve"> </w:t>
      </w:r>
      <w:r w:rsidR="00E71181" w:rsidRPr="00124B71">
        <w:rPr>
          <w:rStyle w:val="EndnoteReference"/>
          <w:rFonts w:cs="Times New Roman"/>
        </w:rPr>
        <w:endnoteReference w:id="39"/>
      </w:r>
      <w:r w:rsidR="00D325D6" w:rsidRPr="00124B71">
        <w:rPr>
          <w:rFonts w:cs="Times New Roman"/>
        </w:rPr>
        <w:t xml:space="preserve"> It is foolish enough to finance consumer spending, but it is even more foolish to pay for this spending </w:t>
      </w:r>
      <w:r w:rsidR="003B7DDB" w:rsidRPr="00124B71">
        <w:rPr>
          <w:rFonts w:cs="Times New Roman"/>
        </w:rPr>
        <w:t>over the 30-year term of a typical mortgage. The consumptive value</w:t>
      </w:r>
      <w:r w:rsidR="001858B5">
        <w:rPr>
          <w:rFonts w:cs="Times New Roman"/>
        </w:rPr>
        <w:fldChar w:fldCharType="begin"/>
      </w:r>
      <w:r w:rsidR="00180E6F">
        <w:instrText xml:space="preserve"> XE "</w:instrText>
      </w:r>
      <w:r w:rsidR="00180E6F" w:rsidRPr="00A23D0C">
        <w:rPr>
          <w:rFonts w:cs="Times New Roman"/>
        </w:rPr>
        <w:instrText>consumptive value</w:instrText>
      </w:r>
      <w:r w:rsidR="00180E6F">
        <w:instrText xml:space="preserve">" </w:instrText>
      </w:r>
      <w:r w:rsidR="001858B5">
        <w:rPr>
          <w:rFonts w:cs="Times New Roman"/>
        </w:rPr>
        <w:fldChar w:fldCharType="end"/>
      </w:r>
      <w:r w:rsidR="003B7DDB" w:rsidRPr="00124B71">
        <w:rPr>
          <w:rFonts w:cs="Times New Roman"/>
        </w:rPr>
        <w:t xml:space="preserve"> fades quickly, but the debt endures for a very long time. Many people responded to the “free money” their house was earning by liberating their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3B7DDB" w:rsidRPr="00124B71">
        <w:rPr>
          <w:rFonts w:cs="Times New Roman"/>
        </w:rPr>
        <w:t xml:space="preserve"> as soon as they could so they could buy cars, take vacations, and generally live the good life. This borrow</w:t>
      </w:r>
      <w:r w:rsidR="00173AA5" w:rsidRPr="00124B71">
        <w:rPr>
          <w:rFonts w:cs="Times New Roman"/>
        </w:rPr>
        <w:t>-and-</w:t>
      </w:r>
      <w:r w:rsidR="003B7DDB" w:rsidRPr="00124B71">
        <w:rPr>
          <w:rFonts w:cs="Times New Roman"/>
        </w:rPr>
        <w:t xml:space="preserve">spend mentality was actually encouraged by lenders who were eager to make these loans and even the government </w:t>
      </w:r>
      <w:r w:rsidR="005748BD" w:rsidRPr="00124B71">
        <w:rPr>
          <w:rFonts w:cs="Times New Roman"/>
        </w:rPr>
        <w:t>which</w:t>
      </w:r>
      <w:r w:rsidR="003B7DDB" w:rsidRPr="00124B71">
        <w:rPr>
          <w:rFonts w:cs="Times New Roman"/>
        </w:rPr>
        <w:t xml:space="preserve"> was benefiting by economic expansion and higher tax receipts.</w:t>
      </w:r>
    </w:p>
    <w:p w14:paraId="2C5F794E" w14:textId="77777777" w:rsidR="0012398E" w:rsidRPr="00124B71" w:rsidRDefault="003B7DDB" w:rsidP="00037009">
      <w:pPr>
        <w:rPr>
          <w:rFonts w:cs="Times New Roman"/>
        </w:rPr>
      </w:pPr>
      <w:r w:rsidRPr="00124B71">
        <w:rPr>
          <w:rFonts w:cs="Times New Roman"/>
        </w:rPr>
        <w:t>The recession of 2001</w:t>
      </w:r>
      <w:r w:rsidR="001858B5">
        <w:rPr>
          <w:rFonts w:cs="Times New Roman"/>
        </w:rPr>
        <w:fldChar w:fldCharType="begin"/>
      </w:r>
      <w:r w:rsidR="00FA2AEF">
        <w:instrText xml:space="preserve"> XE "</w:instrText>
      </w:r>
      <w:r w:rsidR="00FA2AEF" w:rsidRPr="002367D7">
        <w:rPr>
          <w:rFonts w:cs="Times New Roman"/>
        </w:rPr>
        <w:instrText>recession of 2001</w:instrText>
      </w:r>
      <w:r w:rsidR="00FA2AEF">
        <w:instrText xml:space="preserve">" </w:instrText>
      </w:r>
      <w:r w:rsidR="001858B5">
        <w:rPr>
          <w:rFonts w:cs="Times New Roman"/>
        </w:rPr>
        <w:fldChar w:fldCharType="end"/>
      </w:r>
      <w:r w:rsidRPr="00124B71">
        <w:rPr>
          <w:rFonts w:cs="Times New Roman"/>
        </w:rPr>
        <w:t xml:space="preserve"> was caused by the collapse of stock prices and the resulting diminishment of corporate investment. The recession was shallow, but the economy had difficulty recovering mostly due to continued erosion of manufacturing jobs</w:t>
      </w:r>
      <w:r w:rsidR="007F792C" w:rsidRPr="00124B71">
        <w:rPr>
          <w:rFonts w:cs="Times New Roman"/>
        </w:rPr>
        <w:t>.</w:t>
      </w:r>
      <w:r w:rsidR="002F74FE" w:rsidRPr="00124B71">
        <w:rPr>
          <w:rFonts w:cs="Times New Roman"/>
        </w:rPr>
        <w:t xml:space="preserve"> </w:t>
      </w:r>
      <w:r w:rsidR="00E71181" w:rsidRPr="00124B71">
        <w:rPr>
          <w:rStyle w:val="EndnoteReference"/>
          <w:rFonts w:cs="Times New Roman"/>
        </w:rPr>
        <w:endnoteReference w:id="40"/>
      </w:r>
      <w:r w:rsidRPr="00124B71">
        <w:rPr>
          <w:rFonts w:cs="Times New Roman"/>
        </w:rPr>
        <w:t xml:space="preserve">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Pr="00124B71">
        <w:rPr>
          <w:rFonts w:cs="Times New Roman"/>
        </w:rPr>
        <w:t xml:space="preserve"> under Alan Greenspan</w:t>
      </w:r>
      <w:r w:rsidR="001858B5">
        <w:rPr>
          <w:rFonts w:cs="Times New Roman"/>
        </w:rPr>
        <w:fldChar w:fldCharType="begin"/>
      </w:r>
      <w:r w:rsidR="009975FD">
        <w:instrText xml:space="preserve"> XE "</w:instrText>
      </w:r>
      <w:r w:rsidR="009975FD" w:rsidRPr="009F73BE">
        <w:rPr>
          <w:rFonts w:cs="Times New Roman"/>
        </w:rPr>
        <w:instrText>Alan Greenspan</w:instrText>
      </w:r>
      <w:r w:rsidR="009975FD">
        <w:instrText xml:space="preserve">" </w:instrText>
      </w:r>
      <w:r w:rsidR="001858B5">
        <w:rPr>
          <w:rFonts w:cs="Times New Roman"/>
        </w:rPr>
        <w:fldChar w:fldCharType="end"/>
      </w:r>
      <w:r w:rsidRPr="00124B71">
        <w:rPr>
          <w:rFonts w:cs="Times New Roman"/>
        </w:rPr>
        <w:t xml:space="preserve"> was desperate </w:t>
      </w:r>
      <w:r w:rsidR="005748BD" w:rsidRPr="00124B71">
        <w:rPr>
          <w:rFonts w:cs="Times New Roman"/>
        </w:rPr>
        <w:t xml:space="preserve">to </w:t>
      </w:r>
      <w:r w:rsidRPr="00124B71">
        <w:rPr>
          <w:rFonts w:cs="Times New Roman"/>
        </w:rPr>
        <w:t>reignite economic growth, so the FED</w:t>
      </w:r>
      <w:r w:rsidR="001858B5">
        <w:rPr>
          <w:rFonts w:cs="Times New Roman"/>
        </w:rPr>
        <w:fldChar w:fldCharType="begin"/>
      </w:r>
      <w:r w:rsidR="005E6B29">
        <w:instrText xml:space="preserve"> XE "</w:instrText>
      </w:r>
      <w:r w:rsidR="005E6B29" w:rsidRPr="00A95B0B">
        <w:rPr>
          <w:rFonts w:cs="Times New Roman"/>
        </w:rPr>
        <w:instrText>FED</w:instrText>
      </w:r>
      <w:r w:rsidR="005E6B29">
        <w:instrText xml:space="preserve">" </w:instrText>
      </w:r>
      <w:r w:rsidR="001858B5">
        <w:rPr>
          <w:rFonts w:cs="Times New Roman"/>
        </w:rPr>
        <w:fldChar w:fldCharType="end"/>
      </w:r>
      <w:r w:rsidRPr="00124B71">
        <w:rPr>
          <w:rFonts w:cs="Times New Roman"/>
        </w:rPr>
        <w:t xml:space="preserve"> funds rate was lowered to 1% and kept there for more than a year. It was hoped this increased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Pr="00124B71">
        <w:rPr>
          <w:rFonts w:cs="Times New Roman"/>
        </w:rPr>
        <w:t xml:space="preserve"> would go into business investment to restart the troubled economy; instead, it went into mortgage loans and consumers</w:t>
      </w:r>
      <w:r w:rsidR="007F792C" w:rsidRPr="00124B71">
        <w:rPr>
          <w:rFonts w:cs="Times New Roman"/>
        </w:rPr>
        <w:t>’</w:t>
      </w:r>
      <w:r w:rsidRPr="00124B71">
        <w:rPr>
          <w:rFonts w:cs="Times New Roman"/>
        </w:rPr>
        <w:t xml:space="preserve"> pockets through mortgage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withdrawal.</w:t>
      </w:r>
      <w:r w:rsidR="007F7698" w:rsidRPr="00124B71">
        <w:rPr>
          <w:rFonts w:cs="Times New Roman"/>
        </w:rPr>
        <w:t xml:space="preserve"> Basically, the </w:t>
      </w:r>
      <w:r w:rsidR="005748BD" w:rsidRPr="00124B71">
        <w:rPr>
          <w:rFonts w:cs="Times New Roman"/>
        </w:rPr>
        <w:t>economic</w:t>
      </w:r>
      <w:r w:rsidR="007F7698" w:rsidRPr="00124B71">
        <w:rPr>
          <w:rFonts w:cs="Times New Roman"/>
        </w:rPr>
        <w:t xml:space="preserve"> recovery from 2001 through 2005 was an illusion creat</w:t>
      </w:r>
      <w:r w:rsidR="00385DA0">
        <w:rPr>
          <w:rFonts w:cs="Times New Roman"/>
        </w:rPr>
        <w:t>ed</w:t>
      </w:r>
      <w:r w:rsidR="007F7698" w:rsidRPr="00124B71">
        <w:rPr>
          <w:rFonts w:cs="Times New Roman"/>
        </w:rPr>
        <w:t xml:space="preserve"> by excessive borrowing and rampant spending by homeowners. The economy did not grow through production</w:t>
      </w:r>
      <w:r w:rsidR="005748BD" w:rsidRPr="00124B71">
        <w:rPr>
          <w:rFonts w:cs="Times New Roman"/>
        </w:rPr>
        <w:t>;</w:t>
      </w:r>
      <w:r w:rsidR="007F7698" w:rsidRPr="00124B71">
        <w:rPr>
          <w:rFonts w:cs="Times New Roman"/>
        </w:rPr>
        <w:t xml:space="preserve"> it grew through consumption.</w:t>
      </w:r>
    </w:p>
    <w:p w14:paraId="65BD6EEA" w14:textId="77777777" w:rsidR="003B7DDB" w:rsidRPr="00124B71" w:rsidRDefault="00C4017B" w:rsidP="00037009">
      <w:pPr>
        <w:rPr>
          <w:rFonts w:cs="Times New Roman"/>
        </w:rPr>
      </w:pPr>
      <w:r w:rsidRPr="00124B71">
        <w:rPr>
          <w:rFonts w:cs="Times New Roman"/>
        </w:rPr>
        <w:t>There are many theories as to the decline and fall of the Roman Empire</w:t>
      </w:r>
      <w:r w:rsidR="001858B5">
        <w:rPr>
          <w:rFonts w:cs="Times New Roman"/>
        </w:rPr>
        <w:fldChar w:fldCharType="begin"/>
      </w:r>
      <w:r w:rsidR="00FA2AEF">
        <w:instrText xml:space="preserve"> XE "</w:instrText>
      </w:r>
      <w:r w:rsidR="00FA2AEF" w:rsidRPr="00865686">
        <w:rPr>
          <w:rFonts w:cs="Times New Roman"/>
        </w:rPr>
        <w:instrText>Roman Empire</w:instrText>
      </w:r>
      <w:r w:rsidR="00FA2AEF">
        <w:instrText xml:space="preserve">" </w:instrText>
      </w:r>
      <w:r w:rsidR="001858B5">
        <w:rPr>
          <w:rFonts w:cs="Times New Roman"/>
        </w:rPr>
        <w:fldChar w:fldCharType="end"/>
      </w:r>
      <w:r w:rsidRPr="00124B71">
        <w:rPr>
          <w:rFonts w:cs="Times New Roman"/>
        </w:rPr>
        <w:t>.</w:t>
      </w:r>
      <w:r w:rsidR="002F74FE" w:rsidRPr="00124B71">
        <w:rPr>
          <w:rFonts w:cs="Times New Roman"/>
        </w:rPr>
        <w:t xml:space="preserve"> </w:t>
      </w:r>
      <w:r w:rsidR="00813A15" w:rsidRPr="00124B71">
        <w:rPr>
          <w:rStyle w:val="EndnoteReference"/>
          <w:rFonts w:cs="Times New Roman"/>
        </w:rPr>
        <w:endnoteReference w:id="41"/>
      </w:r>
      <w:r w:rsidRPr="00124B71">
        <w:rPr>
          <w:rFonts w:cs="Times New Roman"/>
        </w:rPr>
        <w:t xml:space="preserve"> One of the more intriguing is the idea that Rome fell because it was weakened by the parasitic nature of Rome itself. Rome existed to consume the resources of the empire. Boats would come to the city loaded with goods and leave the city empty. Consumption kept the masses happy and thereby quelled civil unrest. The Roman Empire was the world’s only superpower with an unsurpassed military might. Equally unsurpassed was its ability to consume resources. Does any of this sound like the United States?</w:t>
      </w:r>
      <w:r w:rsidR="00066C7D" w:rsidRPr="00124B71">
        <w:rPr>
          <w:rFonts w:cs="Times New Roman"/>
        </w:rPr>
        <w:t xml:space="preserve"> The United States has clearly become a consumer nation, and the government </w:t>
      </w:r>
      <w:r w:rsidR="005748BD" w:rsidRPr="00124B71">
        <w:rPr>
          <w:rFonts w:cs="Times New Roman"/>
        </w:rPr>
        <w:t>continues to</w:t>
      </w:r>
      <w:r w:rsidR="00066C7D" w:rsidRPr="00124B71">
        <w:rPr>
          <w:rFonts w:cs="Times New Roman"/>
        </w:rPr>
        <w:t xml:space="preserve"> borrow huge sums of money to keep the economic engine of consumption going. In early 2008, Congress passed a “stimulus” package where many people would receive direct gifts of money </w:t>
      </w:r>
      <w:r w:rsidR="005748BD" w:rsidRPr="00124B71">
        <w:rPr>
          <w:rFonts w:cs="Times New Roman"/>
        </w:rPr>
        <w:t>in the hope they would</w:t>
      </w:r>
      <w:r w:rsidR="00066C7D" w:rsidRPr="00124B71">
        <w:rPr>
          <w:rFonts w:cs="Times New Roman"/>
        </w:rPr>
        <w:t xml:space="preserve"> spend</w:t>
      </w:r>
      <w:r w:rsidR="005748BD" w:rsidRPr="00124B71">
        <w:rPr>
          <w:rFonts w:cs="Times New Roman"/>
        </w:rPr>
        <w:t xml:space="preserve"> it</w:t>
      </w:r>
      <w:r w:rsidR="00066C7D" w:rsidRPr="00124B71">
        <w:rPr>
          <w:rFonts w:cs="Times New Roman"/>
        </w:rPr>
        <w:t xml:space="preserve"> and keep the economy going. Since the Federal Government</w:t>
      </w:r>
      <w:r w:rsidR="001858B5">
        <w:rPr>
          <w:rFonts w:cs="Times New Roman"/>
        </w:rPr>
        <w:fldChar w:fldCharType="begin"/>
      </w:r>
      <w:r w:rsidR="00FA2AEF">
        <w:instrText xml:space="preserve"> XE "</w:instrText>
      </w:r>
      <w:r w:rsidR="00FA2AEF" w:rsidRPr="00DC7302">
        <w:rPr>
          <w:rFonts w:cs="Times New Roman"/>
        </w:rPr>
        <w:instrText>Federal Government</w:instrText>
      </w:r>
      <w:r w:rsidR="00FA2AEF">
        <w:instrText xml:space="preserve">" </w:instrText>
      </w:r>
      <w:r w:rsidR="001858B5">
        <w:rPr>
          <w:rFonts w:cs="Times New Roman"/>
        </w:rPr>
        <w:fldChar w:fldCharType="end"/>
      </w:r>
      <w:r w:rsidR="00066C7D" w:rsidRPr="00124B71">
        <w:rPr>
          <w:rFonts w:cs="Times New Roman"/>
        </w:rPr>
        <w:t xml:space="preserve"> was already running a deficit, this money was borrowed from future tax receipts.</w:t>
      </w:r>
      <w:r w:rsidR="005748BD" w:rsidRPr="00124B71">
        <w:rPr>
          <w:rFonts w:cs="Times New Roman"/>
        </w:rPr>
        <w:t xml:space="preserve"> In other words, this handout was obtained from future generations.</w:t>
      </w:r>
      <w:r w:rsidR="00066C7D" w:rsidRPr="00124B71">
        <w:rPr>
          <w:rFonts w:cs="Times New Roman"/>
        </w:rPr>
        <w:t xml:space="preserve"> With house prices crashing, direct handouts of borrowed government money were necessary to make up </w:t>
      </w:r>
      <w:r w:rsidR="00066C7D" w:rsidRPr="00124B71">
        <w:rPr>
          <w:rFonts w:cs="Times New Roman"/>
        </w:rPr>
        <w:lastRenderedPageBreak/>
        <w:t>for the loss of borrowed private sector money that used to be available through mortgage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066C7D" w:rsidRPr="00124B71">
        <w:rPr>
          <w:rFonts w:cs="Times New Roman"/>
        </w:rPr>
        <w:t xml:space="preserve"> withdrawal.</w:t>
      </w:r>
    </w:p>
    <w:p w14:paraId="2F54EF16" w14:textId="77777777" w:rsidR="00241A3F" w:rsidRPr="00EF0EDA" w:rsidRDefault="00241A3F" w:rsidP="004E08E7">
      <w:pPr>
        <w:pStyle w:val="Heading2"/>
      </w:pPr>
      <w:bookmarkStart w:id="44" w:name="_Toc238867289"/>
      <w:r w:rsidRPr="00EF0EDA">
        <w:t>The Fallacy of Financial Innovation</w:t>
      </w:r>
      <w:bookmarkEnd w:id="44"/>
    </w:p>
    <w:p w14:paraId="6864DDEE" w14:textId="77777777" w:rsidR="00241A3F" w:rsidRPr="00124B71" w:rsidRDefault="00241A3F" w:rsidP="00241A3F">
      <w:pPr>
        <w:rPr>
          <w:rFonts w:cs="Times New Roman"/>
        </w:rPr>
      </w:pPr>
      <w:r w:rsidRPr="00124B71">
        <w:rPr>
          <w:rFonts w:cs="Times New Roman"/>
        </w:rPr>
        <w:t xml:space="preserve">The cutting edge is sharp. Innovators often pay a heavy price for </w:t>
      </w:r>
      <w:r w:rsidR="005748BD" w:rsidRPr="00124B71">
        <w:rPr>
          <w:rFonts w:cs="Times New Roman"/>
        </w:rPr>
        <w:t xml:space="preserve">attempts at </w:t>
      </w:r>
      <w:r w:rsidRPr="00124B71">
        <w:rPr>
          <w:rFonts w:cs="Times New Roman"/>
        </w:rPr>
        <w:t xml:space="preserve">advancement. Sometimes these advances lead to quantum leaps in human knowledge and understanding. Sometimes the time, effort, and money </w:t>
      </w:r>
      <w:r w:rsidR="005748BD" w:rsidRPr="00124B71">
        <w:rPr>
          <w:rFonts w:cs="Times New Roman"/>
        </w:rPr>
        <w:t>are</w:t>
      </w:r>
      <w:r w:rsidRPr="00124B71">
        <w:rPr>
          <w:rFonts w:cs="Times New Roman"/>
        </w:rPr>
        <w:t xml:space="preserve"> merely thrown into the abyss. The</w:t>
      </w:r>
      <w:r w:rsidR="004B5503" w:rsidRPr="00124B71">
        <w:rPr>
          <w:rFonts w:cs="Times New Roman"/>
        </w:rPr>
        <w:t xml:space="preserve"> financial</w:t>
      </w:r>
      <w:r w:rsidRPr="00124B71">
        <w:rPr>
          <w:rFonts w:cs="Times New Roman"/>
        </w:rPr>
        <w:t xml:space="preserve"> innovations of the Great Housing Bubble </w:t>
      </w:r>
      <w:r w:rsidR="00173AA5" w:rsidRPr="00124B71">
        <w:rPr>
          <w:rFonts w:cs="Times New Roman"/>
        </w:rPr>
        <w:t>are</w:t>
      </w:r>
      <w:r w:rsidRPr="00124B71">
        <w:rPr>
          <w:rFonts w:cs="Times New Roman"/>
        </w:rPr>
        <w:t xml:space="preserve"> of the latter category. </w:t>
      </w:r>
      <w:r w:rsidR="00173AA5" w:rsidRPr="00124B71">
        <w:rPr>
          <w:rFonts w:cs="Times New Roman"/>
        </w:rPr>
        <w:t>When t</w:t>
      </w:r>
      <w:r w:rsidRPr="00124B71">
        <w:rPr>
          <w:rFonts w:cs="Times New Roman"/>
        </w:rPr>
        <w:t xml:space="preserve">he lending industry </w:t>
      </w:r>
      <w:r w:rsidR="005748BD" w:rsidRPr="00124B71">
        <w:rPr>
          <w:rFonts w:cs="Times New Roman"/>
        </w:rPr>
        <w:t>developed</w:t>
      </w:r>
      <w:r w:rsidR="00173AA5" w:rsidRPr="00124B71">
        <w:rPr>
          <w:rFonts w:cs="Times New Roman"/>
        </w:rPr>
        <w:t xml:space="preserve"> exotic loan products, they touted </w:t>
      </w:r>
      <w:r w:rsidR="005748BD" w:rsidRPr="00124B71">
        <w:rPr>
          <w:rFonts w:cs="Times New Roman"/>
        </w:rPr>
        <w:t>them</w:t>
      </w:r>
      <w:r w:rsidR="00173AA5" w:rsidRPr="00124B71">
        <w:rPr>
          <w:rFonts w:cs="Times New Roman"/>
        </w:rPr>
        <w:t xml:space="preserve"> as “innovation,” and t</w:t>
      </w:r>
      <w:r w:rsidRPr="00124B71">
        <w:rPr>
          <w:rFonts w:cs="Times New Roman"/>
        </w:rPr>
        <w:t>hey sold these toxins far and wide</w:t>
      </w:r>
      <w:r w:rsidR="007F792C" w:rsidRPr="00124B71">
        <w:rPr>
          <w:rFonts w:cs="Times New Roman"/>
        </w:rPr>
        <w:t>.</w:t>
      </w:r>
      <w:r w:rsidR="00A76950" w:rsidRPr="00124B71">
        <w:rPr>
          <w:rFonts w:cs="Times New Roman"/>
        </w:rPr>
        <w:t xml:space="preserve"> </w:t>
      </w:r>
      <w:r w:rsidR="00C74D86" w:rsidRPr="00124B71">
        <w:rPr>
          <w:rStyle w:val="EndnoteReference"/>
          <w:rFonts w:cs="Times New Roman"/>
        </w:rPr>
        <w:endnoteReference w:id="42"/>
      </w:r>
      <w:r w:rsidRPr="00124B71">
        <w:rPr>
          <w:rFonts w:cs="Times New Roman"/>
        </w:rPr>
        <w:t xml:space="preserve"> </w:t>
      </w:r>
      <w:r w:rsidR="00173AA5" w:rsidRPr="00124B71">
        <w:rPr>
          <w:rFonts w:cs="Times New Roman"/>
        </w:rPr>
        <w:t xml:space="preserve">Since these loans </w:t>
      </w:r>
      <w:r w:rsidR="005C7BB3" w:rsidRPr="00124B71">
        <w:rPr>
          <w:rFonts w:cs="Times New Roman"/>
        </w:rPr>
        <w:t>achieved</w:t>
      </w:r>
      <w:r w:rsidRPr="00124B71">
        <w:rPr>
          <w:rFonts w:cs="Times New Roman"/>
        </w:rPr>
        <w:t xml:space="preserve"> the highest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Pr="00124B71">
        <w:rPr>
          <w:rFonts w:cs="Times New Roman"/>
        </w:rPr>
        <w:t xml:space="preserve"> ever recorded, it is </w:t>
      </w:r>
      <w:r w:rsidR="00173AA5" w:rsidRPr="00124B71">
        <w:rPr>
          <w:rFonts w:cs="Times New Roman"/>
        </w:rPr>
        <w:t>apparent</w:t>
      </w:r>
      <w:r w:rsidRPr="00124B71">
        <w:rPr>
          <w:rFonts w:cs="Times New Roman"/>
        </w:rPr>
        <w:t xml:space="preserve"> the “innovations” of the bubble rally were not entirely successful. It is amazing that a group of </w:t>
      </w:r>
      <w:r w:rsidR="005748BD" w:rsidRPr="00124B71">
        <w:rPr>
          <w:rFonts w:cs="Times New Roman"/>
        </w:rPr>
        <w:t xml:space="preserve">assumingly </w:t>
      </w:r>
      <w:r w:rsidRPr="00124B71">
        <w:rPr>
          <w:rFonts w:cs="Times New Roman"/>
        </w:rPr>
        <w:t xml:space="preserve">intelligent bankers came up with </w:t>
      </w:r>
      <w:r w:rsidR="00385DA0">
        <w:rPr>
          <w:rFonts w:cs="Times New Roman"/>
        </w:rPr>
        <w:t>these</w:t>
      </w:r>
      <w:r w:rsidRPr="00124B71">
        <w:rPr>
          <w:rFonts w:cs="Times New Roman"/>
        </w:rPr>
        <w:t xml:space="preserve"> loan</w:t>
      </w:r>
      <w:r w:rsidR="00385DA0">
        <w:rPr>
          <w:rFonts w:cs="Times New Roman"/>
        </w:rPr>
        <w:t>s</w:t>
      </w:r>
      <w:r w:rsidRPr="00124B71">
        <w:rPr>
          <w:rFonts w:cs="Times New Roman"/>
        </w:rPr>
        <w:t xml:space="preserve"> and expected a positive outcome.</w:t>
      </w:r>
      <w:r w:rsidR="00813A15" w:rsidRPr="00124B71">
        <w:rPr>
          <w:rStyle w:val="EndnoteReference"/>
          <w:rFonts w:cs="Times New Roman"/>
        </w:rPr>
        <w:t xml:space="preserve"> </w:t>
      </w:r>
      <w:r w:rsidR="00813A15" w:rsidRPr="00124B71">
        <w:rPr>
          <w:rStyle w:val="EndnoteReference"/>
          <w:rFonts w:cs="Times New Roman"/>
        </w:rPr>
        <w:endnoteReference w:id="43"/>
      </w:r>
      <w:r w:rsidRPr="00124B71">
        <w:rPr>
          <w:rFonts w:cs="Times New Roman"/>
        </w:rPr>
        <w:t xml:space="preserve"> The “innovation” meme is nothing more than a public relations effort to convince brokers the products were safe to sell and borrowers the products were safe to use. It is hard to fathom the widespread acceptance of this nonsense, but that is the nature of the pathological beliefs of a financial mania.</w:t>
      </w:r>
    </w:p>
    <w:p w14:paraId="00A2E37C" w14:textId="77777777" w:rsidR="00241A3F" w:rsidRPr="00124B71" w:rsidRDefault="00241A3F" w:rsidP="00241A3F">
      <w:pPr>
        <w:rPr>
          <w:rFonts w:cs="Times New Roman"/>
        </w:rPr>
      </w:pPr>
      <w:r w:rsidRPr="00124B71">
        <w:rPr>
          <w:rFonts w:cs="Times New Roman"/>
        </w:rPr>
        <w:t>Many in the lending industry think their work is like science that continually advances. It is not. It is far more akin to assembly line work where the same widgets are pumped out year after year. When lenders start to innovate, trouble is brewing. The last significant advancement in lending was the widespread use of 30-year amortizing loans that came into favor after World War II</w:t>
      </w:r>
      <w:r w:rsidR="001858B5">
        <w:rPr>
          <w:rFonts w:cs="Times New Roman"/>
        </w:rPr>
        <w:fldChar w:fldCharType="begin"/>
      </w:r>
      <w:r w:rsidR="00F71DE5">
        <w:instrText xml:space="preserve"> XE "</w:instrText>
      </w:r>
      <w:r w:rsidR="00F71DE5" w:rsidRPr="00545A6E">
        <w:rPr>
          <w:rFonts w:cs="Times New Roman"/>
        </w:rPr>
        <w:instrText>World War II</w:instrText>
      </w:r>
      <w:r w:rsidR="00F71DE5">
        <w:instrText xml:space="preserve">" </w:instrText>
      </w:r>
      <w:r w:rsidR="001858B5">
        <w:rPr>
          <w:rFonts w:cs="Times New Roman"/>
        </w:rPr>
        <w:fldChar w:fldCharType="end"/>
      </w:r>
      <w:r w:rsidRPr="00124B71">
        <w:rPr>
          <w:rFonts w:cs="Times New Roman"/>
        </w:rPr>
        <w:t>. Prior to that time, home loans were interest-only, short-term loans with very high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requirements (50% was most common</w:t>
      </w:r>
      <w:r w:rsidR="00A40CA5" w:rsidRPr="00124B71">
        <w:rPr>
          <w:rFonts w:cs="Times New Roman"/>
        </w:rPr>
        <w:t>).</w:t>
      </w:r>
      <w:r w:rsidRPr="00124B71">
        <w:rPr>
          <w:rFonts w:cs="Times New Roman"/>
        </w:rPr>
        <w:t xml:space="preserve"> This proved problematic in the Great Depression</w:t>
      </w:r>
      <w:r w:rsidR="001858B5">
        <w:rPr>
          <w:rFonts w:cs="Times New Roman"/>
        </w:rPr>
        <w:fldChar w:fldCharType="begin"/>
      </w:r>
      <w:r w:rsidR="002321D5">
        <w:instrText xml:space="preserve"> XE "</w:instrText>
      </w:r>
      <w:r w:rsidR="002321D5" w:rsidRPr="00FE6E68">
        <w:rPr>
          <w:rFonts w:cs="Times New Roman"/>
        </w:rPr>
        <w:instrText>Great Depression</w:instrText>
      </w:r>
      <w:r w:rsidR="002321D5">
        <w:instrText xml:space="preserve">" </w:instrText>
      </w:r>
      <w:r w:rsidR="001858B5">
        <w:rPr>
          <w:rFonts w:cs="Times New Roman"/>
        </w:rPr>
        <w:fldChar w:fldCharType="end"/>
      </w:r>
      <w:r w:rsidRPr="00124B71">
        <w:rPr>
          <w:rFonts w:cs="Times New Roman"/>
        </w:rPr>
        <w:t xml:space="preserve"> as many out-of-work owners defaulted on their loans. A mechanism had to be found to get new buyers into the markets and allow them to pay off the loan. The answer was the 30-year, fixed-rate amortizing loan. To say this was an innovation is a stretch as this loan has been around as long as banking has existed, but it did not become widely used until equity requirements were lowered. The lenders were willing to lower the equity requirements as long as the loan was amortizing because their risk would decline as time went by and the loan balance was paid off.</w:t>
      </w:r>
    </w:p>
    <w:p w14:paraId="03FDAE5E" w14:textId="77777777" w:rsidR="00241A3F" w:rsidRPr="00124B71" w:rsidRDefault="00241A3F" w:rsidP="00241A3F">
      <w:pPr>
        <w:rPr>
          <w:rFonts w:cs="Times New Roman"/>
        </w:rPr>
      </w:pPr>
      <w:r w:rsidRPr="00124B71">
        <w:rPr>
          <w:rFonts w:cs="Times New Roman"/>
        </w:rPr>
        <w:t>Over the last 60 years since World War II</w:t>
      </w:r>
      <w:r w:rsidR="001858B5">
        <w:rPr>
          <w:rFonts w:cs="Times New Roman"/>
        </w:rPr>
        <w:fldChar w:fldCharType="begin"/>
      </w:r>
      <w:r w:rsidR="00F71DE5">
        <w:instrText xml:space="preserve"> XE "</w:instrText>
      </w:r>
      <w:r w:rsidR="00F71DE5" w:rsidRPr="00545A6E">
        <w:rPr>
          <w:rFonts w:cs="Times New Roman"/>
        </w:rPr>
        <w:instrText>World War II</w:instrText>
      </w:r>
      <w:r w:rsidR="00F71DE5">
        <w:instrText xml:space="preserve">" </w:instrText>
      </w:r>
      <w:r w:rsidR="001858B5">
        <w:rPr>
          <w:rFonts w:cs="Times New Roman"/>
        </w:rPr>
        <w:fldChar w:fldCharType="end"/>
      </w:r>
      <w:r w:rsidRPr="00124B71">
        <w:rPr>
          <w:rFonts w:cs="Times New Roman"/>
        </w:rPr>
        <w:t xml:space="preserve"> ended, a number of experimental loan programs have been attempted. These include interest-only loans, adjustable rate loans, and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loans among others. It is this group of loans that has consistently failed in the past for one simple reason: if payments can adjust higher, people will default. The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Pr="00124B71">
        <w:rPr>
          <w:rFonts w:cs="Times New Roman"/>
        </w:rPr>
        <w:t xml:space="preserve"> is certainly the most sophisticated loan ever developed. It is also a dismal failure, not because it </w:t>
      </w:r>
      <w:r w:rsidR="00093055" w:rsidRPr="00124B71">
        <w:rPr>
          <w:rFonts w:cs="Times New Roman"/>
        </w:rPr>
        <w:t>lacks</w:t>
      </w:r>
      <w:r w:rsidRPr="00124B71">
        <w:rPr>
          <w:rFonts w:cs="Times New Roman"/>
        </w:rPr>
        <w:t xml:space="preserve"> sophisticat</w:t>
      </w:r>
      <w:r w:rsidR="00093055" w:rsidRPr="00124B71">
        <w:rPr>
          <w:rFonts w:cs="Times New Roman"/>
        </w:rPr>
        <w:t>ion</w:t>
      </w:r>
      <w:r w:rsidRPr="00124B71">
        <w:rPr>
          <w:rFonts w:cs="Times New Roman"/>
        </w:rPr>
        <w:t>, but because it has embedded within it the possibility (near certainty) of an increasing payment. Any loan program that has the possibility of a higher future payment will fail because there will be a certain number of people who cannot afford the higher payment.</w:t>
      </w:r>
    </w:p>
    <w:p w14:paraId="361706F8" w14:textId="77777777" w:rsidR="00241A3F" w:rsidRPr="00124B71" w:rsidRDefault="00241A3F" w:rsidP="00241A3F">
      <w:pPr>
        <w:rPr>
          <w:rFonts w:cs="Times New Roman"/>
        </w:rPr>
      </w:pPr>
      <w:r w:rsidRPr="00124B71">
        <w:rPr>
          <w:rFonts w:cs="Times New Roman"/>
        </w:rPr>
        <w:t xml:space="preserve">Here is where the lenders </w:t>
      </w:r>
      <w:r w:rsidR="004B5503" w:rsidRPr="00124B71">
        <w:rPr>
          <w:rFonts w:cs="Times New Roman"/>
        </w:rPr>
        <w:t>delude</w:t>
      </w:r>
      <w:r w:rsidRPr="00124B71">
        <w:rPr>
          <w:rFonts w:cs="Times New Roman"/>
        </w:rPr>
        <w:t xml:space="preserve"> themselves and </w:t>
      </w:r>
      <w:r w:rsidR="004B5503" w:rsidRPr="00124B71">
        <w:rPr>
          <w:rFonts w:cs="Times New Roman"/>
        </w:rPr>
        <w:t>deceive</w:t>
      </w:r>
      <w:r w:rsidRPr="00124B71">
        <w:rPr>
          <w:rFonts w:cs="Times New Roman"/>
        </w:rPr>
        <w:t xml:space="preserve"> the general public after a financial debacle like the Savings and Loan</w:t>
      </w:r>
      <w:r w:rsidR="001858B5">
        <w:rPr>
          <w:rFonts w:cs="Times New Roman"/>
        </w:rPr>
        <w:fldChar w:fldCharType="begin"/>
      </w:r>
      <w:r w:rsidR="00FB4BC9">
        <w:instrText xml:space="preserve"> XE "</w:instrText>
      </w:r>
      <w:r w:rsidR="00FB4BC9" w:rsidRPr="001D0DFD">
        <w:rPr>
          <w:rFonts w:cs="Times New Roman"/>
        </w:rPr>
        <w:instrText>Savings and Loan</w:instrText>
      </w:r>
      <w:r w:rsidR="00FB4BC9">
        <w:instrText xml:space="preserve">" </w:instrText>
      </w:r>
      <w:r w:rsidR="001858B5">
        <w:rPr>
          <w:rFonts w:cs="Times New Roman"/>
        </w:rPr>
        <w:fldChar w:fldCharType="end"/>
      </w:r>
      <w:r w:rsidRPr="00124B71">
        <w:rPr>
          <w:rFonts w:cs="Times New Roman"/>
        </w:rPr>
        <w:t xml:space="preserve"> problems of the 1980s or </w:t>
      </w:r>
      <w:r w:rsidR="001A34D5">
        <w:rPr>
          <w:rFonts w:cs="Times New Roman"/>
        </w:rPr>
        <w:lastRenderedPageBreak/>
        <w:t>the Great Housing Bubble</w:t>
      </w:r>
      <w:r w:rsidR="005748BD" w:rsidRPr="00124B71">
        <w:rPr>
          <w:rFonts w:cs="Times New Roman"/>
        </w:rPr>
        <w:t>. T</w:t>
      </w:r>
      <w:r w:rsidRPr="00124B71">
        <w:rPr>
          <w:rFonts w:cs="Times New Roman"/>
        </w:rPr>
        <w:t>hey blame the collapse and the high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Pr="00124B71">
        <w:rPr>
          <w:rFonts w:cs="Times New Roman"/>
        </w:rPr>
        <w:t xml:space="preserve"> on some outside factor rather than the terms and conditions the lenders created all </w:t>
      </w:r>
      <w:r w:rsidR="00093055" w:rsidRPr="00124B71">
        <w:rPr>
          <w:rFonts w:cs="Times New Roman"/>
        </w:rPr>
        <w:t>on their own</w:t>
      </w:r>
      <w:r w:rsidRPr="00124B71">
        <w:rPr>
          <w:rFonts w:cs="Times New Roman"/>
        </w:rPr>
        <w:t xml:space="preserve">. There are still many out there who believe the high default rates and problems in the housing market in the 90s in </w:t>
      </w:r>
      <w:r w:rsidR="00093055" w:rsidRPr="00124B71">
        <w:rPr>
          <w:rFonts w:cs="Times New Roman"/>
        </w:rPr>
        <w:t>California</w:t>
      </w:r>
      <w:r w:rsidRPr="00124B71">
        <w:rPr>
          <w:rFonts w:cs="Times New Roman"/>
        </w:rPr>
        <w:t xml:space="preserve"> were caused by a weak economy. This is rubbish. House prices declined for 6 years. The decline started before the economy went soft, and it continued well after it had recovered. People defaulted because they overextended themselves on loans to buy overpriced housing, and toward the end of the mania, many were using interest-only loans. Whenever lenders start loaning people money with total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ratios over 36% people </w:t>
      </w:r>
      <w:r w:rsidR="005748BD" w:rsidRPr="00124B71">
        <w:rPr>
          <w:rFonts w:cs="Times New Roman"/>
        </w:rPr>
        <w:t>will</w:t>
      </w:r>
      <w:r w:rsidRPr="00124B71">
        <w:rPr>
          <w:rFonts w:cs="Times New Roman"/>
        </w:rPr>
        <w:t xml:space="preserve"> default. Whenever lenders start loaning more than 80% of the purchase price, people</w:t>
      </w:r>
      <w:r w:rsidR="005748BD" w:rsidRPr="00124B71">
        <w:rPr>
          <w:rFonts w:cs="Times New Roman"/>
        </w:rPr>
        <w:t xml:space="preserve"> can</w:t>
      </w:r>
      <w:r w:rsidRPr="00124B71">
        <w:rPr>
          <w:rFonts w:cs="Times New Roman"/>
        </w:rPr>
        <w:t xml:space="preserve"> </w:t>
      </w:r>
      <w:r w:rsidR="005748BD" w:rsidRPr="00124B71">
        <w:rPr>
          <w:rFonts w:cs="Times New Roman"/>
        </w:rPr>
        <w:t>sink</w:t>
      </w:r>
      <w:r w:rsidRPr="00124B71">
        <w:rPr>
          <w:rFonts w:cs="Times New Roman"/>
        </w:rPr>
        <w:t xml:space="preserve"> underwater and </w:t>
      </w:r>
      <w:r w:rsidR="005748BD" w:rsidRPr="00124B71">
        <w:rPr>
          <w:rFonts w:cs="Times New Roman"/>
        </w:rPr>
        <w:t xml:space="preserve">when they do, they will </w:t>
      </w:r>
      <w:r w:rsidR="00754449" w:rsidRPr="00124B71">
        <w:rPr>
          <w:rFonts w:cs="Times New Roman"/>
        </w:rPr>
        <w:t xml:space="preserve">default. This is </w:t>
      </w:r>
      <w:r w:rsidRPr="00124B71">
        <w:rPr>
          <w:rFonts w:cs="Times New Roman"/>
        </w:rPr>
        <w:t xml:space="preserve">not new. It </w:t>
      </w:r>
      <w:r w:rsidR="00381957" w:rsidRPr="00124B71">
        <w:rPr>
          <w:rFonts w:cs="Times New Roman"/>
        </w:rPr>
        <w:t>happened in the early 90s; it happened during the Great Housing Bubble</w:t>
      </w:r>
      <w:r w:rsidRPr="00124B71">
        <w:rPr>
          <w:rFonts w:cs="Times New Roman"/>
        </w:rPr>
        <w:t>, and it happen</w:t>
      </w:r>
      <w:r w:rsidR="00381957" w:rsidRPr="00124B71">
        <w:rPr>
          <w:rFonts w:cs="Times New Roman"/>
        </w:rPr>
        <w:t>ed</w:t>
      </w:r>
      <w:r w:rsidRPr="00124B71">
        <w:rPr>
          <w:rFonts w:cs="Times New Roman"/>
        </w:rPr>
        <w:t xml:space="preserve"> for the same reasons: lax lending standards.</w:t>
      </w:r>
    </w:p>
    <w:p w14:paraId="2C732DA0" w14:textId="77777777" w:rsidR="00241A3F" w:rsidRPr="00124B71" w:rsidRDefault="00241A3F" w:rsidP="00241A3F">
      <w:pPr>
        <w:rPr>
          <w:rFonts w:cs="Times New Roman"/>
        </w:rPr>
      </w:pPr>
      <w:r w:rsidRPr="00124B71">
        <w:rPr>
          <w:rFonts w:cs="Times New Roman"/>
        </w:rPr>
        <w:t>Someday the lending community may actually innovate and come up with some financial product that has low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Pr="00124B71">
        <w:rPr>
          <w:rFonts w:cs="Times New Roman"/>
        </w:rPr>
        <w:t xml:space="preserve"> which most people can qualify to obtain</w:t>
      </w:r>
      <w:r w:rsidR="007C469A">
        <w:rPr>
          <w:rFonts w:cs="Times New Roman"/>
        </w:rPr>
        <w:t>–</w:t>
      </w:r>
      <w:r w:rsidRPr="00124B71">
        <w:rPr>
          <w:rFonts w:cs="Times New Roman"/>
        </w:rPr>
        <w:t xml:space="preserve">or not. Unless you change human nature, there are always going to be people who are too irresponsible to make consistent payments. </w:t>
      </w:r>
      <w:r w:rsidR="005748BD" w:rsidRPr="00124B71">
        <w:rPr>
          <w:rFonts w:cs="Times New Roman"/>
        </w:rPr>
        <w:t>P</w:t>
      </w:r>
      <w:r w:rsidRPr="00124B71">
        <w:rPr>
          <w:rFonts w:cs="Times New Roman"/>
        </w:rPr>
        <w:t xml:space="preserve">eople </w:t>
      </w:r>
      <w:r w:rsidR="005748BD" w:rsidRPr="00124B71">
        <w:rPr>
          <w:rFonts w:cs="Times New Roman"/>
        </w:rPr>
        <w:t xml:space="preserve">either </w:t>
      </w:r>
      <w:r w:rsidRPr="00124B71">
        <w:rPr>
          <w:rFonts w:cs="Times New Roman"/>
        </w:rPr>
        <w:t xml:space="preserve">do or do not make their payments. </w:t>
      </w:r>
      <w:r w:rsidR="00381957" w:rsidRPr="00124B71">
        <w:rPr>
          <w:rFonts w:cs="Times New Roman"/>
        </w:rPr>
        <w:t xml:space="preserve">This is the key to any loan program. </w:t>
      </w:r>
      <w:r w:rsidRPr="00124B71">
        <w:rPr>
          <w:rFonts w:cs="Times New Roman"/>
        </w:rPr>
        <w:t xml:space="preserve">New terms and schedules can be reinvented over and over again, and it will always boil down to people making payments. When </w:t>
      </w:r>
      <w:r w:rsidR="00550C63" w:rsidRPr="00124B71">
        <w:rPr>
          <w:rFonts w:cs="Times New Roman"/>
        </w:rPr>
        <w:t>complicated</w:t>
      </w:r>
      <w:r w:rsidRPr="00124B71">
        <w:rPr>
          <w:rFonts w:cs="Times New Roman"/>
        </w:rPr>
        <w:t xml:space="preserve"> loan programs contain provisions that make it difficult for people to make payments</w:t>
      </w:r>
      <w:r w:rsidR="007C469A">
        <w:rPr>
          <w:rFonts w:cs="Times New Roman"/>
        </w:rPr>
        <w:t>–</w:t>
      </w:r>
      <w:r w:rsidRPr="00124B71">
        <w:rPr>
          <w:rFonts w:cs="Times New Roman"/>
        </w:rPr>
        <w:t>like increasing payment amounts</w:t>
      </w:r>
      <w:r w:rsidR="007C469A">
        <w:rPr>
          <w:rFonts w:cs="Times New Roman"/>
        </w:rPr>
        <w:t>–</w:t>
      </w:r>
      <w:r w:rsidRPr="00124B71">
        <w:rPr>
          <w:rFonts w:cs="Times New Roman"/>
        </w:rPr>
        <w:t>they will default, and the loan program will fail. This is certain.</w:t>
      </w:r>
    </w:p>
    <w:p w14:paraId="59AA26F8" w14:textId="77777777" w:rsidR="00241A3F" w:rsidRPr="00124B71" w:rsidRDefault="00241A3F" w:rsidP="00241A3F">
      <w:pPr>
        <w:rPr>
          <w:rFonts w:cs="Times New Roman"/>
        </w:rPr>
      </w:pPr>
      <w:r w:rsidRPr="00124B71">
        <w:rPr>
          <w:rFonts w:cs="Times New Roman"/>
        </w:rPr>
        <w:t>When</w:t>
      </w:r>
      <w:r w:rsidR="00754449" w:rsidRPr="00124B71">
        <w:rPr>
          <w:rFonts w:cs="Times New Roman"/>
        </w:rPr>
        <w:t>ever</w:t>
      </w:r>
      <w:r w:rsidRPr="00124B71">
        <w:rPr>
          <w:rFonts w:cs="Times New Roman"/>
        </w:rPr>
        <w:t xml:space="preserve"> lenders create new, “sophisticated” loan programs that require advanced financial management on the part of the borrower, both the lenders and the borrowers fall victim to the Lake Wobegon effect</w:t>
      </w:r>
      <w:r w:rsidR="001858B5">
        <w:rPr>
          <w:rFonts w:cs="Times New Roman"/>
        </w:rPr>
        <w:fldChar w:fldCharType="begin"/>
      </w:r>
      <w:r w:rsidR="00FA2AEF">
        <w:instrText xml:space="preserve"> XE "</w:instrText>
      </w:r>
      <w:r w:rsidR="00FA2AEF" w:rsidRPr="003B1F52">
        <w:rPr>
          <w:rFonts w:cs="Times New Roman"/>
        </w:rPr>
        <w:instrText>Lake Wobegon effect</w:instrText>
      </w:r>
      <w:r w:rsidR="00FA2AEF">
        <w:instrText xml:space="preserve">" </w:instrText>
      </w:r>
      <w:r w:rsidR="001858B5">
        <w:rPr>
          <w:rFonts w:cs="Times New Roman"/>
        </w:rPr>
        <w:fldChar w:fldCharType="end"/>
      </w:r>
      <w:r w:rsidR="00813A15" w:rsidRPr="00124B71">
        <w:rPr>
          <w:rFonts w:cs="Times New Roman"/>
        </w:rPr>
        <w:t>.</w:t>
      </w:r>
      <w:r w:rsidR="00FC3036" w:rsidRPr="00124B71">
        <w:rPr>
          <w:rFonts w:cs="Times New Roman"/>
        </w:rPr>
        <w:t xml:space="preserve"> </w:t>
      </w:r>
      <w:r w:rsidR="00550C63" w:rsidRPr="00124B71">
        <w:rPr>
          <w:rStyle w:val="EndnoteReference"/>
          <w:rFonts w:cs="Times New Roman"/>
        </w:rPr>
        <w:endnoteReference w:id="44"/>
      </w:r>
      <w:r w:rsidRPr="00124B71">
        <w:rPr>
          <w:rFonts w:cs="Times New Roman"/>
        </w:rPr>
        <w:t xml:space="preserve"> Everyone thinks they have above average abilities when it comes to managing their finances. In reality, perhaps 2% of borrowers have the financial discipline to handle an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Pr="00124B71">
        <w:rPr>
          <w:rFonts w:cs="Times New Roman"/>
        </w:rPr>
        <w:t xml:space="preserve"> loan. Unfortunately, 80% of borrowers think they are in this 2%. The reason for this comes from the inherent conflict between emotions and intellect. </w:t>
      </w:r>
      <w:r w:rsidR="00381957" w:rsidRPr="00124B71">
        <w:rPr>
          <w:rFonts w:cs="Times New Roman"/>
        </w:rPr>
        <w:t>Eighty percent</w:t>
      </w:r>
      <w:r w:rsidRPr="00124B71">
        <w:rPr>
          <w:rFonts w:cs="Times New Roman"/>
        </w:rPr>
        <w:t xml:space="preserve"> of borrowers may understand the Option ARM loan</w:t>
      </w:r>
      <w:r w:rsidR="00093055" w:rsidRPr="00124B71">
        <w:rPr>
          <w:rFonts w:cs="Times New Roman"/>
        </w:rPr>
        <w:t xml:space="preserve"> (or think they do</w:t>
      </w:r>
      <w:r w:rsidRPr="00124B71">
        <w:rPr>
          <w:rFonts w:cs="Times New Roman"/>
        </w:rPr>
        <w:t>,</w:t>
      </w:r>
      <w:r w:rsidR="00093055" w:rsidRPr="00124B71">
        <w:rPr>
          <w:rFonts w:cs="Times New Roman"/>
        </w:rPr>
        <w:t>)</w:t>
      </w:r>
      <w:r w:rsidRPr="00124B71">
        <w:rPr>
          <w:rFonts w:cs="Times New Roman"/>
        </w:rPr>
        <w:t xml:space="preserve"> but when the pressures of daily life create emotional demands for spending money on </w:t>
      </w:r>
      <w:r w:rsidR="00D03BB1" w:rsidRPr="00124B71">
        <w:rPr>
          <w:rFonts w:cs="Times New Roman"/>
        </w:rPr>
        <w:t>one’s</w:t>
      </w:r>
      <w:r w:rsidRPr="00124B71">
        <w:rPr>
          <w:rFonts w:cs="Times New Roman"/>
        </w:rPr>
        <w:t xml:space="preserve"> lifestyle, the intellectual knowledge that this money should go toward a housing payment is conveniently set aside. It is this 2% of the most disciplined borrowers who will cut back on discretionary spending to make their full housing payment. Everyone else will make the minimum payment, fall behind on their mortgage, and end up in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w:t>
      </w:r>
    </w:p>
    <w:p w14:paraId="6FA5DBBF" w14:textId="77777777" w:rsidR="00241A3F" w:rsidRPr="00124B71" w:rsidRDefault="00241A3F" w:rsidP="00241A3F">
      <w:pPr>
        <w:rPr>
          <w:rFonts w:cs="Times New Roman"/>
        </w:rPr>
      </w:pPr>
      <w:r w:rsidRPr="00124B71">
        <w:rPr>
          <w:rFonts w:cs="Times New Roman"/>
        </w:rPr>
        <w:t>It seems lenders forget basic facts about lending every so often and create a new financial bubble</w:t>
      </w:r>
      <w:r w:rsidR="001858B5">
        <w:rPr>
          <w:rFonts w:cs="Times New Roman"/>
        </w:rPr>
        <w:fldChar w:fldCharType="begin"/>
      </w:r>
      <w:r w:rsidR="002321D5">
        <w:instrText xml:space="preserve"> XE "</w:instrText>
      </w:r>
      <w:r w:rsidR="002321D5" w:rsidRPr="005E11A5">
        <w:rPr>
          <w:rFonts w:cs="Times New Roman"/>
        </w:rPr>
        <w:instrText>financial bubble</w:instrText>
      </w:r>
      <w:r w:rsidR="002321D5">
        <w:instrText xml:space="preserve">" </w:instrText>
      </w:r>
      <w:r w:rsidR="001858B5">
        <w:rPr>
          <w:rFonts w:cs="Times New Roman"/>
        </w:rPr>
        <w:fldChar w:fldCharType="end"/>
      </w:r>
      <w:r w:rsidRPr="00124B71">
        <w:rPr>
          <w:rFonts w:cs="Times New Roman"/>
        </w:rPr>
        <w:t xml:space="preserve">. Perhaps they succumb to the pressure of the investment community or their own shareholders, or perhaps they just start believing their own “innovation” </w:t>
      </w:r>
      <w:r w:rsidR="00D03BB1" w:rsidRPr="00124B71">
        <w:rPr>
          <w:rFonts w:cs="Times New Roman"/>
        </w:rPr>
        <w:t>marketing pitch</w:t>
      </w:r>
      <w:r w:rsidRPr="00124B71">
        <w:rPr>
          <w:rFonts w:cs="Times New Roman"/>
        </w:rPr>
        <w:t xml:space="preserve"> and forget the basics of sound lending practices. This is why </w:t>
      </w:r>
      <w:r w:rsidR="00D03BB1" w:rsidRPr="00124B71">
        <w:rPr>
          <w:rFonts w:cs="Times New Roman"/>
        </w:rPr>
        <w:t>there are</w:t>
      </w:r>
      <w:r w:rsidRPr="00124B71">
        <w:rPr>
          <w:rFonts w:cs="Times New Roman"/>
        </w:rPr>
        <w:t xml:space="preserve"> recession</w:t>
      </w:r>
      <w:r w:rsidR="00D03BB1" w:rsidRPr="00124B71">
        <w:rPr>
          <w:rFonts w:cs="Times New Roman"/>
        </w:rPr>
        <w:t>s at the end of a business cycle</w:t>
      </w:r>
      <w:r w:rsidRPr="00124B71">
        <w:rPr>
          <w:rFonts w:cs="Times New Roman"/>
        </w:rPr>
        <w:t>. These pathologic lending practices must be purged from the system or else they will survive to build an ev</w:t>
      </w:r>
      <w:r w:rsidR="00F12900" w:rsidRPr="00124B71">
        <w:rPr>
          <w:rFonts w:cs="Times New Roman"/>
        </w:rPr>
        <w:t>en bigger and costlier bubble. A</w:t>
      </w:r>
      <w:r w:rsidRPr="00124B71">
        <w:rPr>
          <w:rFonts w:cs="Times New Roman"/>
        </w:rPr>
        <w:t xml:space="preserve">lthough it is difficult to imagine a bubble bigger than </w:t>
      </w:r>
      <w:r w:rsidR="001A34D5">
        <w:rPr>
          <w:rFonts w:cs="Times New Roman"/>
        </w:rPr>
        <w:t>the Great Housing Bubble</w:t>
      </w:r>
      <w:r w:rsidRPr="00124B71">
        <w:rPr>
          <w:rFonts w:cs="Times New Roman"/>
        </w:rPr>
        <w:t>, it is still possible.</w:t>
      </w:r>
    </w:p>
    <w:p w14:paraId="48EC1E8E" w14:textId="77777777" w:rsidR="00241A3F" w:rsidRPr="00124B71" w:rsidRDefault="00241A3F" w:rsidP="00241A3F">
      <w:pPr>
        <w:rPr>
          <w:rFonts w:cs="Times New Roman"/>
        </w:rPr>
      </w:pPr>
      <w:r w:rsidRPr="00124B71">
        <w:rPr>
          <w:rFonts w:cs="Times New Roman"/>
        </w:rPr>
        <w:lastRenderedPageBreak/>
        <w:t xml:space="preserve">In the aftermath of a financial fiasco, lenders return to the practices that did not fail them in the past. The only program lenders know </w:t>
      </w:r>
      <w:r w:rsidR="00F12900" w:rsidRPr="00124B71">
        <w:rPr>
          <w:rFonts w:cs="Times New Roman"/>
        </w:rPr>
        <w:t>empirically to be</w:t>
      </w:r>
      <w:r w:rsidRPr="00124B71">
        <w:rPr>
          <w:rFonts w:cs="Times New Roman"/>
        </w:rPr>
        <w:t xml:space="preserve"> stable is a 30-year, fixed-rate, conventionally amortizing loan based on 80% of appraised value taking no more than 28% of a borrower</w:t>
      </w:r>
      <w:r w:rsidR="00532B3B" w:rsidRPr="00124B71">
        <w:rPr>
          <w:rFonts w:cs="Times New Roman"/>
        </w:rPr>
        <w:t>’</w:t>
      </w:r>
      <w:r w:rsidRPr="00124B71">
        <w:rPr>
          <w:rFonts w:cs="Times New Roman"/>
        </w:rPr>
        <w:t>s gross income (36% maximum total debt</w:t>
      </w:r>
      <w:r w:rsidR="00A40CA5" w:rsidRPr="00124B71">
        <w:rPr>
          <w:rFonts w:cs="Times New Roman"/>
        </w:rPr>
        <w:t>).</w:t>
      </w:r>
      <w:r w:rsidRPr="00124B71">
        <w:rPr>
          <w:rFonts w:cs="Times New Roman"/>
        </w:rPr>
        <w:t xml:space="preserve"> </w:t>
      </w:r>
      <w:r w:rsidR="00F12900" w:rsidRPr="00124B71">
        <w:rPr>
          <w:rFonts w:cs="Times New Roman"/>
        </w:rPr>
        <w:t>T</w:t>
      </w:r>
      <w:r w:rsidR="00381957" w:rsidRPr="00124B71">
        <w:rPr>
          <w:rFonts w:cs="Times New Roman"/>
        </w:rPr>
        <w:t>he credit crunch</w:t>
      </w:r>
      <w:r w:rsidR="001858B5">
        <w:rPr>
          <w:rFonts w:cs="Times New Roman"/>
        </w:rPr>
        <w:fldChar w:fldCharType="begin"/>
      </w:r>
      <w:r w:rsidR="00FA2AEF">
        <w:instrText xml:space="preserve"> XE "</w:instrText>
      </w:r>
      <w:r w:rsidR="00FA2AEF" w:rsidRPr="00F6304A">
        <w:rPr>
          <w:rFonts w:cs="Times New Roman"/>
        </w:rPr>
        <w:instrText>credit crunch</w:instrText>
      </w:r>
      <w:r w:rsidR="00FA2AEF">
        <w:instrText xml:space="preserve">" </w:instrText>
      </w:r>
      <w:r w:rsidR="001858B5">
        <w:rPr>
          <w:rFonts w:cs="Times New Roman"/>
        </w:rPr>
        <w:fldChar w:fldCharType="end"/>
      </w:r>
      <w:r w:rsidR="00381957" w:rsidRPr="00124B71">
        <w:rPr>
          <w:rFonts w:cs="Times New Roman"/>
        </w:rPr>
        <w:t xml:space="preserve"> facilitated the decline in housing prices after the Great Housing Bubble</w:t>
      </w:r>
      <w:r w:rsidR="00F12900" w:rsidRPr="00124B71">
        <w:rPr>
          <w:rFonts w:cs="Times New Roman"/>
        </w:rPr>
        <w:t>. L</w:t>
      </w:r>
      <w:r w:rsidRPr="00124B71">
        <w:rPr>
          <w:rFonts w:cs="Times New Roman"/>
        </w:rPr>
        <w:t>arge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00381957" w:rsidRPr="00124B71">
        <w:rPr>
          <w:rFonts w:cs="Times New Roman"/>
        </w:rPr>
        <w:t xml:space="preserve"> came</w:t>
      </w:r>
      <w:r w:rsidRPr="00124B71">
        <w:rPr>
          <w:rFonts w:cs="Times New Roman"/>
        </w:rPr>
        <w:t xml:space="preserve"> back, and government assisted financing bec</w:t>
      </w:r>
      <w:r w:rsidR="00381957" w:rsidRPr="00124B71">
        <w:rPr>
          <w:rFonts w:cs="Times New Roman"/>
        </w:rPr>
        <w:t>a</w:t>
      </w:r>
      <w:r w:rsidRPr="00124B71">
        <w:rPr>
          <w:rFonts w:cs="Times New Roman"/>
        </w:rPr>
        <w:t>me widely used by first-time homebuyers to overcome the high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requirements. The credit crunch was not caused by some unexpected or unknown </w:t>
      </w:r>
      <w:r w:rsidR="00754449" w:rsidRPr="00124B71">
        <w:rPr>
          <w:rFonts w:cs="Times New Roman"/>
        </w:rPr>
        <w:t>factor;</w:t>
      </w:r>
      <w:r w:rsidRPr="00124B71">
        <w:rPr>
          <w:rFonts w:cs="Times New Roman"/>
        </w:rPr>
        <w:t xml:space="preserve"> it was caused by the failure of lenders. Credit continue</w:t>
      </w:r>
      <w:r w:rsidR="00381957" w:rsidRPr="00124B71">
        <w:rPr>
          <w:rFonts w:cs="Times New Roman"/>
        </w:rPr>
        <w:t>d</w:t>
      </w:r>
      <w:r w:rsidRPr="00124B71">
        <w:rPr>
          <w:rFonts w:cs="Times New Roman"/>
        </w:rPr>
        <w:t xml:space="preserve"> to tighten until lenders stop</w:t>
      </w:r>
      <w:r w:rsidR="00381957" w:rsidRPr="00124B71">
        <w:rPr>
          <w:rFonts w:cs="Times New Roman"/>
        </w:rPr>
        <w:t>ped</w:t>
      </w:r>
      <w:r w:rsidRPr="00124B71">
        <w:rPr>
          <w:rFonts w:cs="Times New Roman"/>
        </w:rPr>
        <w:t xml:space="preserve"> making bad loans. The bad loans </w:t>
      </w:r>
      <w:r w:rsidR="00381957" w:rsidRPr="00124B71">
        <w:rPr>
          <w:rFonts w:cs="Times New Roman"/>
        </w:rPr>
        <w:t>did</w:t>
      </w:r>
      <w:r w:rsidRPr="00124B71">
        <w:rPr>
          <w:rFonts w:cs="Times New Roman"/>
        </w:rPr>
        <w:t xml:space="preserve"> not disappear until lenders return</w:t>
      </w:r>
      <w:r w:rsidR="00381957" w:rsidRPr="00124B71">
        <w:rPr>
          <w:rFonts w:cs="Times New Roman"/>
        </w:rPr>
        <w:t>ed</w:t>
      </w:r>
      <w:r w:rsidRPr="00124B71">
        <w:rPr>
          <w:rFonts w:cs="Times New Roman"/>
        </w:rPr>
        <w:t xml:space="preserve"> to the stable loan programs with a proven track record. That is how the credit cycle</w:t>
      </w:r>
      <w:r w:rsidR="001858B5">
        <w:rPr>
          <w:rFonts w:cs="Times New Roman"/>
        </w:rPr>
        <w:fldChar w:fldCharType="begin"/>
      </w:r>
      <w:r w:rsidR="003852DB">
        <w:instrText xml:space="preserve"> XE "</w:instrText>
      </w:r>
      <w:r w:rsidR="003852DB" w:rsidRPr="00E437D3">
        <w:rPr>
          <w:rFonts w:cs="Times New Roman"/>
        </w:rPr>
        <w:instrText>credit cycle</w:instrText>
      </w:r>
      <w:r w:rsidR="003852DB">
        <w:instrText xml:space="preserve">" </w:instrText>
      </w:r>
      <w:r w:rsidR="001858B5">
        <w:rPr>
          <w:rFonts w:cs="Times New Roman"/>
        </w:rPr>
        <w:fldChar w:fldCharType="end"/>
      </w:r>
      <w:r w:rsidRPr="00124B71">
        <w:rPr>
          <w:rFonts w:cs="Times New Roman"/>
        </w:rPr>
        <w:t xml:space="preserve"> works</w:t>
      </w:r>
      <w:r w:rsidR="00813A15" w:rsidRPr="00124B71">
        <w:rPr>
          <w:rFonts w:cs="Times New Roman"/>
        </w:rPr>
        <w:t>.</w:t>
      </w:r>
      <w:r w:rsidR="00FC3036" w:rsidRPr="00124B71">
        <w:rPr>
          <w:rFonts w:cs="Times New Roman"/>
        </w:rPr>
        <w:t xml:space="preserve"> </w:t>
      </w:r>
      <w:r w:rsidR="00460DF9" w:rsidRPr="00124B71">
        <w:rPr>
          <w:rStyle w:val="EndnoteReference"/>
          <w:rFonts w:cs="Times New Roman"/>
        </w:rPr>
        <w:endnoteReference w:id="45"/>
      </w:r>
    </w:p>
    <w:p w14:paraId="255D0448" w14:textId="77777777" w:rsidR="001767A9" w:rsidRPr="00EF0EDA" w:rsidRDefault="001767A9" w:rsidP="004E08E7">
      <w:pPr>
        <w:pStyle w:val="Heading2"/>
      </w:pPr>
      <w:bookmarkStart w:id="45" w:name="_Toc238867290"/>
      <w:r w:rsidRPr="00EF0EDA">
        <w:t>Summary</w:t>
      </w:r>
      <w:bookmarkEnd w:id="45"/>
    </w:p>
    <w:p w14:paraId="7C79F7B3" w14:textId="77777777" w:rsidR="00160680" w:rsidRPr="00124B71" w:rsidRDefault="00E2042C" w:rsidP="008560E2">
      <w:pPr>
        <w:rPr>
          <w:rFonts w:cs="Times New Roman"/>
        </w:rPr>
      </w:pPr>
      <w:r w:rsidRPr="00124B71">
        <w:rPr>
          <w:rFonts w:cs="Times New Roman"/>
        </w:rPr>
        <w:t>To be financially conservative is to</w:t>
      </w:r>
      <w:r w:rsidR="00E07524" w:rsidRPr="00124B71">
        <w:rPr>
          <w:rFonts w:cs="Times New Roman"/>
        </w:rPr>
        <w:t xml:space="preserve"> accumulate wealth and to</w:t>
      </w:r>
      <w:r w:rsidRPr="00124B71">
        <w:rPr>
          <w:rFonts w:cs="Times New Roman"/>
        </w:rPr>
        <w:t xml:space="preserve"> be risk adverse. </w:t>
      </w:r>
      <w:r w:rsidR="00E07524" w:rsidRPr="00124B71">
        <w:rPr>
          <w:rFonts w:cs="Times New Roman"/>
        </w:rPr>
        <w:t>It requires managing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E07524" w:rsidRPr="00124B71">
        <w:rPr>
          <w:rFonts w:cs="Times New Roman"/>
        </w:rPr>
        <w:t xml:space="preserve">, paying down a mortgage loan, and allowing net worth to accumulate rather than </w:t>
      </w:r>
      <w:r w:rsidR="00F12900" w:rsidRPr="00124B71">
        <w:rPr>
          <w:rFonts w:cs="Times New Roman"/>
        </w:rPr>
        <w:t>depleting</w:t>
      </w:r>
      <w:r w:rsidR="00E07524" w:rsidRPr="00124B71">
        <w:rPr>
          <w:rFonts w:cs="Times New Roman"/>
        </w:rPr>
        <w:t xml:space="preserve"> it</w:t>
      </w:r>
      <w:r w:rsidR="00F12900" w:rsidRPr="00124B71">
        <w:rPr>
          <w:rFonts w:cs="Times New Roman"/>
        </w:rPr>
        <w:t xml:space="preserve"> via</w:t>
      </w:r>
      <w:r w:rsidR="00E07524" w:rsidRPr="00124B71">
        <w:rPr>
          <w:rFonts w:cs="Times New Roman"/>
        </w:rPr>
        <w:t xml:space="preserve"> consumer spending through mortgage equity withdrawal. </w:t>
      </w:r>
      <w:r w:rsidRPr="00124B71">
        <w:rPr>
          <w:rFonts w:cs="Times New Roman"/>
        </w:rPr>
        <w:t xml:space="preserve">Many people do not realize the risk they take on when they use some of the innovative loan programs developed during the bubble. Exotic financing terms are not exotic anymore. Interest-only, adjustable </w:t>
      </w:r>
      <w:r w:rsidR="0083471D" w:rsidRPr="00124B71">
        <w:rPr>
          <w:rFonts w:cs="Times New Roman"/>
        </w:rPr>
        <w:t>rates</w:t>
      </w:r>
      <w:r w:rsidRPr="00124B71">
        <w:rPr>
          <w:rFonts w:cs="Times New Roman"/>
        </w:rPr>
        <w:t xml:space="preserve"> and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have become so ubiquitous that nobody seems to remember why 30-year fixed-rate mortgages are used. </w:t>
      </w:r>
      <w:r w:rsidR="00E07524" w:rsidRPr="00124B71">
        <w:rPr>
          <w:rFonts w:cs="Times New Roman"/>
        </w:rPr>
        <w:t>A</w:t>
      </w:r>
      <w:r w:rsidR="001767A9" w:rsidRPr="00124B71">
        <w:rPr>
          <w:rFonts w:cs="Times New Roman"/>
        </w:rPr>
        <w:t xml:space="preserve"> home</w:t>
      </w:r>
      <w:r w:rsidR="00E07524" w:rsidRPr="00124B71">
        <w:rPr>
          <w:rFonts w:cs="Times New Roman"/>
        </w:rPr>
        <w:t xml:space="preserve"> should be financed</w:t>
      </w:r>
      <w:r w:rsidR="001767A9" w:rsidRPr="00124B71">
        <w:rPr>
          <w:rFonts w:cs="Times New Roman"/>
        </w:rPr>
        <w:t xml:space="preserve"> with a fixed-rate conventionally-amortized mortgage</w:t>
      </w:r>
      <w:r w:rsidR="001858B5">
        <w:rPr>
          <w:rFonts w:cs="Times New Roman"/>
        </w:rPr>
        <w:fldChar w:fldCharType="begin"/>
      </w:r>
      <w:r w:rsidR="00E84A0F">
        <w:instrText xml:space="preserve"> XE "</w:instrText>
      </w:r>
      <w:r w:rsidR="00E84A0F" w:rsidRPr="000451A3">
        <w:rPr>
          <w:rFonts w:cs="Times New Roman"/>
        </w:rPr>
        <w:instrText>fixed-rate conventionally-amortized mortgage</w:instrText>
      </w:r>
      <w:r w:rsidR="00E84A0F">
        <w:instrText xml:space="preserve">" </w:instrText>
      </w:r>
      <w:r w:rsidR="001858B5">
        <w:rPr>
          <w:rFonts w:cs="Times New Roman"/>
        </w:rPr>
        <w:fldChar w:fldCharType="end"/>
      </w:r>
      <w:r w:rsidR="001767A9" w:rsidRPr="00124B71">
        <w:rPr>
          <w:rFonts w:cs="Times New Roman"/>
        </w:rPr>
        <w:t xml:space="preserve"> and a sizable downpayment. The reason for this is simple stress management: nobody wants to spend the next several years worried about a loan reset or</w:t>
      </w:r>
      <w:r w:rsidRPr="00124B71">
        <w:rPr>
          <w:rFonts w:cs="Times New Roman"/>
        </w:rPr>
        <w:t xml:space="preserve"> the need for increasing</w:t>
      </w:r>
      <w:r w:rsidR="001767A9" w:rsidRPr="00124B71">
        <w:rPr>
          <w:rFonts w:cs="Times New Roman"/>
        </w:rPr>
        <w:t xml:space="preserve"> house value</w:t>
      </w:r>
      <w:r w:rsidRPr="00124B71">
        <w:rPr>
          <w:rFonts w:cs="Times New Roman"/>
        </w:rPr>
        <w:t>s</w:t>
      </w:r>
      <w:r w:rsidR="001767A9" w:rsidRPr="00124B71">
        <w:rPr>
          <w:rFonts w:cs="Times New Roman"/>
        </w:rPr>
        <w:t xml:space="preserve"> or future salary </w:t>
      </w:r>
      <w:r w:rsidRPr="00124B71">
        <w:rPr>
          <w:rFonts w:cs="Times New Roman"/>
        </w:rPr>
        <w:t>increases</w:t>
      </w:r>
      <w:r w:rsidR="001767A9" w:rsidRPr="00124B71">
        <w:rPr>
          <w:rFonts w:cs="Times New Roman"/>
        </w:rPr>
        <w:t xml:space="preserve">. </w:t>
      </w:r>
      <w:r w:rsidR="0021265C" w:rsidRPr="00124B71">
        <w:rPr>
          <w:rFonts w:cs="Times New Roman"/>
        </w:rPr>
        <w:t>People should</w:t>
      </w:r>
      <w:r w:rsidR="001767A9" w:rsidRPr="00124B71">
        <w:rPr>
          <w:rFonts w:cs="Times New Roman"/>
        </w:rPr>
        <w:t xml:space="preserve"> not buy with </w:t>
      </w:r>
      <w:r w:rsidR="0021265C" w:rsidRPr="00124B71">
        <w:rPr>
          <w:rFonts w:cs="Times New Roman"/>
        </w:rPr>
        <w:t xml:space="preserve">the </w:t>
      </w:r>
      <w:r w:rsidR="001767A9" w:rsidRPr="00124B71">
        <w:rPr>
          <w:rFonts w:cs="Times New Roman"/>
        </w:rPr>
        <w:t>desire to make a fortune in real estate</w:t>
      </w:r>
      <w:r w:rsidR="0021265C" w:rsidRPr="00124B71">
        <w:rPr>
          <w:rFonts w:cs="Times New Roman"/>
        </w:rPr>
        <w:t>. Instead</w:t>
      </w:r>
      <w:r w:rsidR="00813A15" w:rsidRPr="00124B71">
        <w:rPr>
          <w:rFonts w:cs="Times New Roman"/>
        </w:rPr>
        <w:t>,</w:t>
      </w:r>
      <w:r w:rsidR="0021265C" w:rsidRPr="00124B71">
        <w:rPr>
          <w:rFonts w:cs="Times New Roman"/>
        </w:rPr>
        <w:t xml:space="preserve"> they should</w:t>
      </w:r>
      <w:r w:rsidR="001767A9" w:rsidRPr="00124B71">
        <w:rPr>
          <w:rFonts w:cs="Times New Roman"/>
        </w:rPr>
        <w:t xml:space="preserve"> purchase with the intent to have a stable housing payment, and a stress-free life.</w:t>
      </w:r>
    </w:p>
    <w:p w14:paraId="6E207B0C" w14:textId="77777777" w:rsidR="009118A7" w:rsidRPr="00124B71" w:rsidRDefault="009118A7" w:rsidP="008560E2">
      <w:pPr>
        <w:rPr>
          <w:rFonts w:cs="Times New Roman"/>
        </w:rPr>
        <w:sectPr w:rsidR="009118A7" w:rsidRPr="00124B71" w:rsidSect="009729DE">
          <w:headerReference w:type="even" r:id="rId36"/>
          <w:headerReference w:type="default" r:id="rId37"/>
          <w:endnotePr>
            <w:numFmt w:val="decimal"/>
          </w:endnotePr>
          <w:type w:val="oddPage"/>
          <w:pgSz w:w="8640" w:h="12960" w:code="173"/>
          <w:pgMar w:top="1008" w:right="936" w:bottom="1080" w:left="936" w:header="504" w:footer="504" w:gutter="0"/>
          <w:cols w:space="720"/>
          <w:titlePg/>
          <w:docGrid w:linePitch="360"/>
        </w:sectPr>
      </w:pPr>
    </w:p>
    <w:p w14:paraId="6F1D6049" w14:textId="77777777" w:rsidR="00C409D3" w:rsidRPr="00EF0EDA" w:rsidRDefault="00C409D3" w:rsidP="00C409D3">
      <w:pPr>
        <w:pStyle w:val="Heading1"/>
      </w:pPr>
      <w:bookmarkStart w:id="46" w:name="_Toc238867291"/>
      <w:r w:rsidRPr="00EF0EDA">
        <w:lastRenderedPageBreak/>
        <w:t>Fundamental Valuation of Houses</w:t>
      </w:r>
      <w:bookmarkEnd w:id="46"/>
    </w:p>
    <w:p w14:paraId="5503C422" w14:textId="77777777" w:rsidR="00E21C61" w:rsidRPr="00124B71" w:rsidRDefault="001767A9" w:rsidP="008560E2">
      <w:pPr>
        <w:rPr>
          <w:rFonts w:cs="Times New Roman"/>
        </w:rPr>
      </w:pPr>
      <w:r w:rsidRPr="00124B71">
        <w:rPr>
          <w:rFonts w:cs="Times New Roman"/>
        </w:rPr>
        <w:t>The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Pr="00124B71">
        <w:rPr>
          <w:rFonts w:cs="Times New Roman"/>
        </w:rPr>
        <w:t xml:space="preserve"> of all housing prices is </w:t>
      </w:r>
      <w:r w:rsidR="00E21C61" w:rsidRPr="00124B71">
        <w:rPr>
          <w:rFonts w:cs="Times New Roman"/>
        </w:rPr>
        <w:t>equivalent</w:t>
      </w:r>
      <w:r w:rsidRPr="00124B71">
        <w:rPr>
          <w:rFonts w:cs="Times New Roman"/>
        </w:rPr>
        <w:t xml:space="preserve"> rents</w:t>
      </w:r>
      <w:r w:rsidR="001858B5">
        <w:rPr>
          <w:rFonts w:cs="Times New Roman"/>
        </w:rPr>
        <w:fldChar w:fldCharType="begin"/>
      </w:r>
      <w:r w:rsidR="00FA2AEF">
        <w:instrText xml:space="preserve"> XE "</w:instrText>
      </w:r>
      <w:r w:rsidR="00FA2AEF" w:rsidRPr="00DF333B">
        <w:rPr>
          <w:rFonts w:cs="Times New Roman"/>
        </w:rPr>
        <w:instrText>equivalent rents</w:instrText>
      </w:r>
      <w:r w:rsidR="00FA2AEF">
        <w:instrText xml:space="preserve">" </w:instrText>
      </w:r>
      <w:r w:rsidR="001858B5">
        <w:rPr>
          <w:rFonts w:cs="Times New Roman"/>
        </w:rPr>
        <w:fldChar w:fldCharType="end"/>
      </w:r>
      <w:r w:rsidRPr="00124B71">
        <w:rPr>
          <w:rFonts w:cs="Times New Roman"/>
        </w:rPr>
        <w:t xml:space="preserve">. Rents define the fundamental value of real estate because rental is a direct proxy for ownership; both rental and ownership provide for possession of property. </w:t>
      </w:r>
      <w:r w:rsidR="00E21C61" w:rsidRPr="00124B71">
        <w:rPr>
          <w:rFonts w:cs="Times New Roman"/>
        </w:rPr>
        <w:t>Equivalent rents are a major component of the United States Government’s Consumer Price Index</w:t>
      </w:r>
      <w:r w:rsidR="001858B5">
        <w:rPr>
          <w:rFonts w:cs="Times New Roman"/>
        </w:rPr>
        <w:fldChar w:fldCharType="begin"/>
      </w:r>
      <w:r w:rsidR="00FA2AEF">
        <w:instrText xml:space="preserve"> XE "</w:instrText>
      </w:r>
      <w:r w:rsidR="00FA2AEF" w:rsidRPr="00666AC0">
        <w:rPr>
          <w:rFonts w:cs="Times New Roman"/>
        </w:rPr>
        <w:instrText>Consumer Price Index</w:instrText>
      </w:r>
      <w:r w:rsidR="00FA2AEF">
        <w:instrText>" \t "</w:instrText>
      </w:r>
      <w:r w:rsidR="00FA2AEF" w:rsidRPr="002D7726">
        <w:rPr>
          <w:rFonts w:asciiTheme="minorHAnsi" w:hAnsiTheme="minorHAnsi"/>
          <w:i/>
        </w:rPr>
        <w:instrText>See</w:instrText>
      </w:r>
      <w:r w:rsidR="00FA2AEF" w:rsidRPr="002D7726">
        <w:rPr>
          <w:rFonts w:asciiTheme="minorHAnsi" w:hAnsiTheme="minorHAnsi"/>
        </w:rPr>
        <w:instrText xml:space="preserve"> CPI</w:instrText>
      </w:r>
      <w:r w:rsidR="00FA2AEF">
        <w:instrText xml:space="preserve">" </w:instrText>
      </w:r>
      <w:r w:rsidR="001858B5">
        <w:rPr>
          <w:rFonts w:cs="Times New Roman"/>
        </w:rPr>
        <w:fldChar w:fldCharType="end"/>
      </w:r>
      <w:r w:rsidR="00E21C61" w:rsidRPr="00124B71">
        <w:rPr>
          <w:rFonts w:cs="Times New Roman"/>
        </w:rPr>
        <w:t xml:space="preserve"> (CPI</w:t>
      </w:r>
      <w:r w:rsidR="001858B5">
        <w:rPr>
          <w:rFonts w:cs="Times New Roman"/>
        </w:rPr>
        <w:fldChar w:fldCharType="begin"/>
      </w:r>
      <w:r w:rsidR="00FA2AEF">
        <w:instrText xml:space="preserve"> XE "</w:instrText>
      </w:r>
      <w:r w:rsidR="00FA2AEF" w:rsidRPr="00ED6E11">
        <w:rPr>
          <w:rFonts w:cs="Times New Roman"/>
        </w:rPr>
        <w:instrText>CPI</w:instrText>
      </w:r>
      <w:r w:rsidR="00FA2AEF">
        <w:instrText xml:space="preserve">" </w:instrText>
      </w:r>
      <w:r w:rsidR="001858B5">
        <w:rPr>
          <w:rFonts w:cs="Times New Roman"/>
        </w:rPr>
        <w:fldChar w:fldCharType="end"/>
      </w:r>
      <w:r w:rsidR="00E21C61" w:rsidRPr="00124B71">
        <w:rPr>
          <w:rFonts w:cs="Times New Roman"/>
        </w:rPr>
        <w:t>)</w:t>
      </w:r>
      <w:r w:rsidR="00813A15" w:rsidRPr="00124B71">
        <w:rPr>
          <w:rFonts w:cs="Times New Roman"/>
        </w:rPr>
        <w:t>.</w:t>
      </w:r>
      <w:r w:rsidR="00FC3036" w:rsidRPr="00124B71">
        <w:rPr>
          <w:rFonts w:cs="Times New Roman"/>
        </w:rPr>
        <w:t xml:space="preserve"> </w:t>
      </w:r>
      <w:r w:rsidR="000F0762" w:rsidRPr="00124B71">
        <w:rPr>
          <w:rStyle w:val="EndnoteReference"/>
          <w:rFonts w:cs="Times New Roman"/>
        </w:rPr>
        <w:endnoteReference w:id="46"/>
      </w:r>
      <w:r w:rsidR="00E21C61" w:rsidRPr="00124B71">
        <w:rPr>
          <w:rFonts w:cs="Times New Roman"/>
        </w:rPr>
        <w:t xml:space="preserve">  According to the US Department of Labor</w:t>
      </w:r>
      <w:r w:rsidR="001858B5">
        <w:rPr>
          <w:rFonts w:cs="Times New Roman"/>
        </w:rPr>
        <w:fldChar w:fldCharType="begin"/>
      </w:r>
      <w:r w:rsidR="00180E6F">
        <w:instrText xml:space="preserve"> XE "</w:instrText>
      </w:r>
      <w:r w:rsidR="00180E6F" w:rsidRPr="0091021A">
        <w:rPr>
          <w:rFonts w:cs="Times New Roman"/>
        </w:rPr>
        <w:instrText>Department of Labor</w:instrText>
      </w:r>
      <w:r w:rsidR="00180E6F">
        <w:instrText xml:space="preserve">" </w:instrText>
      </w:r>
      <w:r w:rsidR="001858B5">
        <w:rPr>
          <w:rFonts w:cs="Times New Roman"/>
        </w:rPr>
        <w:fldChar w:fldCharType="end"/>
      </w:r>
      <w:r w:rsidR="00E21C61" w:rsidRPr="00124B71">
        <w:rPr>
          <w:rFonts w:cs="Times New Roman"/>
        </w:rPr>
        <w:t>, “This approach measures the change in the price of the shelter services provided by owner-occupied</w:t>
      </w:r>
      <w:r w:rsidR="001858B5">
        <w:rPr>
          <w:rFonts w:cs="Times New Roman"/>
        </w:rPr>
        <w:fldChar w:fldCharType="begin"/>
      </w:r>
      <w:r w:rsidR="00FA2AEF">
        <w:instrText xml:space="preserve"> XE "</w:instrText>
      </w:r>
      <w:r w:rsidR="00FA2AEF" w:rsidRPr="002D78BE">
        <w:rPr>
          <w:rFonts w:cs="Times New Roman"/>
        </w:rPr>
        <w:instrText>owner-occupied</w:instrText>
      </w:r>
      <w:r w:rsidR="00FA2AEF">
        <w:instrText xml:space="preserve">" </w:instrText>
      </w:r>
      <w:r w:rsidR="001858B5">
        <w:rPr>
          <w:rFonts w:cs="Times New Roman"/>
        </w:rPr>
        <w:fldChar w:fldCharType="end"/>
      </w:r>
      <w:r w:rsidR="00E21C61" w:rsidRPr="00124B71">
        <w:rPr>
          <w:rFonts w:cs="Times New Roman"/>
        </w:rPr>
        <w:t xml:space="preserve"> housing. Rental equivalence</w:t>
      </w:r>
      <w:r w:rsidR="001858B5">
        <w:rPr>
          <w:rFonts w:cs="Times New Roman"/>
        </w:rPr>
        <w:fldChar w:fldCharType="begin"/>
      </w:r>
      <w:r w:rsidR="00FA2AEF">
        <w:instrText xml:space="preserve"> XE "</w:instrText>
      </w:r>
      <w:r w:rsidR="00FA2AEF" w:rsidRPr="0088684F">
        <w:rPr>
          <w:rFonts w:cs="Times New Roman"/>
        </w:rPr>
        <w:instrText>Rental equivalence</w:instrText>
      </w:r>
      <w:r w:rsidR="00FA2AEF">
        <w:instrText>" \t "</w:instrText>
      </w:r>
      <w:r w:rsidR="00FA2AEF" w:rsidRPr="00052475">
        <w:rPr>
          <w:rFonts w:asciiTheme="minorHAnsi" w:hAnsiTheme="minorHAnsi"/>
          <w:i/>
        </w:rPr>
        <w:instrText>See</w:instrText>
      </w:r>
      <w:r w:rsidR="00FA2AEF" w:rsidRPr="00052475">
        <w:rPr>
          <w:rFonts w:asciiTheme="minorHAnsi" w:hAnsiTheme="minorHAnsi"/>
        </w:rPr>
        <w:instrText xml:space="preserve"> Equivalent Rents</w:instrText>
      </w:r>
      <w:r w:rsidR="00FA2AEF">
        <w:instrText xml:space="preserve">" </w:instrText>
      </w:r>
      <w:r w:rsidR="001858B5">
        <w:rPr>
          <w:rFonts w:cs="Times New Roman"/>
        </w:rPr>
        <w:fldChar w:fldCharType="end"/>
      </w:r>
      <w:r w:rsidR="00E21C61" w:rsidRPr="00124B71">
        <w:rPr>
          <w:rFonts w:cs="Times New Roman"/>
        </w:rPr>
        <w:t xml:space="preserve"> measures the change in the implicit rent, which is the amount a homeowner would pay to rent, or would earn from renting, his or her home in a competitive market. Clearly, the rental value of owned homes is not an easily determined dollar amount, and Housing survey analysts must spend considerable time and effort in estimating this value.” Prior to the first California housing bubble in the late 1970s, the housing cost component of the CPI was measured using actual price changes in the asset. When th</w:t>
      </w:r>
      <w:r w:rsidR="00460DF9" w:rsidRPr="00124B71">
        <w:rPr>
          <w:rFonts w:cs="Times New Roman"/>
        </w:rPr>
        <w:t>is</w:t>
      </w:r>
      <w:r w:rsidR="00E21C61" w:rsidRPr="00124B71">
        <w:rPr>
          <w:rFonts w:cs="Times New Roman"/>
        </w:rPr>
        <w:t xml:space="preserve"> bubble created an enormous distortion in this index, the rental equivalence model was constructed. It has been used to smooth out the psychologically-induced housing price bubbles ever since.</w:t>
      </w:r>
    </w:p>
    <w:p w14:paraId="0C8830AF" w14:textId="77777777" w:rsidR="00E21C61" w:rsidRPr="00124B71" w:rsidRDefault="00E21C61" w:rsidP="008560E2">
      <w:pPr>
        <w:rPr>
          <w:rFonts w:cs="Times New Roman"/>
        </w:rPr>
      </w:pPr>
      <w:r w:rsidRPr="00124B71">
        <w:rPr>
          <w:rFonts w:cs="Times New Roman"/>
        </w:rPr>
        <w:t>An argument can be made for the</w:t>
      </w:r>
      <w:r w:rsidR="004033D3" w:rsidRPr="00124B71">
        <w:rPr>
          <w:rFonts w:cs="Times New Roman"/>
        </w:rPr>
        <w:t xml:space="preserve"> real cost of construction as the fundamental valuation of houses. If house prices in a market fall below the cost of new construction, no new houses will be built because a builder cannot make a profit. If there is continuing demand for housing, the lack of supply will create an imbalance which will cause prices to increase. When new construction becomes profitable again, new product will be brought to market bringing supply and demand</w:t>
      </w:r>
      <w:r w:rsidR="001858B5">
        <w:rPr>
          <w:rFonts w:cs="Times New Roman"/>
        </w:rPr>
        <w:fldChar w:fldCharType="begin"/>
      </w:r>
      <w:r w:rsidR="002321D5">
        <w:instrText xml:space="preserve"> XE "</w:instrText>
      </w:r>
      <w:r w:rsidR="002321D5" w:rsidRPr="00112EC2">
        <w:rPr>
          <w:rFonts w:cs="Times New Roman"/>
        </w:rPr>
        <w:instrText>supply and demand</w:instrText>
      </w:r>
      <w:r w:rsidR="002321D5">
        <w:instrText xml:space="preserve">" </w:instrText>
      </w:r>
      <w:r w:rsidR="001858B5">
        <w:rPr>
          <w:rFonts w:cs="Times New Roman"/>
        </w:rPr>
        <w:fldChar w:fldCharType="end"/>
      </w:r>
      <w:r w:rsidR="004033D3" w:rsidRPr="00124B71">
        <w:rPr>
          <w:rFonts w:cs="Times New Roman"/>
        </w:rPr>
        <w:t xml:space="preserve"> back into balance. If demand continues to be strong, builders will increase production to meet this demand keeping prices near the real cost of construction.</w:t>
      </w:r>
    </w:p>
    <w:p w14:paraId="5FC0655E" w14:textId="77777777" w:rsidR="004033D3" w:rsidRPr="00124B71" w:rsidRDefault="004033D3" w:rsidP="008560E2">
      <w:pPr>
        <w:rPr>
          <w:rFonts w:cs="Times New Roman"/>
        </w:rPr>
      </w:pPr>
      <w:r w:rsidRPr="00124B71">
        <w:rPr>
          <w:rFonts w:cs="Times New Roman"/>
        </w:rPr>
        <w:t>Based on a theory of rational market participants, one would expect that when prices go up and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exceeds the cost of rental, people choose to rent rather than own, and the resulting drop in demand would depress home prices: The inverse would also</w:t>
      </w:r>
      <w:r w:rsidR="0089532A" w:rsidRPr="00124B71">
        <w:rPr>
          <w:rFonts w:cs="Times New Roman"/>
        </w:rPr>
        <w:t xml:space="preserve"> be</w:t>
      </w:r>
      <w:r w:rsidRPr="00124B71">
        <w:rPr>
          <w:rFonts w:cs="Times New Roman"/>
        </w:rPr>
        <w:t xml:space="preserve"> true. Therefore, the proxy relationship between rental and ownership would keep home prices tethered to rental rates. However, this is not the case</w:t>
      </w:r>
      <w:r w:rsidR="00813A15" w:rsidRPr="00124B71">
        <w:rPr>
          <w:rFonts w:cs="Times New Roman"/>
        </w:rPr>
        <w:t>.</w:t>
      </w:r>
      <w:r w:rsidR="00FC3036" w:rsidRPr="00124B71">
        <w:rPr>
          <w:rFonts w:cs="Times New Roman"/>
        </w:rPr>
        <w:t xml:space="preserve"> </w:t>
      </w:r>
      <w:r w:rsidR="00460DF9" w:rsidRPr="00124B71">
        <w:rPr>
          <w:rStyle w:val="EndnoteReference"/>
          <w:rFonts w:cs="Times New Roman"/>
        </w:rPr>
        <w:endnoteReference w:id="47"/>
      </w:r>
      <w:r w:rsidRPr="00124B71">
        <w:rPr>
          <w:rFonts w:cs="Times New Roman"/>
        </w:rPr>
        <w:t xml:space="preserve"> </w:t>
      </w:r>
      <w:r w:rsidR="00460DF9" w:rsidRPr="00124B71">
        <w:rPr>
          <w:rFonts w:cs="Times New Roman"/>
        </w:rPr>
        <w:t xml:space="preserve">If there were only a consumptive </w:t>
      </w:r>
      <w:r w:rsidR="00460DF9" w:rsidRPr="00124B71">
        <w:rPr>
          <w:rFonts w:cs="Times New Roman"/>
        </w:rPr>
        <w:lastRenderedPageBreak/>
        <w:t>value</w:t>
      </w:r>
      <w:r w:rsidR="001858B5">
        <w:rPr>
          <w:rFonts w:cs="Times New Roman"/>
        </w:rPr>
        <w:fldChar w:fldCharType="begin"/>
      </w:r>
      <w:r w:rsidR="00180E6F">
        <w:instrText xml:space="preserve"> XE "</w:instrText>
      </w:r>
      <w:r w:rsidR="00180E6F" w:rsidRPr="00A23D0C">
        <w:rPr>
          <w:rFonts w:cs="Times New Roman"/>
        </w:rPr>
        <w:instrText>consumptive value</w:instrText>
      </w:r>
      <w:r w:rsidR="00180E6F">
        <w:instrText xml:space="preserve">" </w:instrText>
      </w:r>
      <w:r w:rsidR="001858B5">
        <w:rPr>
          <w:rFonts w:cs="Times New Roman"/>
        </w:rPr>
        <w:fldChar w:fldCharType="end"/>
      </w:r>
      <w:r w:rsidR="00460DF9" w:rsidRPr="00124B71">
        <w:rPr>
          <w:rFonts w:cs="Times New Roman"/>
        </w:rPr>
        <w:t xml:space="preserve"> to real estate, the cost of ownership and the cost of rental probably would stay closely aligned; however, since there is an opportunity to profit from speculative excesses in the market, rising prices can lead to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00460DF9" w:rsidRPr="00124B71">
        <w:rPr>
          <w:rFonts w:cs="Times New Roman"/>
        </w:rPr>
        <w:t xml:space="preserve"> as buyers chase speculative gains.</w:t>
      </w:r>
    </w:p>
    <w:p w14:paraId="72FD9F09" w14:textId="77777777" w:rsidR="001767A9" w:rsidRDefault="001767A9" w:rsidP="008560E2">
      <w:pPr>
        <w:rPr>
          <w:rFonts w:cs="Times New Roman"/>
        </w:rPr>
      </w:pPr>
      <w:r w:rsidRPr="00124B71">
        <w:rPr>
          <w:rFonts w:cs="Times New Roman"/>
        </w:rPr>
        <w:t>Rental rates tend to keep pace with wages because people normally pay rent out of current income. As people make more money, they compete for the available rentals and drive prices up at a rate about 1% greater than the overall rate of inflation</w:t>
      </w:r>
      <w:r w:rsidR="00813A15" w:rsidRPr="00124B71">
        <w:rPr>
          <w:rFonts w:cs="Times New Roman"/>
        </w:rPr>
        <w:t>.</w:t>
      </w:r>
      <w:r w:rsidR="00FC3036" w:rsidRPr="00124B71">
        <w:rPr>
          <w:rFonts w:cs="Times New Roman"/>
        </w:rPr>
        <w:t xml:space="preserve"> </w:t>
      </w:r>
      <w:r w:rsidR="00460DF9" w:rsidRPr="00124B71">
        <w:rPr>
          <w:rStyle w:val="EndnoteReference"/>
          <w:rFonts w:cs="Times New Roman"/>
        </w:rPr>
        <w:endnoteReference w:id="48"/>
      </w:r>
      <w:r w:rsidRPr="00124B71">
        <w:rPr>
          <w:rFonts w:cs="Times New Roman"/>
        </w:rPr>
        <w:t xml:space="preserve"> There are times when supply and demand</w:t>
      </w:r>
      <w:r w:rsidR="001858B5">
        <w:rPr>
          <w:rFonts w:cs="Times New Roman"/>
        </w:rPr>
        <w:fldChar w:fldCharType="begin"/>
      </w:r>
      <w:r w:rsidR="002321D5">
        <w:instrText xml:space="preserve"> XE "</w:instrText>
      </w:r>
      <w:r w:rsidR="002321D5" w:rsidRPr="00112EC2">
        <w:rPr>
          <w:rFonts w:cs="Times New Roman"/>
        </w:rPr>
        <w:instrText>supply and demand</w:instrText>
      </w:r>
      <w:r w:rsidR="002321D5">
        <w:instrText xml:space="preserve">" </w:instrText>
      </w:r>
      <w:r w:rsidR="001858B5">
        <w:rPr>
          <w:rFonts w:cs="Times New Roman"/>
        </w:rPr>
        <w:fldChar w:fldCharType="end"/>
      </w:r>
      <w:r w:rsidRPr="00124B71">
        <w:rPr>
          <w:rFonts w:cs="Times New Roman"/>
        </w:rPr>
        <w:t xml:space="preserve"> issues in local markets create fluctuations in this relationship, but as a rule, rents track wages pretty closely.</w:t>
      </w:r>
      <w:r w:rsidR="008A78A5" w:rsidRPr="00124B71">
        <w:rPr>
          <w:rFonts w:cs="Times New Roman"/>
        </w:rPr>
        <w:t xml:space="preserve"> </w:t>
      </w:r>
      <w:r w:rsidRPr="00124B71">
        <w:rPr>
          <w:rFonts w:cs="Times New Roman"/>
        </w:rPr>
        <w:t>Since house prices are tied to rents, and rents are tied to wages, house prices are indirectly tied to wages. When house prices increase faster than wage growth, the price levels become unsustainable, and if the differential is too great, a bubble is inflated</w:t>
      </w:r>
      <w:r w:rsidR="00813A15" w:rsidRPr="00124B71">
        <w:rPr>
          <w:rFonts w:cs="Times New Roman"/>
        </w:rPr>
        <w:t>.</w:t>
      </w:r>
      <w:r w:rsidR="00FC3036" w:rsidRPr="00124B71">
        <w:rPr>
          <w:rFonts w:cs="Times New Roman"/>
        </w:rPr>
        <w:t xml:space="preserve"> </w:t>
      </w:r>
      <w:r w:rsidR="004C22F7" w:rsidRPr="00124B71">
        <w:rPr>
          <w:rStyle w:val="EndnoteReference"/>
          <w:rFonts w:cs="Times New Roman"/>
        </w:rPr>
        <w:endnoteReference w:id="49"/>
      </w:r>
    </w:p>
    <w:p w14:paraId="06CB1EF3" w14:textId="737AC462" w:rsidR="006C1CD9" w:rsidRPr="00EF0EDA" w:rsidRDefault="006C1CD9" w:rsidP="006C1CD9">
      <w:pPr>
        <w:pStyle w:val="Caption"/>
      </w:pPr>
      <w:bookmarkStart w:id="47" w:name="_Toc238867451"/>
      <w:r>
        <w:t>Figure</w:t>
      </w:r>
      <w:r w:rsidRPr="00EF0EDA">
        <w:t xml:space="preserve"> </w:t>
      </w:r>
      <w:fldSimple w:instr=" SEQ Figure \* ARABIC ">
        <w:r w:rsidR="00493733">
          <w:rPr>
            <w:noProof/>
          </w:rPr>
          <w:t>10</w:t>
        </w:r>
      </w:fldSimple>
      <w:r w:rsidR="00317936">
        <w:t xml:space="preserve">: </w:t>
      </w:r>
      <w:r w:rsidRPr="00EF0EDA">
        <w:t>National Rent-to-Income Ratio</w:t>
      </w:r>
      <w:r>
        <w:t>,</w:t>
      </w:r>
      <w:r w:rsidRPr="00EF0EDA">
        <w:t xml:space="preserve"> 1988-2006</w:t>
      </w:r>
      <w:bookmarkEnd w:id="47"/>
    </w:p>
    <w:p w14:paraId="396EFB5D" w14:textId="77777777" w:rsidR="006C1CD9" w:rsidRPr="00EF0EDA" w:rsidRDefault="00AD6CCE" w:rsidP="006C1CD9">
      <w:pPr>
        <w:pStyle w:val="Graphics"/>
      </w:pPr>
      <w:r>
        <w:drawing>
          <wp:inline distT="0" distB="0" distL="0" distR="0" wp14:anchorId="3FBFFE23" wp14:editId="438552B7">
            <wp:extent cx="3657600" cy="2286000"/>
            <wp:effectExtent l="19050" t="0" r="0" b="0"/>
            <wp:docPr id="75" name="Picture 74" descr="National Rent-to-Income Ratio 1988-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Rent-to-Income Ratio 1988-2006.jpg"/>
                    <pic:cNvPicPr/>
                  </pic:nvPicPr>
                  <pic:blipFill>
                    <a:blip r:embed="rId38" cstate="print"/>
                    <a:stretch>
                      <a:fillRect/>
                    </a:stretch>
                  </pic:blipFill>
                  <pic:spPr>
                    <a:xfrm>
                      <a:off x="0" y="0"/>
                      <a:ext cx="3657600" cy="2286000"/>
                    </a:xfrm>
                    <a:prstGeom prst="rect">
                      <a:avLst/>
                    </a:prstGeom>
                  </pic:spPr>
                </pic:pic>
              </a:graphicData>
            </a:graphic>
          </wp:inline>
        </w:drawing>
      </w:r>
    </w:p>
    <w:p w14:paraId="71ADE344" w14:textId="77777777" w:rsidR="0010462B" w:rsidRPr="00EF0EDA" w:rsidRDefault="0010462B" w:rsidP="0010462B">
      <w:pPr>
        <w:pStyle w:val="Heading2"/>
      </w:pPr>
      <w:bookmarkStart w:id="48" w:name="_Toc238867292"/>
      <w:r w:rsidRPr="00EF0EDA">
        <w:t>Ownership Cost Math</w:t>
      </w:r>
      <w:bookmarkEnd w:id="48"/>
    </w:p>
    <w:p w14:paraId="36F4A8A8" w14:textId="77777777" w:rsidR="0027778B" w:rsidRDefault="0027778B" w:rsidP="00561342">
      <w:pPr>
        <w:rPr>
          <w:rFonts w:cs="Times New Roman"/>
        </w:rPr>
      </w:pPr>
      <w:r w:rsidRPr="00124B71">
        <w:rPr>
          <w:rFonts w:cs="Times New Roman"/>
        </w:rPr>
        <w:t>A useful way to look at the cost of housing is to evaluate the total monthly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There are 7 costs to owning a house. Although some of these costs are not paid on a monthly basis, they can be evaluated on a monthly basis with simple math. These costs are:</w:t>
      </w:r>
    </w:p>
    <w:p w14:paraId="62F6FFBC" w14:textId="77777777" w:rsidR="00B44ABF" w:rsidRPr="00124B71" w:rsidRDefault="00B44ABF" w:rsidP="00561342">
      <w:pPr>
        <w:rPr>
          <w:rFonts w:cs="Times New Roman"/>
        </w:rPr>
      </w:pPr>
    </w:p>
    <w:p w14:paraId="38BDACCF" w14:textId="77777777" w:rsidR="0027778B" w:rsidRPr="00124B71" w:rsidRDefault="0027778B" w:rsidP="0027778B">
      <w:pPr>
        <w:ind w:left="1080" w:hanging="360"/>
        <w:rPr>
          <w:rFonts w:cs="Times New Roman"/>
        </w:rPr>
      </w:pPr>
      <w:r w:rsidRPr="00124B71">
        <w:rPr>
          <w:rStyle w:val="Strong"/>
          <w:rFonts w:cs="Times New Roman"/>
          <w:b w:val="0"/>
          <w:bCs w:val="0"/>
        </w:rPr>
        <w:t>1. Mortgage Payment</w:t>
      </w:r>
    </w:p>
    <w:p w14:paraId="5F9B4F0C" w14:textId="77777777" w:rsidR="0027778B" w:rsidRPr="00124B71" w:rsidRDefault="0027778B" w:rsidP="0027778B">
      <w:pPr>
        <w:ind w:left="1080" w:hanging="360"/>
        <w:rPr>
          <w:rFonts w:cs="Times New Roman"/>
        </w:rPr>
      </w:pPr>
      <w:r w:rsidRPr="00124B71">
        <w:rPr>
          <w:rStyle w:val="Strong"/>
          <w:rFonts w:cs="Times New Roman"/>
          <w:b w:val="0"/>
          <w:bCs w:val="0"/>
        </w:rPr>
        <w:t>2. Property Taxes</w:t>
      </w:r>
    </w:p>
    <w:p w14:paraId="643474FF" w14:textId="77777777" w:rsidR="0027778B" w:rsidRPr="00124B71" w:rsidRDefault="0027778B" w:rsidP="0027778B">
      <w:pPr>
        <w:ind w:left="1080" w:hanging="360"/>
        <w:rPr>
          <w:rFonts w:cs="Times New Roman"/>
        </w:rPr>
      </w:pPr>
      <w:r w:rsidRPr="00124B71">
        <w:rPr>
          <w:rStyle w:val="Strong"/>
          <w:rFonts w:cs="Times New Roman"/>
          <w:b w:val="0"/>
          <w:bCs w:val="0"/>
        </w:rPr>
        <w:t>3. Homeowners Insurance</w:t>
      </w:r>
    </w:p>
    <w:p w14:paraId="4B793B38" w14:textId="77777777" w:rsidR="0027778B" w:rsidRPr="00124B71" w:rsidRDefault="0027778B" w:rsidP="0027778B">
      <w:pPr>
        <w:ind w:left="1080" w:hanging="360"/>
        <w:rPr>
          <w:rFonts w:cs="Times New Roman"/>
        </w:rPr>
      </w:pPr>
      <w:r w:rsidRPr="00124B71">
        <w:rPr>
          <w:rStyle w:val="Strong"/>
          <w:rFonts w:cs="Times New Roman"/>
          <w:b w:val="0"/>
          <w:bCs w:val="0"/>
        </w:rPr>
        <w:t>4. Private Mortgage Insurance</w:t>
      </w:r>
    </w:p>
    <w:p w14:paraId="04E1B25B" w14:textId="77777777" w:rsidR="0027778B" w:rsidRPr="00124B71" w:rsidRDefault="0027778B" w:rsidP="0027778B">
      <w:pPr>
        <w:ind w:left="1080" w:hanging="360"/>
        <w:rPr>
          <w:rFonts w:cs="Times New Roman"/>
        </w:rPr>
      </w:pPr>
      <w:r w:rsidRPr="00124B71">
        <w:rPr>
          <w:rStyle w:val="Strong"/>
          <w:rFonts w:cs="Times New Roman"/>
          <w:b w:val="0"/>
          <w:bCs w:val="0"/>
        </w:rPr>
        <w:t>5. Special Taxes and Levies</w:t>
      </w:r>
    </w:p>
    <w:p w14:paraId="61840CD2" w14:textId="77777777" w:rsidR="0027778B" w:rsidRPr="00124B71" w:rsidRDefault="0027778B" w:rsidP="0027778B">
      <w:pPr>
        <w:ind w:left="1080" w:hanging="360"/>
        <w:rPr>
          <w:rFonts w:cs="Times New Roman"/>
        </w:rPr>
      </w:pPr>
      <w:r w:rsidRPr="00124B71">
        <w:rPr>
          <w:rStyle w:val="Strong"/>
          <w:rFonts w:cs="Times New Roman"/>
          <w:b w:val="0"/>
          <w:bCs w:val="0"/>
        </w:rPr>
        <w:t>6. Homeowners Association Dues or Fees</w:t>
      </w:r>
    </w:p>
    <w:p w14:paraId="21ECC43C" w14:textId="77777777" w:rsidR="0027778B" w:rsidRPr="00124B71" w:rsidRDefault="0027778B" w:rsidP="0027778B">
      <w:pPr>
        <w:ind w:left="1080" w:hanging="360"/>
        <w:rPr>
          <w:rFonts w:cs="Times New Roman"/>
        </w:rPr>
      </w:pPr>
      <w:r w:rsidRPr="00124B71">
        <w:rPr>
          <w:rStyle w:val="Strong"/>
          <w:rFonts w:cs="Times New Roman"/>
          <w:b w:val="0"/>
          <w:bCs w:val="0"/>
        </w:rPr>
        <w:t>7. Maintenance and Replacement Reserves</w:t>
      </w:r>
    </w:p>
    <w:p w14:paraId="1330F383" w14:textId="77777777" w:rsidR="0027778B" w:rsidRPr="00EF0EDA" w:rsidRDefault="0027778B" w:rsidP="00561342">
      <w:pPr>
        <w:pStyle w:val="Heading3"/>
      </w:pPr>
      <w:bookmarkStart w:id="49" w:name="_Toc238867293"/>
      <w:r w:rsidRPr="00EF0EDA">
        <w:lastRenderedPageBreak/>
        <w:t>Mortgage Payment</w:t>
      </w:r>
      <w:bookmarkEnd w:id="49"/>
      <w:r w:rsidRPr="00EF0EDA">
        <w:t xml:space="preserve"> </w:t>
      </w:r>
    </w:p>
    <w:p w14:paraId="57FAA787" w14:textId="77777777" w:rsidR="0027778B" w:rsidRPr="00124B71" w:rsidRDefault="0027778B" w:rsidP="00561342">
      <w:pPr>
        <w:rPr>
          <w:rFonts w:cs="Times New Roman"/>
        </w:rPr>
      </w:pPr>
      <w:r w:rsidRPr="00124B71">
        <w:rPr>
          <w:rFonts w:cs="Times New Roman"/>
        </w:rPr>
        <w:t>The mortgage payment</w:t>
      </w:r>
      <w:r w:rsidR="001858B5">
        <w:rPr>
          <w:rFonts w:cs="Times New Roman"/>
        </w:rPr>
        <w:fldChar w:fldCharType="begin"/>
      </w:r>
      <w:r w:rsidR="00180E6F">
        <w:instrText xml:space="preserve"> XE "</w:instrText>
      </w:r>
      <w:r w:rsidR="00180E6F" w:rsidRPr="00891096">
        <w:rPr>
          <w:rFonts w:cs="Times New Roman"/>
        </w:rPr>
        <w:instrText>mortgage payment</w:instrText>
      </w:r>
      <w:r w:rsidR="00180E6F">
        <w:instrText xml:space="preserve">" </w:instrText>
      </w:r>
      <w:r w:rsidR="001858B5">
        <w:rPr>
          <w:rFonts w:cs="Times New Roman"/>
        </w:rPr>
        <w:fldChar w:fldCharType="end"/>
      </w:r>
      <w:r w:rsidRPr="00124B71">
        <w:rPr>
          <w:rFonts w:cs="Times New Roman"/>
        </w:rPr>
        <w:t xml:space="preserve"> is the first and most obvious payment because it is the largest. It is also an area where people take risks to reduce the cost of housing. It was the manipulation of mortgage payments that was the focus of the lending industry “innovation” that inflated the housing bubble. The relationship between payment and loan amount is the most important determinant of housing prices. This relationship changes with loan terms such as the interest rate, but it is also strongly influenced by the type of amortization, if any. Amortizing loans, loans that require principal repayment in each monthly payment, finance the smallest amount. Interest-only loan terms finance a larger amount than amortizing loans because none of the payment is going toward principal. Negatively amortizing loans finance the largest amount because the monthly payment does not cover the actual interest expense.</w:t>
      </w:r>
    </w:p>
    <w:p w14:paraId="45F9D610" w14:textId="77777777" w:rsidR="0027778B" w:rsidRPr="00EF0EDA" w:rsidRDefault="0027778B" w:rsidP="00561342">
      <w:pPr>
        <w:pStyle w:val="Heading3"/>
      </w:pPr>
      <w:bookmarkStart w:id="50" w:name="_Toc238867294"/>
      <w:r w:rsidRPr="00EF0EDA">
        <w:t>Property Taxes</w:t>
      </w:r>
      <w:bookmarkEnd w:id="50"/>
      <w:r w:rsidRPr="00EF0EDA">
        <w:t xml:space="preserve"> </w:t>
      </w:r>
    </w:p>
    <w:p w14:paraId="1C95EC7F" w14:textId="77777777" w:rsidR="0027778B" w:rsidRPr="00124B71" w:rsidRDefault="0027778B" w:rsidP="00561342">
      <w:pPr>
        <w:rPr>
          <w:rFonts w:cs="Times New Roman"/>
        </w:rPr>
      </w:pPr>
      <w:r w:rsidRPr="00124B71">
        <w:rPr>
          <w:rFonts w:cs="Times New Roman"/>
        </w:rPr>
        <w:t>Property taxes</w:t>
      </w:r>
      <w:r w:rsidR="001858B5">
        <w:rPr>
          <w:rFonts w:cs="Times New Roman"/>
        </w:rPr>
        <w:fldChar w:fldCharType="begin"/>
      </w:r>
      <w:r w:rsidR="00180E6F">
        <w:instrText xml:space="preserve"> XE "</w:instrText>
      </w:r>
      <w:r w:rsidR="00180E6F" w:rsidRPr="00E16105">
        <w:rPr>
          <w:rFonts w:cs="Times New Roman"/>
        </w:rPr>
        <w:instrText>Property taxes</w:instrText>
      </w:r>
      <w:r w:rsidR="00180E6F">
        <w:instrText xml:space="preserve">" </w:instrText>
      </w:r>
      <w:r w:rsidR="001858B5">
        <w:rPr>
          <w:rFonts w:cs="Times New Roman"/>
        </w:rPr>
        <w:fldChar w:fldCharType="end"/>
      </w:r>
      <w:r w:rsidRPr="00124B71">
        <w:rPr>
          <w:rFonts w:cs="Times New Roman"/>
        </w:rPr>
        <w:t xml:space="preserve"> have long been a source of local government tax revenues. Real property cannot be moved out of a government’s jurisdiction, and values can be estimated by an appraisal, so it is a convenient item to tax. In most states, local governments add up the cost of running the government and divide by the total property value in the jurisdiction to establish a millage tax rate. California is forced to do things differently by Proposition 13</w:t>
      </w:r>
      <w:r w:rsidR="00813A15" w:rsidRPr="00124B71">
        <w:rPr>
          <w:rFonts w:cs="Times New Roman"/>
        </w:rPr>
        <w:t xml:space="preserve"> </w:t>
      </w:r>
      <w:r w:rsidRPr="00124B71">
        <w:rPr>
          <w:rFonts w:cs="Times New Roman"/>
        </w:rPr>
        <w:t>which effectively limits the appraised value and total tax revenue from real property.</w:t>
      </w:r>
      <w:r w:rsidR="00813A15" w:rsidRPr="00124B71">
        <w:rPr>
          <w:rStyle w:val="EndnoteReference"/>
          <w:rFonts w:cs="Times New Roman"/>
        </w:rPr>
        <w:t xml:space="preserve"> </w:t>
      </w:r>
      <w:r w:rsidR="00813A15" w:rsidRPr="00124B71">
        <w:rPr>
          <w:rStyle w:val="EndnoteReference"/>
          <w:rFonts w:cs="Times New Roman"/>
        </w:rPr>
        <w:endnoteReference w:id="50"/>
      </w:r>
      <w:r w:rsidR="00813A15" w:rsidRPr="00124B71">
        <w:rPr>
          <w:rFonts w:cs="Times New Roman"/>
        </w:rPr>
        <w:t xml:space="preserve"> </w:t>
      </w:r>
      <w:r w:rsidRPr="00124B71">
        <w:rPr>
          <w:rFonts w:cs="Times New Roman"/>
        </w:rPr>
        <w:t>Local governments are forced to find revenue from other sources. Proposition 13 limits the tax rate to 1% of purchase price with a small inflation multiplier allowing yearly increases</w:t>
      </w:r>
      <w:r w:rsidR="00813A15" w:rsidRPr="00124B71">
        <w:rPr>
          <w:rFonts w:cs="Times New Roman"/>
        </w:rPr>
        <w:t>.</w:t>
      </w:r>
      <w:r w:rsidR="00FC3036" w:rsidRPr="00124B71">
        <w:rPr>
          <w:rFonts w:cs="Times New Roman"/>
        </w:rPr>
        <w:t xml:space="preserve"> </w:t>
      </w:r>
      <w:r w:rsidR="001F47A8" w:rsidRPr="00124B71">
        <w:rPr>
          <w:rStyle w:val="EndnoteReference"/>
          <w:rFonts w:cs="Times New Roman"/>
        </w:rPr>
        <w:endnoteReference w:id="51"/>
      </w:r>
      <w:r w:rsidRPr="00124B71">
        <w:rPr>
          <w:rFonts w:cs="Times New Roman"/>
        </w:rPr>
        <w:t xml:space="preserve"> </w:t>
      </w:r>
      <w:r w:rsidR="00140F26" w:rsidRPr="00124B71">
        <w:rPr>
          <w:rFonts w:cs="Times New Roman"/>
        </w:rPr>
        <w:t>The assessed value can only increase 2% a year regardless of actual market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140F26" w:rsidRPr="00124B71">
        <w:rPr>
          <w:rFonts w:cs="Times New Roman"/>
        </w:rPr>
        <w:t xml:space="preserve">. The assessed value is set to market value when the property is sold. </w:t>
      </w:r>
      <w:r w:rsidRPr="00124B71">
        <w:rPr>
          <w:rFonts w:cs="Times New Roman"/>
        </w:rPr>
        <w:t>Often the lender will compel the borrower to include extra money in the monthly payment to cover property taxes, homeowners insurance, and private mortgage insurance</w:t>
      </w:r>
      <w:r w:rsidR="001858B5">
        <w:rPr>
          <w:rFonts w:cs="Times New Roman"/>
        </w:rPr>
        <w:fldChar w:fldCharType="begin"/>
      </w:r>
      <w:r w:rsidR="00180E6F">
        <w:instrText xml:space="preserve"> XE "</w:instrText>
      </w:r>
      <w:r w:rsidR="00180E6F" w:rsidRPr="00421AA0">
        <w:rPr>
          <w:rFonts w:cs="Times New Roman"/>
        </w:rPr>
        <w:instrText>private mortgage insurance</w:instrText>
      </w:r>
      <w:r w:rsidR="00180E6F">
        <w:instrText xml:space="preserve">" </w:instrText>
      </w:r>
      <w:r w:rsidR="001858B5">
        <w:rPr>
          <w:rFonts w:cs="Times New Roman"/>
        </w:rPr>
        <w:fldChar w:fldCharType="end"/>
      </w:r>
      <w:r w:rsidRPr="00124B71">
        <w:rPr>
          <w:rFonts w:cs="Times New Roman"/>
        </w:rPr>
        <w:t>, and these bills will be paid by the lender when they come due. If these payments are not escrowed by the lender, then the borrower will need to make these payments. The total yearly property tax bill can be divided by 12 to obtain the monthly cost.</w:t>
      </w:r>
    </w:p>
    <w:p w14:paraId="3E9E7EF5" w14:textId="77777777" w:rsidR="0027778B" w:rsidRPr="00EF0EDA" w:rsidRDefault="0027778B" w:rsidP="00561342">
      <w:pPr>
        <w:pStyle w:val="Heading3"/>
      </w:pPr>
      <w:bookmarkStart w:id="51" w:name="_Toc238867295"/>
      <w:r w:rsidRPr="00EF0EDA">
        <w:t>Homeowners Insurance</w:t>
      </w:r>
      <w:bookmarkEnd w:id="51"/>
      <w:r w:rsidRPr="00EF0EDA">
        <w:t xml:space="preserve"> </w:t>
      </w:r>
    </w:p>
    <w:p w14:paraId="61794708" w14:textId="77777777" w:rsidR="0027778B" w:rsidRPr="00124B71" w:rsidRDefault="0027778B" w:rsidP="00561342">
      <w:pPr>
        <w:rPr>
          <w:rFonts w:cs="Times New Roman"/>
        </w:rPr>
      </w:pPr>
      <w:r w:rsidRPr="00124B71">
        <w:rPr>
          <w:rFonts w:cs="Times New Roman"/>
        </w:rPr>
        <w:t>Homeowners insurance</w:t>
      </w:r>
      <w:r w:rsidR="001858B5">
        <w:rPr>
          <w:rFonts w:cs="Times New Roman"/>
        </w:rPr>
        <w:fldChar w:fldCharType="begin"/>
      </w:r>
      <w:r w:rsidR="00180E6F">
        <w:instrText xml:space="preserve"> XE "</w:instrText>
      </w:r>
      <w:r w:rsidR="00180E6F" w:rsidRPr="006A5450">
        <w:rPr>
          <w:rFonts w:cs="Times New Roman"/>
        </w:rPr>
        <w:instrText>Homeowners insurance</w:instrText>
      </w:r>
      <w:r w:rsidR="00180E6F">
        <w:instrText xml:space="preserve">" </w:instrText>
      </w:r>
      <w:r w:rsidR="001858B5">
        <w:rPr>
          <w:rFonts w:cs="Times New Roman"/>
        </w:rPr>
        <w:fldChar w:fldCharType="end"/>
      </w:r>
      <w:r w:rsidRPr="00124B71">
        <w:rPr>
          <w:rFonts w:cs="Times New Roman"/>
        </w:rPr>
        <w:t xml:space="preserve"> is almost always required by a lender to insure the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Pr="00124B71">
        <w:rPr>
          <w:rFonts w:cs="Times New Roman"/>
        </w:rPr>
        <w:t xml:space="preserve"> for the loan. Even if there is no lender involved, it is always a good idea to carry homeowners insurance. The risk of loss from damage to the house can be a financial catastrophe without the proper insurance. A standard policy insures the home itself and </w:t>
      </w:r>
      <w:r w:rsidR="0027438F" w:rsidRPr="00124B71">
        <w:rPr>
          <w:rFonts w:cs="Times New Roman"/>
        </w:rPr>
        <w:t>its contents</w:t>
      </w:r>
      <w:r w:rsidRPr="00124B71">
        <w:rPr>
          <w:rFonts w:cs="Times New Roman"/>
        </w:rPr>
        <w:t>. Homeowners insurance is a package policy</w:t>
      </w:r>
      <w:r w:rsidR="0027438F" w:rsidRPr="00124B71">
        <w:rPr>
          <w:rFonts w:cs="Times New Roman"/>
        </w:rPr>
        <w:t xml:space="preserve"> which</w:t>
      </w:r>
      <w:r w:rsidRPr="00124B71">
        <w:rPr>
          <w:rFonts w:cs="Times New Roman"/>
        </w:rPr>
        <w:t xml:space="preserve"> covers both damage to property and liability or legal responsibility for any injuries and property damage </w:t>
      </w:r>
      <w:r w:rsidR="0027438F" w:rsidRPr="00124B71">
        <w:rPr>
          <w:rFonts w:cs="Times New Roman"/>
        </w:rPr>
        <w:t>by the policy holder</w:t>
      </w:r>
      <w:r w:rsidRPr="00124B71">
        <w:rPr>
          <w:rFonts w:cs="Times New Roman"/>
        </w:rPr>
        <w:t xml:space="preserve">. Damage caused by most disasters is covered </w:t>
      </w:r>
      <w:r w:rsidR="0027438F" w:rsidRPr="00124B71">
        <w:rPr>
          <w:rFonts w:cs="Times New Roman"/>
        </w:rPr>
        <w:t>with some</w:t>
      </w:r>
      <w:r w:rsidRPr="00124B71">
        <w:rPr>
          <w:rFonts w:cs="Times New Roman"/>
        </w:rPr>
        <w:t xml:space="preserve"> exceptions. The most significant </w:t>
      </w:r>
      <w:r w:rsidR="0027438F" w:rsidRPr="00124B71">
        <w:rPr>
          <w:rFonts w:cs="Times New Roman"/>
        </w:rPr>
        <w:t xml:space="preserve">exceptions </w:t>
      </w:r>
      <w:r w:rsidRPr="00124B71">
        <w:rPr>
          <w:rFonts w:cs="Times New Roman"/>
        </w:rPr>
        <w:t xml:space="preserve">are damage caused by floods, earthquakes and poor maintenance. </w:t>
      </w:r>
    </w:p>
    <w:p w14:paraId="04A6E96F" w14:textId="77777777" w:rsidR="0027778B" w:rsidRPr="00EF0EDA" w:rsidRDefault="0027778B" w:rsidP="00561342">
      <w:pPr>
        <w:pStyle w:val="Heading3"/>
      </w:pPr>
      <w:bookmarkStart w:id="52" w:name="_Toc238867296"/>
      <w:r w:rsidRPr="00EF0EDA">
        <w:lastRenderedPageBreak/>
        <w:t>Private Mortgage Insurance</w:t>
      </w:r>
      <w:bookmarkEnd w:id="52"/>
      <w:r w:rsidRPr="00EF0EDA">
        <w:t xml:space="preserve"> </w:t>
      </w:r>
    </w:p>
    <w:p w14:paraId="1255ED8A" w14:textId="77777777" w:rsidR="0027778B" w:rsidRPr="00124B71" w:rsidRDefault="0027778B" w:rsidP="00561342">
      <w:pPr>
        <w:rPr>
          <w:rFonts w:cs="Times New Roman"/>
        </w:rPr>
      </w:pPr>
      <w:r w:rsidRPr="00124B71">
        <w:rPr>
          <w:rFonts w:cs="Times New Roman"/>
        </w:rPr>
        <w:t>Mortgages against real property take priority on a first recorded, first paid basis. This is known as their lien</w:t>
      </w:r>
      <w:r w:rsidR="001858B5">
        <w:rPr>
          <w:rFonts w:cs="Times New Roman"/>
        </w:rPr>
        <w:fldChar w:fldCharType="begin"/>
      </w:r>
      <w:r w:rsidR="00180E6F">
        <w:instrText xml:space="preserve"> XE "</w:instrText>
      </w:r>
      <w:r w:rsidR="00180E6F" w:rsidRPr="00502317">
        <w:rPr>
          <w:rFonts w:cs="Times New Roman"/>
        </w:rPr>
        <w:instrText>lien</w:instrText>
      </w:r>
      <w:r w:rsidR="00180E6F">
        <w:instrText xml:space="preserve">" </w:instrText>
      </w:r>
      <w:r w:rsidR="001858B5">
        <w:rPr>
          <w:rFonts w:cs="Times New Roman"/>
        </w:rPr>
        <w:fldChar w:fldCharType="end"/>
      </w:r>
      <w:r w:rsidRPr="00124B71">
        <w:rPr>
          <w:rFonts w:cs="Times New Roman"/>
        </w:rPr>
        <w:t xml:space="preserve"> position. This becomes very important in instances of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The </w:t>
      </w:r>
      <w:r w:rsidR="00F2292F" w:rsidRPr="00124B71">
        <w:rPr>
          <w:rFonts w:cs="Times New Roman"/>
        </w:rPr>
        <w:t>first</w:t>
      </w:r>
      <w:r w:rsidRPr="00124B71">
        <w:rPr>
          <w:rFonts w:cs="Times New Roman"/>
        </w:rPr>
        <w:t xml:space="preserve"> mortgage </w:t>
      </w:r>
      <w:r w:rsidR="0027438F" w:rsidRPr="00124B71">
        <w:rPr>
          <w:rFonts w:cs="Times New Roman"/>
        </w:rPr>
        <w:t>holders get</w:t>
      </w:r>
      <w:r w:rsidRPr="00124B71">
        <w:rPr>
          <w:rFonts w:cs="Times New Roman"/>
        </w:rPr>
        <w:t xml:space="preserve"> paid in full before the second mortgage holder get paid and so on through the chain of mortgages on a property. In a foreclosure situation, subordinate loans</w:t>
      </w:r>
      <w:r w:rsidR="001858B5">
        <w:rPr>
          <w:rFonts w:cs="Times New Roman"/>
        </w:rPr>
        <w:fldChar w:fldCharType="begin"/>
      </w:r>
      <w:r w:rsidR="00180E6F">
        <w:instrText xml:space="preserve"> XE "</w:instrText>
      </w:r>
      <w:r w:rsidR="00180E6F" w:rsidRPr="00C578C0">
        <w:rPr>
          <w:rFonts w:cs="Times New Roman"/>
        </w:rPr>
        <w:instrText>subordinate loans</w:instrText>
      </w:r>
      <w:r w:rsidR="00180E6F">
        <w:instrText xml:space="preserve">" </w:instrText>
      </w:r>
      <w:r w:rsidR="001858B5">
        <w:rPr>
          <w:rFonts w:cs="Times New Roman"/>
        </w:rPr>
        <w:fldChar w:fldCharType="end"/>
      </w:r>
      <w:r w:rsidRPr="00124B71">
        <w:rPr>
          <w:rFonts w:cs="Times New Roman"/>
        </w:rPr>
        <w:t xml:space="preserve"> are often completely wiped out, and if the loss is great enough, the first mortgage may be imperiled. Because of this fact, if the purchase money mortgage (</w:t>
      </w:r>
      <w:r w:rsidR="00F2292F" w:rsidRPr="00124B71">
        <w:rPr>
          <w:rFonts w:cs="Times New Roman"/>
        </w:rPr>
        <w:t>first</w:t>
      </w:r>
      <w:r w:rsidRPr="00124B71">
        <w:rPr>
          <w:rFonts w:cs="Times New Roman"/>
        </w:rPr>
        <w:t xml:space="preserve"> lien position) exceeds 80% of the value of the home, the lender will require the borrower to purchase an insurance policy to protect the lender in event of loss. This policy is of no use or benefit to the borrower as it insures the lender against loss. It is simply an added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Many of the purchase transactions during the bubble rally had an 80% purchase money mortgage and a “piggy back” loan of up to 20% to cover the remaining cost. These loan pairs are often referred to as 80/20</w:t>
      </w:r>
      <w:r w:rsidR="001858B5">
        <w:rPr>
          <w:rFonts w:cs="Times New Roman"/>
        </w:rPr>
        <w:fldChar w:fldCharType="begin"/>
      </w:r>
      <w:r w:rsidR="00FA2AEF">
        <w:instrText xml:space="preserve"> XE "</w:instrText>
      </w:r>
      <w:r w:rsidR="00FA2AEF" w:rsidRPr="00A46ACB">
        <w:rPr>
          <w:rFonts w:cs="Times New Roman"/>
        </w:rPr>
        <w:instrText>80/20</w:instrText>
      </w:r>
      <w:r w:rsidR="00FA2AEF">
        <w:instrText xml:space="preserve">" </w:instrText>
      </w:r>
      <w:r w:rsidR="001858B5">
        <w:rPr>
          <w:rFonts w:cs="Times New Roman"/>
        </w:rPr>
        <w:fldChar w:fldCharType="end"/>
      </w:r>
      <w:r w:rsidRPr="00124B71">
        <w:rPr>
          <w:rFonts w:cs="Times New Roman"/>
        </w:rPr>
        <w:t xml:space="preserve"> loans, and they were used primarily to avoid private mortgage insurance</w:t>
      </w:r>
      <w:r w:rsidR="001858B5">
        <w:rPr>
          <w:rFonts w:cs="Times New Roman"/>
        </w:rPr>
        <w:fldChar w:fldCharType="begin"/>
      </w:r>
      <w:r w:rsidR="00180E6F">
        <w:instrText xml:space="preserve"> XE "</w:instrText>
      </w:r>
      <w:r w:rsidR="00180E6F" w:rsidRPr="00421AA0">
        <w:rPr>
          <w:rFonts w:cs="Times New Roman"/>
        </w:rPr>
        <w:instrText>private mortgage insurance</w:instrText>
      </w:r>
      <w:r w:rsidR="00180E6F">
        <w:instrText xml:space="preserve">" </w:instrText>
      </w:r>
      <w:r w:rsidR="001858B5">
        <w:rPr>
          <w:rFonts w:cs="Times New Roman"/>
        </w:rPr>
        <w:fldChar w:fldCharType="end"/>
      </w:r>
      <w:r w:rsidRPr="00124B71">
        <w:rPr>
          <w:rFonts w:cs="Times New Roman"/>
        </w:rPr>
        <w:t>. There were very common during the bubble.</w:t>
      </w:r>
    </w:p>
    <w:p w14:paraId="0586930A" w14:textId="77777777" w:rsidR="0027778B" w:rsidRPr="00EF0EDA" w:rsidRDefault="0027778B" w:rsidP="00561342">
      <w:pPr>
        <w:pStyle w:val="Heading3"/>
      </w:pPr>
      <w:bookmarkStart w:id="53" w:name="_Toc238867297"/>
      <w:r w:rsidRPr="00EF0EDA">
        <w:t>Special Taxes and Levies</w:t>
      </w:r>
      <w:bookmarkEnd w:id="53"/>
      <w:r w:rsidRPr="00EF0EDA">
        <w:t xml:space="preserve"> </w:t>
      </w:r>
    </w:p>
    <w:p w14:paraId="16C39A30" w14:textId="77777777" w:rsidR="0027778B" w:rsidRPr="00124B71" w:rsidRDefault="0027778B" w:rsidP="00561342">
      <w:pPr>
        <w:rPr>
          <w:rFonts w:cs="Times New Roman"/>
        </w:rPr>
      </w:pPr>
      <w:r w:rsidRPr="00124B71">
        <w:rPr>
          <w:rFonts w:cs="Times New Roman"/>
        </w:rPr>
        <w:t>Several areas have special taxing districts that increase the tax burden beyond the normal property tax bill. Many states have provisions which allow supplemental property tax situations. The State of California has Mello Roos</w:t>
      </w:r>
      <w:r w:rsidR="001858B5">
        <w:rPr>
          <w:rFonts w:cs="Times New Roman"/>
        </w:rPr>
        <w:fldChar w:fldCharType="begin"/>
      </w:r>
      <w:r w:rsidR="00180E6F">
        <w:instrText xml:space="preserve"> XE "</w:instrText>
      </w:r>
      <w:r w:rsidR="00180E6F" w:rsidRPr="00B57DCC">
        <w:rPr>
          <w:rFonts w:cs="Times New Roman"/>
        </w:rPr>
        <w:instrText>Mello Roos</w:instrText>
      </w:r>
      <w:r w:rsidR="00180E6F">
        <w:instrText xml:space="preserve">" </w:instrText>
      </w:r>
      <w:r w:rsidR="001858B5">
        <w:rPr>
          <w:rFonts w:cs="Times New Roman"/>
        </w:rPr>
        <w:fldChar w:fldCharType="end"/>
      </w:r>
      <w:r w:rsidRPr="00124B71">
        <w:rPr>
          <w:rFonts w:cs="Times New Roman"/>
        </w:rPr>
        <w:t xml:space="preserve"> fees. A </w:t>
      </w:r>
      <w:r w:rsidR="001F47A8" w:rsidRPr="00124B71">
        <w:rPr>
          <w:rFonts w:cs="Times New Roman"/>
        </w:rPr>
        <w:t>Community Facilities District</w:t>
      </w:r>
      <w:r w:rsidR="001858B5">
        <w:rPr>
          <w:rFonts w:cs="Times New Roman"/>
        </w:rPr>
        <w:fldChar w:fldCharType="begin"/>
      </w:r>
      <w:r w:rsidR="00180E6F">
        <w:instrText xml:space="preserve"> XE "</w:instrText>
      </w:r>
      <w:r w:rsidR="00180E6F" w:rsidRPr="00C93517">
        <w:rPr>
          <w:rFonts w:cs="Times New Roman"/>
        </w:rPr>
        <w:instrText>Community Facilities District</w:instrText>
      </w:r>
      <w:r w:rsidR="00180E6F">
        <w:instrText xml:space="preserve">" </w:instrText>
      </w:r>
      <w:r w:rsidR="001858B5">
        <w:rPr>
          <w:rFonts w:cs="Times New Roman"/>
        </w:rPr>
        <w:fldChar w:fldCharType="end"/>
      </w:r>
      <w:r w:rsidRPr="00124B71">
        <w:rPr>
          <w:rFonts w:cs="Times New Roman"/>
        </w:rPr>
        <w:t xml:space="preserve"> is an area where a special tax is imposed on those real property owners within </w:t>
      </w:r>
      <w:r w:rsidR="001F47A8" w:rsidRPr="00124B71">
        <w:rPr>
          <w:rFonts w:cs="Times New Roman"/>
        </w:rPr>
        <w:t>the d</w:t>
      </w:r>
      <w:r w:rsidRPr="00124B71">
        <w:rPr>
          <w:rFonts w:cs="Times New Roman"/>
        </w:rPr>
        <w:t>istrict. This district is established to obtain public financing through the sale of bonds for the purpose of financing certain public improvements and services. These services may include streets, water, sewage and drainage, electricity, infrastructure, schools, parks and police protection to newly developing areas. The taxes paid are used to make the payments of principal and interest on the bonds.</w:t>
      </w:r>
    </w:p>
    <w:p w14:paraId="68FED5B6" w14:textId="77777777" w:rsidR="0027778B" w:rsidRPr="00EF0EDA" w:rsidRDefault="0027778B" w:rsidP="00561342">
      <w:pPr>
        <w:pStyle w:val="Heading3"/>
      </w:pPr>
      <w:bookmarkStart w:id="54" w:name="_Toc238867298"/>
      <w:r w:rsidRPr="00EF0EDA">
        <w:t>Homeowner Association Dues and Fees</w:t>
      </w:r>
      <w:bookmarkEnd w:id="54"/>
      <w:r w:rsidRPr="00EF0EDA">
        <w:t xml:space="preserve"> </w:t>
      </w:r>
    </w:p>
    <w:p w14:paraId="1359A2C0" w14:textId="77777777" w:rsidR="0027778B" w:rsidRPr="00124B71" w:rsidRDefault="0027778B" w:rsidP="00561342">
      <w:pPr>
        <w:rPr>
          <w:rFonts w:cs="Times New Roman"/>
        </w:rPr>
      </w:pPr>
      <w:r w:rsidRPr="00124B71">
        <w:rPr>
          <w:rFonts w:cs="Times New Roman"/>
        </w:rPr>
        <w:t>Many modern planned communities have homeowners associations</w:t>
      </w:r>
      <w:r w:rsidR="001858B5">
        <w:rPr>
          <w:rFonts w:cs="Times New Roman"/>
        </w:rPr>
        <w:fldChar w:fldCharType="begin"/>
      </w:r>
      <w:r w:rsidR="00180E6F">
        <w:instrText xml:space="preserve"> XE "</w:instrText>
      </w:r>
      <w:r w:rsidR="00180E6F" w:rsidRPr="00681F4C">
        <w:rPr>
          <w:rFonts w:cs="Times New Roman"/>
        </w:rPr>
        <w:instrText>homeowners associations</w:instrText>
      </w:r>
      <w:r w:rsidR="00180E6F">
        <w:instrText>" \t "</w:instrText>
      </w:r>
      <w:r w:rsidR="00180E6F" w:rsidRPr="00801C47">
        <w:rPr>
          <w:rFonts w:asciiTheme="minorHAnsi" w:hAnsiTheme="minorHAnsi"/>
          <w:i/>
        </w:rPr>
        <w:instrText>See</w:instrText>
      </w:r>
      <w:r w:rsidR="00180E6F" w:rsidRPr="00801C47">
        <w:rPr>
          <w:rFonts w:asciiTheme="minorHAnsi" w:hAnsiTheme="minorHAnsi"/>
        </w:rPr>
        <w:instrText xml:space="preserve"> HOA</w:instrText>
      </w:r>
      <w:r w:rsidR="00180E6F">
        <w:instrText xml:space="preserve">" </w:instrText>
      </w:r>
      <w:r w:rsidR="001858B5">
        <w:rPr>
          <w:rFonts w:cs="Times New Roman"/>
        </w:rPr>
        <w:fldChar w:fldCharType="end"/>
      </w:r>
      <w:r w:rsidRPr="00124B71">
        <w:rPr>
          <w:rFonts w:cs="Times New Roman"/>
        </w:rPr>
        <w:t xml:space="preserve"> formed to maintain privately owned facilities held for the exclusive use of community residents. These HOAs bill the owners monthly to provide these services. They have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powers if the bills are not paid. It is given the authority to enforce the covenants, conditions, and restrictions</w:t>
      </w:r>
      <w:r w:rsidR="001858B5">
        <w:rPr>
          <w:rFonts w:cs="Times New Roman"/>
        </w:rPr>
        <w:fldChar w:fldCharType="begin"/>
      </w:r>
      <w:r w:rsidR="00180E6F">
        <w:instrText xml:space="preserve"> XE "</w:instrText>
      </w:r>
      <w:r w:rsidR="00180E6F" w:rsidRPr="00A5107A">
        <w:rPr>
          <w:rFonts w:cs="Times New Roman"/>
        </w:rPr>
        <w:instrText>covenants, conditions, and restrictions</w:instrText>
      </w:r>
      <w:r w:rsidR="00180E6F">
        <w:instrText xml:space="preserve">" </w:instrText>
      </w:r>
      <w:r w:rsidR="001858B5">
        <w:rPr>
          <w:rFonts w:cs="Times New Roman"/>
        </w:rPr>
        <w:fldChar w:fldCharType="end"/>
      </w:r>
      <w:r w:rsidRPr="00124B71">
        <w:rPr>
          <w:rFonts w:cs="Times New Roman"/>
        </w:rPr>
        <w:t xml:space="preserve"> (CC&amp;Rs) and to manage the common amenities of the development. It allows the developer to legally exit responsibility of the community typically by transferring ownership of the association to the homeowners after selling off a predetermined number of lots. Most homeowners’ associations are non-profit corporations, and are subject to state statutes that govern non-profit corporations and homeowners’ associations.</w:t>
      </w:r>
      <w:r w:rsidR="00DF5823" w:rsidRPr="00124B71">
        <w:rPr>
          <w:rFonts w:cs="Times New Roman"/>
        </w:rPr>
        <w:t xml:space="preserve"> In cases where a large number of houses are unsold, in foreclosure, or are owned by lenders, remaining homeowners may encounter large increases in assessments. In some cases, the additional cost can become </w:t>
      </w:r>
      <w:r w:rsidR="00DF5823" w:rsidRPr="00124B71">
        <w:rPr>
          <w:rFonts w:cs="Times New Roman"/>
        </w:rPr>
        <w:lastRenderedPageBreak/>
        <w:t>unaffordable to remaining homeowners pushing more of them to sell or be foreclosed on by their own homeowners association.</w:t>
      </w:r>
    </w:p>
    <w:p w14:paraId="70C56E59" w14:textId="77777777" w:rsidR="0027778B" w:rsidRPr="00EF0EDA" w:rsidRDefault="0027778B" w:rsidP="00561342">
      <w:pPr>
        <w:pStyle w:val="Heading3"/>
      </w:pPr>
      <w:bookmarkStart w:id="55" w:name="_Toc238867299"/>
      <w:r w:rsidRPr="00EF0EDA">
        <w:t>Maintenance and Replacement Reserves</w:t>
      </w:r>
      <w:bookmarkEnd w:id="55"/>
      <w:r w:rsidRPr="00EF0EDA">
        <w:t xml:space="preserve"> </w:t>
      </w:r>
    </w:p>
    <w:p w14:paraId="61273AED" w14:textId="77777777" w:rsidR="0027778B" w:rsidRPr="00124B71" w:rsidRDefault="0027778B" w:rsidP="00561342">
      <w:pPr>
        <w:rPr>
          <w:rFonts w:cs="Times New Roman"/>
        </w:rPr>
      </w:pPr>
      <w:r w:rsidRPr="00124B71">
        <w:rPr>
          <w:rFonts w:cs="Times New Roman"/>
        </w:rPr>
        <w:t>An often overlooked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is the cost of routine maintenance and the funding of reserves for major repairs. For example, a composite shingle roof must be replaced every 20-25 years. It may take $100 a month set aside for 20 years to fund this replacement cost. Also, condominium associations often levy special assessments</w:t>
      </w:r>
      <w:r w:rsidR="001858B5">
        <w:rPr>
          <w:rFonts w:cs="Times New Roman"/>
        </w:rPr>
        <w:fldChar w:fldCharType="begin"/>
      </w:r>
      <w:r w:rsidR="00180E6F">
        <w:instrText xml:space="preserve"> XE "</w:instrText>
      </w:r>
      <w:r w:rsidR="00180E6F" w:rsidRPr="00DF385A">
        <w:rPr>
          <w:rFonts w:cs="Times New Roman"/>
        </w:rPr>
        <w:instrText>special assessments</w:instrText>
      </w:r>
      <w:r w:rsidR="00180E6F">
        <w:instrText xml:space="preserve">" </w:instrText>
      </w:r>
      <w:r w:rsidR="001858B5">
        <w:rPr>
          <w:rFonts w:cs="Times New Roman"/>
        </w:rPr>
        <w:fldChar w:fldCharType="end"/>
      </w:r>
      <w:r w:rsidRPr="00124B71">
        <w:rPr>
          <w:rFonts w:cs="Times New Roman"/>
        </w:rPr>
        <w:t xml:space="preserve"> to undertake required work for which the reserves are insufficient. In the real world, most people do not set aside money for these items. Most will attempt to obtain a Home Equity Line of Credit (HELOC</w:t>
      </w:r>
      <w:r w:rsidR="001858B5">
        <w:rPr>
          <w:rFonts w:cs="Times New Roman"/>
        </w:rPr>
        <w:fldChar w:fldCharType="begin"/>
      </w:r>
      <w:r w:rsidR="00074436">
        <w:instrText xml:space="preserve"> XE "</w:instrText>
      </w:r>
      <w:r w:rsidR="00074436" w:rsidRPr="005B4386">
        <w:rPr>
          <w:rFonts w:cs="Times New Roman"/>
        </w:rPr>
        <w:instrText>HELOC</w:instrText>
      </w:r>
      <w:r w:rsidR="00074436">
        <w:instrText xml:space="preserve">" </w:instrText>
      </w:r>
      <w:r w:rsidR="001858B5">
        <w:rPr>
          <w:rFonts w:cs="Times New Roman"/>
        </w:rPr>
        <w:fldChar w:fldCharType="end"/>
      </w:r>
      <w:r w:rsidRPr="00124B71">
        <w:rPr>
          <w:rFonts w:cs="Times New Roman"/>
        </w:rPr>
        <w:t>) to fund the repairs when they are necessary. Of course</w:t>
      </w:r>
      <w:r w:rsidR="00813A15" w:rsidRPr="00124B71">
        <w:rPr>
          <w:rFonts w:cs="Times New Roman"/>
        </w:rPr>
        <w:t>,</w:t>
      </w:r>
      <w:r w:rsidRPr="00124B71">
        <w:rPr>
          <w:rFonts w:cs="Times New Roman"/>
        </w:rPr>
        <w:t xml:space="preserve"> this assumes a property has appreciated and </w:t>
      </w:r>
      <w:r w:rsidR="0089532A" w:rsidRPr="00124B71">
        <w:rPr>
          <w:rFonts w:cs="Times New Roman"/>
        </w:rPr>
        <w:t xml:space="preserve">that </w:t>
      </w:r>
      <w:r w:rsidRPr="00124B71">
        <w:rPr>
          <w:rFonts w:cs="Times New Roman"/>
        </w:rPr>
        <w:t>such financing will be made available.</w:t>
      </w:r>
    </w:p>
    <w:p w14:paraId="390C73D5" w14:textId="77777777" w:rsidR="0027778B" w:rsidRPr="00EF0EDA" w:rsidRDefault="0027778B" w:rsidP="00561342">
      <w:pPr>
        <w:pStyle w:val="Heading3"/>
      </w:pPr>
      <w:bookmarkStart w:id="56" w:name="_Toc238867300"/>
      <w:r w:rsidRPr="00EF0EDA">
        <w:t>Tax Savings</w:t>
      </w:r>
      <w:bookmarkEnd w:id="56"/>
    </w:p>
    <w:p w14:paraId="2DC49523" w14:textId="77777777" w:rsidR="0027778B" w:rsidRPr="00124B71" w:rsidRDefault="0027778B" w:rsidP="00561342">
      <w:pPr>
        <w:rPr>
          <w:rFonts w:cs="Times New Roman"/>
        </w:rPr>
      </w:pPr>
      <w:r w:rsidRPr="00124B71">
        <w:rPr>
          <w:rFonts w:cs="Times New Roman"/>
        </w:rPr>
        <w:t>There are two other variables people often consider when evaluating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that is not included in the prior list: income tax savings and lost downpayment interest. When a borrower takes out a home loan, the interest is tax deductible up to a certain amount. For borrowers in the highest marginal tax bracket, the savings can be significant, and this can make a dramatic difference in the true cost of ownership. However, this benefit diminishes over time as the loan is paid off and the interest decreases. Plus, contrary to popular belief, it is never good financial planning to spend $100 to save $25 in taxes. Also, these benefits are almost universally overestimated by people considering a home purchase. </w:t>
      </w:r>
      <w:r w:rsidR="00813A15" w:rsidRPr="00124B71">
        <w:rPr>
          <w:rFonts w:cs="Times New Roman"/>
        </w:rPr>
        <w:t xml:space="preserve">Renters </w:t>
      </w:r>
      <w:r w:rsidRPr="00124B71">
        <w:rPr>
          <w:rFonts w:cs="Times New Roman"/>
        </w:rPr>
        <w:t>considering home ownership will need to remember</w:t>
      </w:r>
      <w:r w:rsidR="00813A15" w:rsidRPr="00124B71">
        <w:rPr>
          <w:rFonts w:cs="Times New Roman"/>
        </w:rPr>
        <w:t xml:space="preserve"> that</w:t>
      </w:r>
      <w:r w:rsidRPr="00124B71">
        <w:rPr>
          <w:rFonts w:cs="Times New Roman"/>
        </w:rPr>
        <w:t xml:space="preserve"> they will be giving up the standard deduction when they itemize to obtain the Home Mortgage Interest Deduction</w:t>
      </w:r>
      <w:r w:rsidR="001858B5">
        <w:rPr>
          <w:rFonts w:cs="Times New Roman"/>
        </w:rPr>
        <w:fldChar w:fldCharType="begin"/>
      </w:r>
      <w:r w:rsidR="00180E6F">
        <w:instrText xml:space="preserve"> XE "</w:instrText>
      </w:r>
      <w:r w:rsidR="00180E6F" w:rsidRPr="00E414C5">
        <w:rPr>
          <w:rFonts w:cs="Times New Roman"/>
        </w:rPr>
        <w:instrText>Home Mortgage Interest Deduction</w:instrText>
      </w:r>
      <w:r w:rsidR="00180E6F">
        <w:instrText>" \t "</w:instrText>
      </w:r>
      <w:r w:rsidR="00180E6F" w:rsidRPr="008D4ACE">
        <w:rPr>
          <w:rFonts w:asciiTheme="minorHAnsi" w:hAnsiTheme="minorHAnsi"/>
          <w:i/>
        </w:rPr>
        <w:instrText>See</w:instrText>
      </w:r>
      <w:r w:rsidR="00180E6F" w:rsidRPr="008D4ACE">
        <w:rPr>
          <w:rFonts w:asciiTheme="minorHAnsi" w:hAnsiTheme="minorHAnsi"/>
        </w:rPr>
        <w:instrText xml:space="preserve"> HMID</w:instrText>
      </w:r>
      <w:r w:rsidR="00180E6F">
        <w:instrText xml:space="preserve">" </w:instrText>
      </w:r>
      <w:r w:rsidR="001858B5">
        <w:rPr>
          <w:rFonts w:cs="Times New Roman"/>
        </w:rPr>
        <w:fldChar w:fldCharType="end"/>
      </w:r>
      <w:r w:rsidRPr="00124B71">
        <w:rPr>
          <w:rFonts w:cs="Times New Roman"/>
        </w:rPr>
        <w:t xml:space="preserve"> (HMID</w:t>
      </w:r>
      <w:r w:rsidR="001858B5">
        <w:rPr>
          <w:rFonts w:cs="Times New Roman"/>
        </w:rPr>
        <w:fldChar w:fldCharType="begin"/>
      </w:r>
      <w:r w:rsidR="00180E6F">
        <w:instrText xml:space="preserve"> XE "</w:instrText>
      </w:r>
      <w:r w:rsidR="00180E6F" w:rsidRPr="00161F1D">
        <w:rPr>
          <w:rFonts w:cs="Times New Roman"/>
        </w:rPr>
        <w:instrText>HMID</w:instrText>
      </w:r>
      <w:r w:rsidR="00180E6F">
        <w:instrText xml:space="preserve">" </w:instrText>
      </w:r>
      <w:r w:rsidR="001858B5">
        <w:rPr>
          <w:rFonts w:cs="Times New Roman"/>
        </w:rPr>
        <w:fldChar w:fldCharType="end"/>
      </w:r>
      <w:r w:rsidRPr="00124B71">
        <w:rPr>
          <w:rFonts w:cs="Times New Roman"/>
        </w:rPr>
        <w:t>)</w:t>
      </w:r>
      <w:r w:rsidR="00FC3036" w:rsidRPr="00124B71">
        <w:rPr>
          <w:rFonts w:cs="Times New Roman"/>
        </w:rPr>
        <w:t xml:space="preserve">. </w:t>
      </w:r>
      <w:r w:rsidR="001F47A8" w:rsidRPr="00124B71">
        <w:rPr>
          <w:rStyle w:val="EndnoteReference"/>
          <w:rFonts w:cs="Times New Roman"/>
        </w:rPr>
        <w:endnoteReference w:id="52"/>
      </w:r>
      <w:r w:rsidRPr="00124B71">
        <w:rPr>
          <w:rFonts w:cs="Times New Roman"/>
        </w:rPr>
        <w:t xml:space="preserve"> A “married filing jointly” taxpayer will forgo a $10,700 deduction in 2007. This reduces the net impact of the HMID. Anecdotally, even those in the highest tax brackets usually do not get more than a 25% tax savings.</w:t>
      </w:r>
    </w:p>
    <w:p w14:paraId="699A22A0" w14:textId="77777777" w:rsidR="0027778B" w:rsidRPr="00EF0EDA" w:rsidRDefault="0027778B" w:rsidP="00561342">
      <w:pPr>
        <w:pStyle w:val="Heading3"/>
      </w:pPr>
      <w:bookmarkStart w:id="57" w:name="_Toc238867301"/>
      <w:r w:rsidRPr="00EF0EDA">
        <w:t>Hidden Savings</w:t>
      </w:r>
      <w:bookmarkEnd w:id="57"/>
    </w:p>
    <w:p w14:paraId="592F35D5" w14:textId="77777777" w:rsidR="0027778B" w:rsidRPr="00124B71" w:rsidRDefault="0027778B" w:rsidP="00561342">
      <w:pPr>
        <w:rPr>
          <w:rFonts w:cs="Times New Roman"/>
        </w:rPr>
      </w:pPr>
      <w:r w:rsidRPr="00124B71">
        <w:rPr>
          <w:rFonts w:cs="Times New Roman"/>
        </w:rPr>
        <w:t>This is the forgotten benefit of a conventionally amortizing loan: forced savings. Most people are not good at saving. The government recognized this years ago when they started taking money out of people</w:t>
      </w:r>
      <w:r w:rsidR="00F2292F" w:rsidRPr="00124B71">
        <w:rPr>
          <w:rFonts w:cs="Times New Roman"/>
        </w:rPr>
        <w:t>’</w:t>
      </w:r>
      <w:r w:rsidRPr="00124B71">
        <w:rPr>
          <w:rFonts w:cs="Times New Roman"/>
        </w:rPr>
        <w:t>s salaries to pay income taxes because they knew people would not do it on their own. People who become homeowners during their lifetimes often have the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in their home as their only source of retirement savings</w:t>
      </w:r>
      <w:r w:rsidR="001858B5">
        <w:rPr>
          <w:rFonts w:cs="Times New Roman"/>
        </w:rPr>
        <w:fldChar w:fldCharType="begin"/>
      </w:r>
      <w:r w:rsidR="00FA2AEF">
        <w:instrText xml:space="preserve"> XE "</w:instrText>
      </w:r>
      <w:r w:rsidR="00FA2AEF" w:rsidRPr="0027527E">
        <w:rPr>
          <w:rFonts w:cs="Times New Roman"/>
        </w:rPr>
        <w:instrText>retirement savings</w:instrText>
      </w:r>
      <w:r w:rsidR="00FA2AEF">
        <w:instrText xml:space="preserve">" </w:instrText>
      </w:r>
      <w:r w:rsidR="001858B5">
        <w:rPr>
          <w:rFonts w:cs="Times New Roman"/>
        </w:rPr>
        <w:fldChar w:fldCharType="end"/>
      </w:r>
      <w:r w:rsidRPr="00124B71">
        <w:rPr>
          <w:rFonts w:cs="Times New Roman"/>
        </w:rPr>
        <w:t xml:space="preserve"> other than social security. To accurately calculate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this hidden savings amount needs to be deducted from the total cost of ownership because this money will generally come back to the borrower at the time of sale. Since taxpayers in the United States get a capital gains exemption up to $250,000</w:t>
      </w:r>
      <w:r w:rsidR="00DF5823" w:rsidRPr="00124B71">
        <w:rPr>
          <w:rFonts w:cs="Times New Roman"/>
        </w:rPr>
        <w:t xml:space="preserve"> per person or $500,000 per couple</w:t>
      </w:r>
      <w:r w:rsidRPr="00124B71">
        <w:rPr>
          <w:rFonts w:cs="Times New Roman"/>
        </w:rPr>
        <w:t>, this savings amount</w:t>
      </w:r>
      <w:r w:rsidR="008613D4" w:rsidRPr="00124B71">
        <w:rPr>
          <w:rFonts w:cs="Times New Roman"/>
        </w:rPr>
        <w:t xml:space="preserve"> </w:t>
      </w:r>
      <w:r w:rsidRPr="00124B71">
        <w:rPr>
          <w:rFonts w:cs="Times New Roman"/>
        </w:rPr>
        <w:t>does not need to be adjusted for</w:t>
      </w:r>
      <w:r w:rsidR="008613D4" w:rsidRPr="00124B71">
        <w:rPr>
          <w:rFonts w:cs="Times New Roman"/>
        </w:rPr>
        <w:t xml:space="preserve"> capital gains</w:t>
      </w:r>
      <w:r w:rsidRPr="00124B71">
        <w:rPr>
          <w:rFonts w:cs="Times New Roman"/>
        </w:rPr>
        <w:t xml:space="preserve"> taxes</w:t>
      </w:r>
      <w:r w:rsidR="00DF5823" w:rsidRPr="00124B71">
        <w:rPr>
          <w:rFonts w:cs="Times New Roman"/>
        </w:rPr>
        <w:t xml:space="preserve"> in most circumstances</w:t>
      </w:r>
      <w:r w:rsidRPr="00124B71">
        <w:rPr>
          <w:rFonts w:cs="Times New Roman"/>
        </w:rPr>
        <w:t>.</w:t>
      </w:r>
    </w:p>
    <w:p w14:paraId="033100D4" w14:textId="77777777" w:rsidR="0027778B" w:rsidRPr="00EF0EDA" w:rsidRDefault="0027778B" w:rsidP="00561342">
      <w:pPr>
        <w:pStyle w:val="Heading3"/>
      </w:pPr>
      <w:bookmarkStart w:id="58" w:name="_Toc238867302"/>
      <w:r w:rsidRPr="00EF0EDA">
        <w:lastRenderedPageBreak/>
        <w:t>Lost Downpayment Interest</w:t>
      </w:r>
      <w:bookmarkEnd w:id="58"/>
      <w:r w:rsidRPr="00EF0EDA">
        <w:t xml:space="preserve"> </w:t>
      </w:r>
    </w:p>
    <w:p w14:paraId="09F96D55" w14:textId="77777777" w:rsidR="0027778B" w:rsidRPr="00124B71" w:rsidRDefault="0027778B" w:rsidP="00561342">
      <w:pPr>
        <w:rPr>
          <w:rFonts w:cs="Times New Roman"/>
        </w:rPr>
      </w:pPr>
      <w:r w:rsidRPr="00124B71">
        <w:rPr>
          <w:rFonts w:cs="Times New Roman"/>
        </w:rPr>
        <w:t>Unless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is utilized, a cash downpayment will generally be withdrawn from an interest bearing account to purchase a house. The monthly interest that would have accrued if the downpayment money was still in the bank is a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This is perhaps the most overlooked ownership cost. For instance, if you are putting 20% down on a $</w:t>
      </w:r>
      <w:r w:rsidR="008613D4" w:rsidRPr="00124B71">
        <w:rPr>
          <w:rFonts w:cs="Times New Roman"/>
        </w:rPr>
        <w:t>244</w:t>
      </w:r>
      <w:r w:rsidRPr="00124B71">
        <w:rPr>
          <w:rFonts w:cs="Times New Roman"/>
        </w:rPr>
        <w:t>,</w:t>
      </w:r>
      <w:r w:rsidR="008613D4" w:rsidRPr="00124B71">
        <w:rPr>
          <w:rFonts w:cs="Times New Roman"/>
        </w:rPr>
        <w:t>9</w:t>
      </w:r>
      <w:r w:rsidRPr="00124B71">
        <w:rPr>
          <w:rFonts w:cs="Times New Roman"/>
        </w:rPr>
        <w:t>00 property, you will be taking $</w:t>
      </w:r>
      <w:r w:rsidR="00FD70CE" w:rsidRPr="00124B71">
        <w:rPr>
          <w:rFonts w:cs="Times New Roman"/>
        </w:rPr>
        <w:t>48</w:t>
      </w:r>
      <w:r w:rsidRPr="00124B71">
        <w:rPr>
          <w:rFonts w:cs="Times New Roman"/>
        </w:rPr>
        <w:t>,</w:t>
      </w:r>
      <w:r w:rsidR="00FD70CE" w:rsidRPr="00124B71">
        <w:rPr>
          <w:rFonts w:cs="Times New Roman"/>
        </w:rPr>
        <w:t>98</w:t>
      </w:r>
      <w:r w:rsidRPr="00124B71">
        <w:rPr>
          <w:rFonts w:cs="Times New Roman"/>
        </w:rPr>
        <w:t>0 from a bank account where it would have earned 5% in 2007. This $</w:t>
      </w:r>
      <w:r w:rsidR="00FD70CE" w:rsidRPr="00124B71">
        <w:rPr>
          <w:rFonts w:cs="Times New Roman"/>
        </w:rPr>
        <w:t>2,449</w:t>
      </w:r>
      <w:r w:rsidRPr="00124B71">
        <w:rPr>
          <w:rFonts w:cs="Times New Roman"/>
        </w:rPr>
        <w:t xml:space="preserve"> in interest comes to $</w:t>
      </w:r>
      <w:r w:rsidR="00FD70CE" w:rsidRPr="00124B71">
        <w:rPr>
          <w:rFonts w:cs="Times New Roman"/>
        </w:rPr>
        <w:t>204</w:t>
      </w:r>
      <w:r w:rsidRPr="00124B71">
        <w:rPr>
          <w:rFonts w:cs="Times New Roman"/>
        </w:rPr>
        <w:t xml:space="preserve"> in lost interest the moment this money gets tied up in real property. If someone chooses to rent rather than buy, this interest income</w:t>
      </w:r>
      <w:r w:rsidR="0089532A" w:rsidRPr="00124B71">
        <w:rPr>
          <w:rFonts w:cs="Times New Roman"/>
        </w:rPr>
        <w:t xml:space="preserve"> would be earned</w:t>
      </w:r>
      <w:r w:rsidRPr="00124B71">
        <w:rPr>
          <w:rFonts w:cs="Times New Roman"/>
        </w:rPr>
        <w:t>. Of course, this earned income is also taxed, so 75% of this number is the net opportunity cost of a downpayment.</w:t>
      </w:r>
    </w:p>
    <w:p w14:paraId="40E3FEB8" w14:textId="77777777" w:rsidR="0027778B" w:rsidRPr="00124B71" w:rsidRDefault="0027778B" w:rsidP="00561342">
      <w:pPr>
        <w:rPr>
          <w:rFonts w:cs="Times New Roman"/>
        </w:rPr>
      </w:pPr>
      <w:r w:rsidRPr="00124B71">
        <w:rPr>
          <w:rFonts w:cs="Times New Roman"/>
        </w:rPr>
        <w:t>To establish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each of these costs, if applicable, must be quantified. When the total monthly cost of ownership is equal to the rental rate, the market is considered to be at fair value for owner-occupants. In fact, this is the equilibrium in most real estate markets across the nation. In a strange way, the bubble did not upset this equilibrium. The use of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loans with artificially low teaser rates allowed borrowers to obtain double the loan amount with the same monthly payment: double the loan; double the purchase price. This is how prices were bid up so high so fast without a commensurate increase in wages. The elimination of these loans is also the reason prices collapse.</w:t>
      </w:r>
    </w:p>
    <w:p w14:paraId="05AFA318" w14:textId="77777777" w:rsidR="0027778B" w:rsidRPr="00EF0EDA" w:rsidRDefault="0010462B" w:rsidP="0010462B">
      <w:pPr>
        <w:pStyle w:val="Heading3"/>
      </w:pPr>
      <w:bookmarkStart w:id="59" w:name="_Toc238867303"/>
      <w:r w:rsidRPr="00EF0EDA">
        <w:t>Running the Numbers</w:t>
      </w:r>
      <w:bookmarkEnd w:id="59"/>
    </w:p>
    <w:p w14:paraId="3E107422" w14:textId="77777777" w:rsidR="0027778B" w:rsidRPr="00124B71" w:rsidRDefault="0027778B" w:rsidP="00A56E02">
      <w:pPr>
        <w:rPr>
          <w:rFonts w:cs="Times New Roman"/>
        </w:rPr>
      </w:pPr>
      <w:r w:rsidRPr="00124B71">
        <w:rPr>
          <w:rFonts w:cs="Times New Roman"/>
        </w:rPr>
        <w:t>Below is a typical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for a $</w:t>
      </w:r>
      <w:r w:rsidR="001C10CC" w:rsidRPr="00124B71">
        <w:rPr>
          <w:rFonts w:cs="Times New Roman"/>
        </w:rPr>
        <w:t>244,9</w:t>
      </w:r>
      <w:r w:rsidRPr="00124B71">
        <w:rPr>
          <w:rFonts w:cs="Times New Roman"/>
        </w:rPr>
        <w:t xml:space="preserve">00 </w:t>
      </w:r>
      <w:r w:rsidR="001C10CC" w:rsidRPr="00124B71">
        <w:rPr>
          <w:rFonts w:cs="Times New Roman"/>
        </w:rPr>
        <w:t xml:space="preserve">Median </w:t>
      </w:r>
      <w:r w:rsidRPr="00124B71">
        <w:rPr>
          <w:rFonts w:cs="Times New Roman"/>
        </w:rPr>
        <w:t>property</w:t>
      </w:r>
      <w:r w:rsidR="001C10CC" w:rsidRPr="00124B71">
        <w:rPr>
          <w:rFonts w:cs="Times New Roman"/>
        </w:rPr>
        <w:t xml:space="preserve"> in the US</w:t>
      </w:r>
      <w:r w:rsidR="005F6F3B" w:rsidRPr="00124B71">
        <w:rPr>
          <w:rFonts w:cs="Times New Roman"/>
        </w:rPr>
        <w:t xml:space="preserve"> (2006)</w:t>
      </w:r>
      <w:r w:rsidRPr="00124B71">
        <w:rPr>
          <w:rFonts w:cs="Times New Roman"/>
        </w:rPr>
        <w:t>:</w:t>
      </w:r>
    </w:p>
    <w:p w14:paraId="184420D5" w14:textId="478002F7" w:rsidR="00DE0510" w:rsidRPr="00EF0EDA" w:rsidRDefault="00DE0510" w:rsidP="00DE0510">
      <w:pPr>
        <w:pStyle w:val="Caption"/>
      </w:pPr>
      <w:bookmarkStart w:id="60" w:name="_Toc238867423"/>
      <w:r>
        <w:t xml:space="preserve">Equation </w:t>
      </w:r>
      <w:fldSimple w:instr=" SEQ Equation \* ARABIC ">
        <w:r w:rsidR="00493733">
          <w:rPr>
            <w:noProof/>
          </w:rPr>
          <w:t>1</w:t>
        </w:r>
      </w:fldSimple>
      <w:r w:rsidR="00317936">
        <w:t xml:space="preserve">: </w:t>
      </w:r>
      <w:r>
        <w:t>Cost of Ownership for 2006 Median Property in United States</w:t>
      </w:r>
      <w:bookmarkEnd w:id="60"/>
    </w:p>
    <w:tbl>
      <w:tblPr>
        <w:tblW w:w="0" w:type="auto"/>
        <w:tblInd w:w="108" w:type="dxa"/>
        <w:tblLook w:val="04A0" w:firstRow="1" w:lastRow="0" w:firstColumn="1" w:lastColumn="0" w:noHBand="0" w:noVBand="1"/>
      </w:tblPr>
      <w:tblGrid>
        <w:gridCol w:w="1302"/>
        <w:gridCol w:w="5352"/>
        <w:gridCol w:w="222"/>
      </w:tblGrid>
      <w:tr w:rsidR="001C10CC" w:rsidRPr="00131BA8" w14:paraId="6B8F6F59" w14:textId="77777777" w:rsidTr="000E6437">
        <w:trPr>
          <w:gridAfter w:val="1"/>
          <w:cantSplit/>
          <w:trHeight w:val="173"/>
        </w:trPr>
        <w:tc>
          <w:tcPr>
            <w:tcW w:w="1350" w:type="dxa"/>
            <w:tcBorders>
              <w:top w:val="nil"/>
              <w:left w:val="nil"/>
              <w:bottom w:val="nil"/>
              <w:right w:val="nil"/>
            </w:tcBorders>
            <w:noWrap/>
            <w:vAlign w:val="bottom"/>
            <w:hideMark/>
          </w:tcPr>
          <w:p w14:paraId="08AC551D" w14:textId="77777777" w:rsidR="001C10CC" w:rsidRPr="00131BA8" w:rsidRDefault="001C10CC" w:rsidP="00010CEA">
            <w:pPr>
              <w:keepLines/>
              <w:ind w:firstLine="0"/>
              <w:jc w:val="right"/>
              <w:rPr>
                <w:rFonts w:eastAsia="Times New Roman" w:cs="Times New Roman"/>
                <w:sz w:val="18"/>
                <w:szCs w:val="18"/>
                <w:lang w:bidi="ar-SA"/>
              </w:rPr>
            </w:pPr>
            <w:r w:rsidRPr="00131BA8">
              <w:rPr>
                <w:rFonts w:eastAsia="Times New Roman" w:cs="Times New Roman"/>
                <w:sz w:val="18"/>
                <w:szCs w:val="18"/>
                <w:lang w:bidi="ar-SA"/>
              </w:rPr>
              <w:t>$  244,900</w:t>
            </w:r>
          </w:p>
        </w:tc>
        <w:tc>
          <w:tcPr>
            <w:tcW w:w="5580" w:type="dxa"/>
            <w:tcBorders>
              <w:top w:val="nil"/>
              <w:left w:val="nil"/>
              <w:bottom w:val="nil"/>
              <w:right w:val="nil"/>
            </w:tcBorders>
            <w:noWrap/>
            <w:vAlign w:val="bottom"/>
            <w:hideMark/>
          </w:tcPr>
          <w:p w14:paraId="5649E2D2" w14:textId="77777777" w:rsidR="001C10CC" w:rsidRPr="00131BA8" w:rsidRDefault="001C10CC"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Purchase Price</w:t>
            </w:r>
          </w:p>
        </w:tc>
      </w:tr>
      <w:tr w:rsidR="001C10CC" w:rsidRPr="00131BA8" w14:paraId="357B78E9" w14:textId="77777777" w:rsidTr="000E6437">
        <w:trPr>
          <w:gridAfter w:val="1"/>
          <w:cantSplit/>
          <w:trHeight w:val="173"/>
        </w:trPr>
        <w:tc>
          <w:tcPr>
            <w:tcW w:w="1350" w:type="dxa"/>
            <w:tcBorders>
              <w:top w:val="nil"/>
              <w:left w:val="nil"/>
              <w:bottom w:val="nil"/>
              <w:right w:val="nil"/>
            </w:tcBorders>
            <w:noWrap/>
            <w:vAlign w:val="bottom"/>
            <w:hideMark/>
          </w:tcPr>
          <w:p w14:paraId="78AF9A19"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p>
        </w:tc>
        <w:tc>
          <w:tcPr>
            <w:tcW w:w="5580" w:type="dxa"/>
            <w:tcBorders>
              <w:top w:val="nil"/>
              <w:left w:val="nil"/>
              <w:bottom w:val="nil"/>
              <w:right w:val="nil"/>
            </w:tcBorders>
            <w:noWrap/>
            <w:vAlign w:val="bottom"/>
            <w:hideMark/>
          </w:tcPr>
          <w:p w14:paraId="03B79929" w14:textId="77777777" w:rsidR="001C10CC" w:rsidRPr="00131BA8" w:rsidRDefault="001C10CC" w:rsidP="00010CEA">
            <w:pPr>
              <w:keepLines/>
              <w:ind w:firstLine="0"/>
              <w:rPr>
                <w:rFonts w:eastAsia="Times New Roman" w:cs="Times New Roman"/>
                <w:color w:val="000000"/>
                <w:sz w:val="18"/>
                <w:szCs w:val="18"/>
                <w:lang w:bidi="ar-SA"/>
              </w:rPr>
            </w:pPr>
          </w:p>
        </w:tc>
      </w:tr>
      <w:tr w:rsidR="001C10CC" w:rsidRPr="00131BA8" w14:paraId="643DD5AE" w14:textId="77777777" w:rsidTr="000E6437">
        <w:trPr>
          <w:gridAfter w:val="1"/>
          <w:cantSplit/>
          <w:trHeight w:val="173"/>
        </w:trPr>
        <w:tc>
          <w:tcPr>
            <w:tcW w:w="1350" w:type="dxa"/>
            <w:tcBorders>
              <w:top w:val="nil"/>
              <w:left w:val="nil"/>
              <w:bottom w:val="nil"/>
              <w:right w:val="nil"/>
            </w:tcBorders>
            <w:noWrap/>
            <w:vAlign w:val="bottom"/>
            <w:hideMark/>
          </w:tcPr>
          <w:p w14:paraId="5CDA5344"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48,980</w:t>
            </w:r>
          </w:p>
        </w:tc>
        <w:tc>
          <w:tcPr>
            <w:tcW w:w="5580" w:type="dxa"/>
            <w:tcBorders>
              <w:top w:val="nil"/>
              <w:left w:val="nil"/>
              <w:bottom w:val="nil"/>
              <w:right w:val="nil"/>
            </w:tcBorders>
            <w:noWrap/>
            <w:vAlign w:val="bottom"/>
            <w:hideMark/>
          </w:tcPr>
          <w:p w14:paraId="3EB942A0" w14:textId="77777777" w:rsidR="001C10CC" w:rsidRPr="00131BA8" w:rsidRDefault="001C10CC"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Downpayment @20%</w:t>
            </w:r>
          </w:p>
        </w:tc>
      </w:tr>
      <w:tr w:rsidR="001C10CC" w:rsidRPr="00131BA8" w14:paraId="3E947E4F" w14:textId="77777777" w:rsidTr="000E6437">
        <w:trPr>
          <w:gridAfter w:val="1"/>
          <w:cantSplit/>
          <w:trHeight w:val="173"/>
        </w:trPr>
        <w:tc>
          <w:tcPr>
            <w:tcW w:w="1350" w:type="dxa"/>
            <w:tcBorders>
              <w:top w:val="nil"/>
              <w:left w:val="nil"/>
              <w:bottom w:val="nil"/>
              <w:right w:val="nil"/>
            </w:tcBorders>
            <w:noWrap/>
            <w:vAlign w:val="bottom"/>
            <w:hideMark/>
          </w:tcPr>
          <w:p w14:paraId="333B6115"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195,920</w:t>
            </w:r>
          </w:p>
        </w:tc>
        <w:tc>
          <w:tcPr>
            <w:tcW w:w="5580" w:type="dxa"/>
            <w:tcBorders>
              <w:top w:val="nil"/>
              <w:left w:val="nil"/>
              <w:bottom w:val="nil"/>
              <w:right w:val="nil"/>
            </w:tcBorders>
            <w:noWrap/>
            <w:vAlign w:val="bottom"/>
            <w:hideMark/>
          </w:tcPr>
          <w:p w14:paraId="0808398D" w14:textId="77777777" w:rsidR="001C10CC" w:rsidRPr="00131BA8" w:rsidRDefault="001C10CC"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Mortgage @ 80%</w:t>
            </w:r>
          </w:p>
        </w:tc>
      </w:tr>
      <w:tr w:rsidR="001C10CC" w:rsidRPr="00131BA8" w14:paraId="07E12548" w14:textId="77777777" w:rsidTr="000E6437">
        <w:trPr>
          <w:gridAfter w:val="1"/>
          <w:cantSplit/>
          <w:trHeight w:val="173"/>
        </w:trPr>
        <w:tc>
          <w:tcPr>
            <w:tcW w:w="1350" w:type="dxa"/>
            <w:tcBorders>
              <w:top w:val="nil"/>
              <w:left w:val="nil"/>
              <w:bottom w:val="nil"/>
              <w:right w:val="nil"/>
            </w:tcBorders>
            <w:noWrap/>
            <w:vAlign w:val="bottom"/>
            <w:hideMark/>
          </w:tcPr>
          <w:p w14:paraId="61BE7D5B"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p>
        </w:tc>
        <w:tc>
          <w:tcPr>
            <w:tcW w:w="5580" w:type="dxa"/>
            <w:tcBorders>
              <w:top w:val="nil"/>
              <w:left w:val="nil"/>
              <w:bottom w:val="nil"/>
              <w:right w:val="nil"/>
            </w:tcBorders>
            <w:noWrap/>
            <w:vAlign w:val="bottom"/>
            <w:hideMark/>
          </w:tcPr>
          <w:p w14:paraId="63DBF209" w14:textId="77777777" w:rsidR="001C10CC" w:rsidRPr="00131BA8" w:rsidRDefault="001C10CC" w:rsidP="00010CEA">
            <w:pPr>
              <w:keepLines/>
              <w:ind w:firstLine="0"/>
              <w:rPr>
                <w:rFonts w:eastAsia="Times New Roman" w:cs="Times New Roman"/>
                <w:color w:val="000000"/>
                <w:sz w:val="18"/>
                <w:szCs w:val="18"/>
                <w:lang w:bidi="ar-SA"/>
              </w:rPr>
            </w:pPr>
          </w:p>
        </w:tc>
      </w:tr>
      <w:tr w:rsidR="001C10CC" w:rsidRPr="00131BA8" w14:paraId="11E2D340" w14:textId="77777777" w:rsidTr="000E6437">
        <w:trPr>
          <w:gridAfter w:val="1"/>
          <w:cantSplit/>
          <w:trHeight w:val="173"/>
        </w:trPr>
        <w:tc>
          <w:tcPr>
            <w:tcW w:w="1350" w:type="dxa"/>
            <w:tcBorders>
              <w:top w:val="nil"/>
              <w:left w:val="nil"/>
              <w:bottom w:val="nil"/>
              <w:right w:val="nil"/>
            </w:tcBorders>
            <w:noWrap/>
            <w:vAlign w:val="bottom"/>
            <w:hideMark/>
          </w:tcPr>
          <w:p w14:paraId="635FDEBF"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1,238.35</w:t>
            </w:r>
          </w:p>
        </w:tc>
        <w:tc>
          <w:tcPr>
            <w:tcW w:w="5580" w:type="dxa"/>
            <w:tcBorders>
              <w:top w:val="nil"/>
              <w:left w:val="nil"/>
              <w:bottom w:val="nil"/>
              <w:right w:val="nil"/>
            </w:tcBorders>
            <w:noWrap/>
            <w:vAlign w:val="bottom"/>
            <w:hideMark/>
          </w:tcPr>
          <w:p w14:paraId="6FF129F0" w14:textId="77777777" w:rsidR="001C10CC" w:rsidRPr="00131BA8" w:rsidRDefault="001C10CC"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Mortgage Payment @ 6.5%</w:t>
            </w:r>
          </w:p>
        </w:tc>
      </w:tr>
      <w:tr w:rsidR="001C10CC" w:rsidRPr="00131BA8" w14:paraId="1E1DDAB5" w14:textId="77777777" w:rsidTr="000E6437">
        <w:trPr>
          <w:gridAfter w:val="1"/>
          <w:cantSplit/>
          <w:trHeight w:val="173"/>
        </w:trPr>
        <w:tc>
          <w:tcPr>
            <w:tcW w:w="1350" w:type="dxa"/>
            <w:tcBorders>
              <w:top w:val="nil"/>
              <w:left w:val="nil"/>
              <w:bottom w:val="nil"/>
              <w:right w:val="nil"/>
            </w:tcBorders>
            <w:noWrap/>
            <w:vAlign w:val="bottom"/>
            <w:hideMark/>
          </w:tcPr>
          <w:p w14:paraId="45CF09DA"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204.08</w:t>
            </w:r>
          </w:p>
        </w:tc>
        <w:tc>
          <w:tcPr>
            <w:tcW w:w="5580" w:type="dxa"/>
            <w:tcBorders>
              <w:top w:val="nil"/>
              <w:left w:val="nil"/>
              <w:bottom w:val="nil"/>
              <w:right w:val="nil"/>
            </w:tcBorders>
            <w:noWrap/>
            <w:vAlign w:val="bottom"/>
            <w:hideMark/>
          </w:tcPr>
          <w:p w14:paraId="32B9D49A" w14:textId="77777777" w:rsidR="001C10CC" w:rsidRPr="00131BA8" w:rsidRDefault="001C10CC"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Property Taxes @ 1%</w:t>
            </w:r>
          </w:p>
        </w:tc>
      </w:tr>
      <w:tr w:rsidR="001C10CC" w:rsidRPr="00131BA8" w14:paraId="0E827E27" w14:textId="77777777" w:rsidTr="000E6437">
        <w:trPr>
          <w:gridAfter w:val="1"/>
          <w:cantSplit/>
          <w:trHeight w:val="173"/>
        </w:trPr>
        <w:tc>
          <w:tcPr>
            <w:tcW w:w="1350" w:type="dxa"/>
            <w:tcBorders>
              <w:top w:val="nil"/>
              <w:left w:val="nil"/>
              <w:bottom w:val="nil"/>
              <w:right w:val="nil"/>
            </w:tcBorders>
            <w:noWrap/>
            <w:vAlign w:val="bottom"/>
            <w:hideMark/>
          </w:tcPr>
          <w:p w14:paraId="7A5C2585"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51.02</w:t>
            </w:r>
          </w:p>
        </w:tc>
        <w:tc>
          <w:tcPr>
            <w:tcW w:w="5580" w:type="dxa"/>
            <w:tcBorders>
              <w:top w:val="nil"/>
              <w:left w:val="nil"/>
              <w:bottom w:val="nil"/>
              <w:right w:val="nil"/>
            </w:tcBorders>
            <w:noWrap/>
            <w:vAlign w:val="bottom"/>
            <w:hideMark/>
          </w:tcPr>
          <w:p w14:paraId="3C18625E" w14:textId="77777777" w:rsidR="001C10CC" w:rsidRPr="00131BA8" w:rsidRDefault="001C10CC"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Homeowners Insurance @ 0.25%</w:t>
            </w:r>
          </w:p>
        </w:tc>
      </w:tr>
      <w:tr w:rsidR="001C10CC" w:rsidRPr="00131BA8" w14:paraId="28F51582" w14:textId="77777777" w:rsidTr="000E6437">
        <w:trPr>
          <w:gridAfter w:val="1"/>
          <w:cantSplit/>
          <w:trHeight w:val="173"/>
        </w:trPr>
        <w:tc>
          <w:tcPr>
            <w:tcW w:w="1350" w:type="dxa"/>
            <w:tcBorders>
              <w:top w:val="nil"/>
              <w:left w:val="nil"/>
              <w:bottom w:val="nil"/>
              <w:right w:val="nil"/>
            </w:tcBorders>
            <w:noWrap/>
            <w:vAlign w:val="bottom"/>
            <w:hideMark/>
          </w:tcPr>
          <w:p w14:paraId="3F2E5504"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51.02</w:t>
            </w:r>
          </w:p>
        </w:tc>
        <w:tc>
          <w:tcPr>
            <w:tcW w:w="5580" w:type="dxa"/>
            <w:tcBorders>
              <w:top w:val="nil"/>
              <w:left w:val="nil"/>
              <w:bottom w:val="nil"/>
              <w:right w:val="nil"/>
            </w:tcBorders>
            <w:noWrap/>
            <w:vAlign w:val="bottom"/>
            <w:hideMark/>
          </w:tcPr>
          <w:p w14:paraId="6F8052CA" w14:textId="77777777" w:rsidR="001C10CC" w:rsidRPr="00131BA8" w:rsidRDefault="001C10CC"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Special Taxes and Levies @ 0.25%</w:t>
            </w:r>
          </w:p>
        </w:tc>
      </w:tr>
      <w:tr w:rsidR="001C10CC" w:rsidRPr="00131BA8" w14:paraId="7C52798C" w14:textId="77777777" w:rsidTr="000E6437">
        <w:trPr>
          <w:gridAfter w:val="1"/>
          <w:cantSplit/>
          <w:trHeight w:val="173"/>
        </w:trPr>
        <w:tc>
          <w:tcPr>
            <w:tcW w:w="1350" w:type="dxa"/>
            <w:tcBorders>
              <w:top w:val="nil"/>
              <w:left w:val="nil"/>
              <w:bottom w:val="nil"/>
              <w:right w:val="nil"/>
            </w:tcBorders>
            <w:noWrap/>
            <w:vAlign w:val="bottom"/>
            <w:hideMark/>
          </w:tcPr>
          <w:p w14:paraId="5D46D4F2"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100.00</w:t>
            </w:r>
          </w:p>
        </w:tc>
        <w:tc>
          <w:tcPr>
            <w:tcW w:w="5580" w:type="dxa"/>
            <w:tcBorders>
              <w:top w:val="nil"/>
              <w:left w:val="nil"/>
              <w:bottom w:val="nil"/>
              <w:right w:val="nil"/>
            </w:tcBorders>
            <w:noWrap/>
            <w:vAlign w:val="bottom"/>
            <w:hideMark/>
          </w:tcPr>
          <w:p w14:paraId="01643504" w14:textId="77777777" w:rsidR="001C10CC" w:rsidRPr="00131BA8" w:rsidRDefault="001C10CC"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Homeowners Associate Dues or Fees @ $100</w:t>
            </w:r>
          </w:p>
        </w:tc>
      </w:tr>
      <w:tr w:rsidR="001C10CC" w:rsidRPr="00131BA8" w14:paraId="667B662E" w14:textId="77777777" w:rsidTr="000E6437">
        <w:trPr>
          <w:gridAfter w:val="1"/>
          <w:cantSplit/>
          <w:trHeight w:val="173"/>
        </w:trPr>
        <w:tc>
          <w:tcPr>
            <w:tcW w:w="1350" w:type="dxa"/>
            <w:tcBorders>
              <w:top w:val="nil"/>
              <w:left w:val="nil"/>
              <w:bottom w:val="double" w:sz="6" w:space="0" w:color="auto"/>
              <w:right w:val="nil"/>
            </w:tcBorders>
            <w:noWrap/>
            <w:vAlign w:val="bottom"/>
            <w:hideMark/>
          </w:tcPr>
          <w:p w14:paraId="030DD851"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306.13</w:t>
            </w:r>
          </w:p>
        </w:tc>
        <w:tc>
          <w:tcPr>
            <w:tcW w:w="5580" w:type="dxa"/>
            <w:tcBorders>
              <w:top w:val="nil"/>
              <w:left w:val="nil"/>
              <w:bottom w:val="double" w:sz="6" w:space="0" w:color="auto"/>
              <w:right w:val="nil"/>
            </w:tcBorders>
            <w:noWrap/>
            <w:vAlign w:val="bottom"/>
            <w:hideMark/>
          </w:tcPr>
          <w:p w14:paraId="45303C05" w14:textId="77777777" w:rsidR="001C10CC" w:rsidRPr="00131BA8" w:rsidRDefault="001C10CC"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Maintenance and Replacement Reserves @1.5%</w:t>
            </w:r>
          </w:p>
        </w:tc>
      </w:tr>
      <w:tr w:rsidR="001C10CC" w:rsidRPr="00131BA8" w14:paraId="3D00A5BC" w14:textId="77777777" w:rsidTr="000E6437">
        <w:trPr>
          <w:gridAfter w:val="1"/>
          <w:cantSplit/>
          <w:trHeight w:val="173"/>
        </w:trPr>
        <w:tc>
          <w:tcPr>
            <w:tcW w:w="1350" w:type="dxa"/>
            <w:tcBorders>
              <w:top w:val="nil"/>
              <w:left w:val="nil"/>
              <w:bottom w:val="nil"/>
              <w:right w:val="nil"/>
            </w:tcBorders>
            <w:noWrap/>
            <w:vAlign w:val="bottom"/>
            <w:hideMark/>
          </w:tcPr>
          <w:p w14:paraId="270BE5CD"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$1,950.60</w:t>
            </w:r>
          </w:p>
        </w:tc>
        <w:tc>
          <w:tcPr>
            <w:tcW w:w="5580" w:type="dxa"/>
            <w:tcBorders>
              <w:top w:val="nil"/>
              <w:left w:val="nil"/>
              <w:bottom w:val="nil"/>
              <w:right w:val="nil"/>
            </w:tcBorders>
            <w:noWrap/>
            <w:vAlign w:val="bottom"/>
            <w:hideMark/>
          </w:tcPr>
          <w:p w14:paraId="0E7BC351" w14:textId="77777777" w:rsidR="001C10CC" w:rsidRPr="00131BA8" w:rsidRDefault="001C10CC"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Monthly Cash Cost</w:t>
            </w:r>
          </w:p>
        </w:tc>
      </w:tr>
      <w:tr w:rsidR="001C10CC" w:rsidRPr="00131BA8" w14:paraId="50F3F302" w14:textId="77777777" w:rsidTr="000E6437">
        <w:trPr>
          <w:gridAfter w:val="1"/>
          <w:cantSplit/>
          <w:trHeight w:val="173"/>
        </w:trPr>
        <w:tc>
          <w:tcPr>
            <w:tcW w:w="1350" w:type="dxa"/>
            <w:tcBorders>
              <w:top w:val="nil"/>
              <w:left w:val="nil"/>
              <w:bottom w:val="nil"/>
              <w:right w:val="nil"/>
            </w:tcBorders>
            <w:noWrap/>
            <w:vAlign w:val="bottom"/>
            <w:hideMark/>
          </w:tcPr>
          <w:p w14:paraId="5CE2F6AF" w14:textId="77777777" w:rsidR="001C10CC" w:rsidRPr="00131BA8" w:rsidRDefault="001C10CC" w:rsidP="00010CEA">
            <w:pPr>
              <w:keepLines/>
              <w:tabs>
                <w:tab w:val="left" w:pos="1467"/>
              </w:tabs>
              <w:ind w:firstLine="0"/>
              <w:jc w:val="right"/>
              <w:rPr>
                <w:rFonts w:eastAsia="Times New Roman" w:cs="Times New Roman"/>
                <w:color w:val="000000"/>
                <w:sz w:val="18"/>
                <w:szCs w:val="18"/>
                <w:lang w:bidi="ar-SA"/>
              </w:rPr>
            </w:pPr>
          </w:p>
        </w:tc>
        <w:tc>
          <w:tcPr>
            <w:tcW w:w="5580" w:type="dxa"/>
            <w:tcBorders>
              <w:top w:val="nil"/>
              <w:left w:val="nil"/>
              <w:bottom w:val="nil"/>
              <w:right w:val="nil"/>
            </w:tcBorders>
            <w:noWrap/>
            <w:vAlign w:val="bottom"/>
            <w:hideMark/>
          </w:tcPr>
          <w:p w14:paraId="0A1E8C2B" w14:textId="77777777" w:rsidR="001C10CC" w:rsidRPr="00131BA8" w:rsidRDefault="001C10CC" w:rsidP="00010CEA">
            <w:pPr>
              <w:keepLines/>
              <w:ind w:firstLine="0"/>
              <w:rPr>
                <w:rFonts w:eastAsia="Times New Roman" w:cs="Times New Roman"/>
                <w:color w:val="000000"/>
                <w:sz w:val="18"/>
                <w:szCs w:val="18"/>
                <w:lang w:bidi="ar-SA"/>
              </w:rPr>
            </w:pPr>
          </w:p>
        </w:tc>
      </w:tr>
      <w:tr w:rsidR="003667A3" w:rsidRPr="00131BA8" w14:paraId="335CE2F8" w14:textId="77777777" w:rsidTr="000E6437">
        <w:trPr>
          <w:gridAfter w:val="1"/>
          <w:cantSplit/>
          <w:trHeight w:val="173"/>
        </w:trPr>
        <w:tc>
          <w:tcPr>
            <w:tcW w:w="1350" w:type="dxa"/>
            <w:tcBorders>
              <w:top w:val="nil"/>
              <w:left w:val="nil"/>
              <w:bottom w:val="nil"/>
              <w:right w:val="nil"/>
            </w:tcBorders>
            <w:noWrap/>
            <w:vAlign w:val="bottom"/>
            <w:hideMark/>
          </w:tcPr>
          <w:p w14:paraId="39BE8611" w14:textId="77777777" w:rsidR="003667A3" w:rsidRPr="00131BA8" w:rsidRDefault="003667A3"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(278.06)</w:t>
            </w:r>
          </w:p>
        </w:tc>
        <w:tc>
          <w:tcPr>
            <w:tcW w:w="5580" w:type="dxa"/>
            <w:tcBorders>
              <w:top w:val="nil"/>
              <w:left w:val="nil"/>
              <w:bottom w:val="nil"/>
              <w:right w:val="nil"/>
            </w:tcBorders>
            <w:noWrap/>
            <w:vAlign w:val="bottom"/>
            <w:hideMark/>
          </w:tcPr>
          <w:p w14:paraId="5D2A1B0E" w14:textId="77777777" w:rsidR="003667A3" w:rsidRPr="00131BA8" w:rsidRDefault="003667A3"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Tax Savings @ 25% of mortgage interest and property taxes</w:t>
            </w:r>
          </w:p>
        </w:tc>
      </w:tr>
      <w:tr w:rsidR="003667A3" w:rsidRPr="00131BA8" w14:paraId="6F4B56A5" w14:textId="77777777" w:rsidTr="000E6437">
        <w:trPr>
          <w:gridAfter w:val="1"/>
          <w:cantSplit/>
          <w:trHeight w:val="173"/>
        </w:trPr>
        <w:tc>
          <w:tcPr>
            <w:tcW w:w="1350" w:type="dxa"/>
            <w:tcBorders>
              <w:top w:val="nil"/>
              <w:left w:val="nil"/>
              <w:bottom w:val="nil"/>
              <w:right w:val="nil"/>
            </w:tcBorders>
            <w:noWrap/>
            <w:vAlign w:val="bottom"/>
            <w:hideMark/>
          </w:tcPr>
          <w:p w14:paraId="0D7C19BD" w14:textId="77777777" w:rsidR="003667A3" w:rsidRPr="00131BA8" w:rsidRDefault="003667A3"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(177.11)</w:t>
            </w:r>
          </w:p>
        </w:tc>
        <w:tc>
          <w:tcPr>
            <w:tcW w:w="5580" w:type="dxa"/>
            <w:tcBorders>
              <w:top w:val="nil"/>
              <w:left w:val="nil"/>
              <w:bottom w:val="nil"/>
              <w:right w:val="nil"/>
            </w:tcBorders>
            <w:noWrap/>
            <w:vAlign w:val="bottom"/>
            <w:hideMark/>
          </w:tcPr>
          <w:p w14:paraId="6CF432BC" w14:textId="77777777" w:rsidR="003667A3" w:rsidRPr="00131BA8" w:rsidRDefault="003667A3"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Equity hidden in payment</w:t>
            </w:r>
          </w:p>
        </w:tc>
      </w:tr>
      <w:tr w:rsidR="003667A3" w:rsidRPr="00131BA8" w14:paraId="1E9BD645" w14:textId="77777777" w:rsidTr="000E6437">
        <w:trPr>
          <w:gridAfter w:val="1"/>
          <w:cantSplit/>
          <w:trHeight w:val="173"/>
        </w:trPr>
        <w:tc>
          <w:tcPr>
            <w:tcW w:w="1350" w:type="dxa"/>
            <w:tcBorders>
              <w:top w:val="nil"/>
              <w:left w:val="nil"/>
              <w:bottom w:val="double" w:sz="6" w:space="0" w:color="auto"/>
              <w:right w:val="nil"/>
            </w:tcBorders>
            <w:noWrap/>
            <w:vAlign w:val="bottom"/>
            <w:hideMark/>
          </w:tcPr>
          <w:p w14:paraId="3847FDFD" w14:textId="77777777" w:rsidR="003667A3" w:rsidRPr="00131BA8" w:rsidRDefault="003667A3"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153.06</w:t>
            </w:r>
          </w:p>
        </w:tc>
        <w:tc>
          <w:tcPr>
            <w:tcW w:w="5580" w:type="dxa"/>
            <w:tcBorders>
              <w:top w:val="nil"/>
              <w:left w:val="nil"/>
              <w:bottom w:val="double" w:sz="6" w:space="0" w:color="auto"/>
              <w:right w:val="nil"/>
            </w:tcBorders>
            <w:noWrap/>
            <w:vAlign w:val="bottom"/>
            <w:hideMark/>
          </w:tcPr>
          <w:p w14:paraId="3CE7AB1A" w14:textId="77777777" w:rsidR="003667A3" w:rsidRPr="00131BA8" w:rsidRDefault="003667A3"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Lost Downpayment Income @ 5% of Downpayment</w:t>
            </w:r>
          </w:p>
        </w:tc>
      </w:tr>
      <w:tr w:rsidR="003667A3" w:rsidRPr="00131BA8" w14:paraId="76271554" w14:textId="77777777" w:rsidTr="000E6437">
        <w:trPr>
          <w:gridAfter w:val="1"/>
          <w:cantSplit/>
          <w:trHeight w:val="173"/>
        </w:trPr>
        <w:tc>
          <w:tcPr>
            <w:tcW w:w="1350" w:type="dxa"/>
            <w:tcBorders>
              <w:top w:val="nil"/>
              <w:left w:val="nil"/>
              <w:bottom w:val="nil"/>
              <w:right w:val="nil"/>
            </w:tcBorders>
            <w:noWrap/>
            <w:vAlign w:val="bottom"/>
            <w:hideMark/>
          </w:tcPr>
          <w:p w14:paraId="5B77D607" w14:textId="77777777" w:rsidR="003667A3" w:rsidRPr="00131BA8" w:rsidRDefault="003667A3" w:rsidP="00010CEA">
            <w:pPr>
              <w:keepLines/>
              <w:tabs>
                <w:tab w:val="left" w:pos="1467"/>
              </w:tabs>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      1,648</w:t>
            </w:r>
          </w:p>
        </w:tc>
        <w:tc>
          <w:tcPr>
            <w:tcW w:w="5580" w:type="dxa"/>
            <w:tcBorders>
              <w:top w:val="nil"/>
              <w:left w:val="nil"/>
              <w:bottom w:val="nil"/>
              <w:right w:val="nil"/>
            </w:tcBorders>
            <w:noWrap/>
            <w:vAlign w:val="bottom"/>
            <w:hideMark/>
          </w:tcPr>
          <w:p w14:paraId="1F5AB6E4" w14:textId="77777777" w:rsidR="003667A3" w:rsidRPr="00131BA8" w:rsidRDefault="003667A3" w:rsidP="00010CEA">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Total Cost of Ownership</w:t>
            </w:r>
          </w:p>
        </w:tc>
      </w:tr>
      <w:tr w:rsidR="003667A3" w:rsidRPr="00131BA8" w14:paraId="03E7BCDA" w14:textId="77777777" w:rsidTr="000E6437">
        <w:trPr>
          <w:cantSplit/>
          <w:trHeight w:val="173"/>
        </w:trPr>
        <w:tc>
          <w:tcPr>
            <w:tcW w:w="6930" w:type="dxa"/>
            <w:gridSpan w:val="2"/>
            <w:tcBorders>
              <w:top w:val="nil"/>
              <w:left w:val="nil"/>
              <w:bottom w:val="nil"/>
              <w:right w:val="nil"/>
            </w:tcBorders>
            <w:noWrap/>
            <w:vAlign w:val="bottom"/>
            <w:hideMark/>
          </w:tcPr>
          <w:p w14:paraId="546A22D0" w14:textId="77777777" w:rsidR="003667A3" w:rsidRPr="00131BA8" w:rsidRDefault="003667A3" w:rsidP="00010CEA">
            <w:pPr>
              <w:keepLines/>
              <w:ind w:firstLine="0"/>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06C6639A" w14:textId="77777777" w:rsidR="003667A3" w:rsidRPr="00131BA8" w:rsidRDefault="003667A3" w:rsidP="00010CEA">
            <w:pPr>
              <w:keepLines/>
              <w:ind w:firstLine="0"/>
              <w:rPr>
                <w:rFonts w:eastAsia="Times New Roman" w:cs="Times New Roman"/>
                <w:color w:val="000000"/>
                <w:sz w:val="18"/>
                <w:szCs w:val="18"/>
                <w:lang w:bidi="ar-SA"/>
              </w:rPr>
            </w:pPr>
          </w:p>
        </w:tc>
      </w:tr>
    </w:tbl>
    <w:p w14:paraId="6C44A99F" w14:textId="77777777" w:rsidR="0027778B" w:rsidRPr="00124B71" w:rsidRDefault="0027778B" w:rsidP="00A56E02">
      <w:pPr>
        <w:rPr>
          <w:rFonts w:cs="Times New Roman"/>
        </w:rPr>
      </w:pPr>
      <w:r w:rsidRPr="00124B71">
        <w:rPr>
          <w:rFonts w:cs="Times New Roman"/>
        </w:rPr>
        <w:t>Notes:</w:t>
      </w:r>
    </w:p>
    <w:p w14:paraId="212C1BF8" w14:textId="77777777" w:rsidR="0027778B" w:rsidRPr="00124B71" w:rsidRDefault="0027778B" w:rsidP="0027778B">
      <w:pPr>
        <w:numPr>
          <w:ilvl w:val="0"/>
          <w:numId w:val="31"/>
        </w:numPr>
        <w:spacing w:before="100" w:beforeAutospacing="1" w:after="100" w:afterAutospacing="1"/>
        <w:rPr>
          <w:rFonts w:cs="Times New Roman"/>
        </w:rPr>
      </w:pPr>
      <w:r w:rsidRPr="00124B71">
        <w:rPr>
          <w:rFonts w:cs="Times New Roman"/>
        </w:rPr>
        <w:lastRenderedPageBreak/>
        <w:t>The mortgage payment</w:t>
      </w:r>
      <w:r w:rsidR="001858B5">
        <w:rPr>
          <w:rFonts w:cs="Times New Roman"/>
        </w:rPr>
        <w:fldChar w:fldCharType="begin"/>
      </w:r>
      <w:r w:rsidR="00180E6F">
        <w:instrText xml:space="preserve"> XE "</w:instrText>
      </w:r>
      <w:r w:rsidR="00180E6F" w:rsidRPr="00891096">
        <w:rPr>
          <w:rFonts w:cs="Times New Roman"/>
        </w:rPr>
        <w:instrText>mortgage payment</w:instrText>
      </w:r>
      <w:r w:rsidR="00180E6F">
        <w:instrText xml:space="preserve">" </w:instrText>
      </w:r>
      <w:r w:rsidR="001858B5">
        <w:rPr>
          <w:rFonts w:cs="Times New Roman"/>
        </w:rPr>
        <w:fldChar w:fldCharType="end"/>
      </w:r>
      <w:r w:rsidRPr="00124B71">
        <w:rPr>
          <w:rFonts w:cs="Times New Roman"/>
        </w:rPr>
        <w:t xml:space="preserve"> assumes a 30-year fixed-rate conventionally amortized mortgage at 6.5% interest.</w:t>
      </w:r>
    </w:p>
    <w:p w14:paraId="3439BF74" w14:textId="77777777" w:rsidR="0027778B" w:rsidRPr="00124B71" w:rsidRDefault="0027778B" w:rsidP="0027778B">
      <w:pPr>
        <w:numPr>
          <w:ilvl w:val="0"/>
          <w:numId w:val="31"/>
        </w:numPr>
        <w:spacing w:before="100" w:beforeAutospacing="1" w:after="100" w:afterAutospacing="1"/>
        <w:rPr>
          <w:rFonts w:cs="Times New Roman"/>
        </w:rPr>
      </w:pPr>
      <w:r w:rsidRPr="00124B71">
        <w:rPr>
          <w:rFonts w:cs="Times New Roman"/>
        </w:rPr>
        <w:t>The property taxes are set at the 1% limit imposed by Proposition 13.</w:t>
      </w:r>
    </w:p>
    <w:p w14:paraId="26728E1F" w14:textId="77777777" w:rsidR="0027778B" w:rsidRPr="00124B71" w:rsidRDefault="0027778B" w:rsidP="0027778B">
      <w:pPr>
        <w:numPr>
          <w:ilvl w:val="0"/>
          <w:numId w:val="31"/>
        </w:numPr>
        <w:spacing w:before="100" w:beforeAutospacing="1" w:after="100" w:afterAutospacing="1"/>
        <w:rPr>
          <w:rFonts w:cs="Times New Roman"/>
        </w:rPr>
      </w:pPr>
      <w:r w:rsidRPr="00124B71">
        <w:rPr>
          <w:rFonts w:cs="Times New Roman"/>
        </w:rPr>
        <w:t>The homeowners insurance is estimated at one-quarter of one percent per year.</w:t>
      </w:r>
    </w:p>
    <w:p w14:paraId="13C311F5" w14:textId="77777777" w:rsidR="0027778B" w:rsidRPr="00124B71" w:rsidRDefault="0027778B" w:rsidP="0027778B">
      <w:pPr>
        <w:numPr>
          <w:ilvl w:val="0"/>
          <w:numId w:val="31"/>
        </w:numPr>
        <w:spacing w:before="100" w:beforeAutospacing="1" w:after="100" w:afterAutospacing="1"/>
        <w:rPr>
          <w:rFonts w:cs="Times New Roman"/>
        </w:rPr>
      </w:pPr>
      <w:r w:rsidRPr="00124B71">
        <w:rPr>
          <w:rFonts w:cs="Times New Roman"/>
        </w:rPr>
        <w:t>Private Mortgage Insurance is estimated at one-half of one percent per year. It is not included in the calculation above because this example utilized 80% financing. If the financing amount required PMI, the costs would have been over $</w:t>
      </w:r>
      <w:r w:rsidR="00FD70CE" w:rsidRPr="00124B71">
        <w:rPr>
          <w:rFonts w:cs="Times New Roman"/>
        </w:rPr>
        <w:t>1</w:t>
      </w:r>
      <w:r w:rsidRPr="00124B71">
        <w:rPr>
          <w:rFonts w:cs="Times New Roman"/>
        </w:rPr>
        <w:t>00 a month higher.</w:t>
      </w:r>
    </w:p>
    <w:p w14:paraId="3D949D8D" w14:textId="77777777" w:rsidR="0027778B" w:rsidRPr="00124B71" w:rsidRDefault="0027778B" w:rsidP="0027778B">
      <w:pPr>
        <w:numPr>
          <w:ilvl w:val="0"/>
          <w:numId w:val="31"/>
        </w:numPr>
        <w:spacing w:before="100" w:beforeAutospacing="1" w:after="100" w:afterAutospacing="1"/>
        <w:rPr>
          <w:rFonts w:cs="Times New Roman"/>
        </w:rPr>
      </w:pPr>
      <w:r w:rsidRPr="00124B71">
        <w:rPr>
          <w:rFonts w:cs="Times New Roman"/>
        </w:rPr>
        <w:t>Special Taxes or Levies (Mello Roos</w:t>
      </w:r>
      <w:r w:rsidR="001858B5">
        <w:rPr>
          <w:rFonts w:cs="Times New Roman"/>
        </w:rPr>
        <w:fldChar w:fldCharType="begin"/>
      </w:r>
      <w:r w:rsidR="00180E6F">
        <w:instrText xml:space="preserve"> XE "</w:instrText>
      </w:r>
      <w:r w:rsidR="00180E6F" w:rsidRPr="00B57DCC">
        <w:rPr>
          <w:rFonts w:cs="Times New Roman"/>
        </w:rPr>
        <w:instrText>Mello Roos</w:instrText>
      </w:r>
      <w:r w:rsidR="00180E6F">
        <w:instrText xml:space="preserve">" </w:instrText>
      </w:r>
      <w:r w:rsidR="001858B5">
        <w:rPr>
          <w:rFonts w:cs="Times New Roman"/>
        </w:rPr>
        <w:fldChar w:fldCharType="end"/>
      </w:r>
      <w:r w:rsidRPr="00124B71">
        <w:rPr>
          <w:rFonts w:cs="Times New Roman"/>
        </w:rPr>
        <w:t>) is estimated at one-quarter of one percent per year. Some neighborhoods do not have Mello Roos as the bonds have been paid off. Some Mello Roos fees are as high at 1%.</w:t>
      </w:r>
    </w:p>
    <w:p w14:paraId="096CF0E2" w14:textId="77777777" w:rsidR="0027778B" w:rsidRPr="00124B71" w:rsidRDefault="0027778B" w:rsidP="0027778B">
      <w:pPr>
        <w:numPr>
          <w:ilvl w:val="0"/>
          <w:numId w:val="31"/>
        </w:numPr>
        <w:spacing w:before="100" w:beforeAutospacing="1" w:after="100" w:afterAutospacing="1"/>
        <w:rPr>
          <w:rFonts w:cs="Times New Roman"/>
        </w:rPr>
      </w:pPr>
      <w:r w:rsidRPr="00124B71">
        <w:rPr>
          <w:rFonts w:cs="Times New Roman"/>
        </w:rPr>
        <w:t>HOA</w:t>
      </w:r>
      <w:r w:rsidR="001858B5">
        <w:rPr>
          <w:rFonts w:cs="Times New Roman"/>
        </w:rPr>
        <w:fldChar w:fldCharType="begin"/>
      </w:r>
      <w:r w:rsidR="00180E6F">
        <w:instrText xml:space="preserve"> XE "</w:instrText>
      </w:r>
      <w:r w:rsidR="00180E6F" w:rsidRPr="00B60425">
        <w:rPr>
          <w:rFonts w:cs="Times New Roman"/>
        </w:rPr>
        <w:instrText>HOA</w:instrText>
      </w:r>
      <w:r w:rsidR="00180E6F">
        <w:instrText xml:space="preserve">" </w:instrText>
      </w:r>
      <w:r w:rsidR="001858B5">
        <w:rPr>
          <w:rFonts w:cs="Times New Roman"/>
        </w:rPr>
        <w:fldChar w:fldCharType="end"/>
      </w:r>
      <w:r w:rsidRPr="00124B71">
        <w:rPr>
          <w:rFonts w:cs="Times New Roman"/>
        </w:rPr>
        <w:t xml:space="preserve"> dues are estimated at $100: some are lower, and some are much higher.</w:t>
      </w:r>
    </w:p>
    <w:p w14:paraId="3361CC98" w14:textId="77777777" w:rsidR="0027778B" w:rsidRPr="00124B71" w:rsidRDefault="0027778B" w:rsidP="0027778B">
      <w:pPr>
        <w:numPr>
          <w:ilvl w:val="0"/>
          <w:numId w:val="31"/>
        </w:numPr>
        <w:spacing w:before="100" w:beforeAutospacing="1" w:after="100" w:afterAutospacing="1"/>
        <w:rPr>
          <w:rFonts w:cs="Times New Roman"/>
        </w:rPr>
      </w:pPr>
      <w:r w:rsidRPr="00124B71">
        <w:rPr>
          <w:rFonts w:cs="Times New Roman"/>
        </w:rPr>
        <w:t>Maintenance and replacement reserves are estimated at 1.5%. This may be the most contentious estimate of the group because most people assume they will simply borrow their way around these costs when they are incurred. This certainly has been the pattern during the bubble years when credit was free flowing. This method of home improvement and maintenance may be significantly more difficult as the credit crunch</w:t>
      </w:r>
      <w:r w:rsidR="001858B5">
        <w:rPr>
          <w:rFonts w:cs="Times New Roman"/>
        </w:rPr>
        <w:fldChar w:fldCharType="begin"/>
      </w:r>
      <w:r w:rsidR="00FA2AEF">
        <w:instrText xml:space="preserve"> XE "</w:instrText>
      </w:r>
      <w:r w:rsidR="00FA2AEF" w:rsidRPr="00F6304A">
        <w:rPr>
          <w:rFonts w:cs="Times New Roman"/>
        </w:rPr>
        <w:instrText>credit crunch</w:instrText>
      </w:r>
      <w:r w:rsidR="00FA2AEF">
        <w:instrText xml:space="preserve">" </w:instrText>
      </w:r>
      <w:r w:rsidR="001858B5">
        <w:rPr>
          <w:rFonts w:cs="Times New Roman"/>
        </w:rPr>
        <w:fldChar w:fldCharType="end"/>
      </w:r>
      <w:r w:rsidRPr="00124B71">
        <w:rPr>
          <w:rFonts w:cs="Times New Roman"/>
        </w:rPr>
        <w:t xml:space="preserve"> and declining values make financing much more difficult to obtain. In any case, these costs are real, and failing to acknowledge them denies the realities of home ownership.</w:t>
      </w:r>
    </w:p>
    <w:p w14:paraId="49F2A96D" w14:textId="77777777" w:rsidR="0027778B" w:rsidRPr="00124B71" w:rsidRDefault="0027778B" w:rsidP="0027778B">
      <w:pPr>
        <w:numPr>
          <w:ilvl w:val="0"/>
          <w:numId w:val="31"/>
        </w:numPr>
        <w:spacing w:before="100" w:beforeAutospacing="1" w:after="100" w:afterAutospacing="1"/>
        <w:rPr>
          <w:rFonts w:cs="Times New Roman"/>
        </w:rPr>
      </w:pPr>
      <w:r w:rsidRPr="00124B71">
        <w:rPr>
          <w:rFonts w:cs="Times New Roman"/>
        </w:rPr>
        <w:t xml:space="preserve">The </w:t>
      </w:r>
      <w:r w:rsidR="00DB6C06" w:rsidRPr="00124B71">
        <w:rPr>
          <w:rFonts w:cs="Times New Roman"/>
        </w:rPr>
        <w:t>sum of the above costs is</w:t>
      </w:r>
      <w:r w:rsidRPr="00124B71">
        <w:rPr>
          <w:rFonts w:cs="Times New Roman"/>
        </w:rPr>
        <w:t xml:space="preserve"> the monthly cash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A homeowner may not write a check for each of these costs every month, but the costs are still incurred, and renters do not pay them.</w:t>
      </w:r>
    </w:p>
    <w:p w14:paraId="7D5A9C00" w14:textId="77777777" w:rsidR="0027778B" w:rsidRPr="00124B71" w:rsidRDefault="0027778B" w:rsidP="0027778B">
      <w:pPr>
        <w:numPr>
          <w:ilvl w:val="0"/>
          <w:numId w:val="31"/>
        </w:numPr>
        <w:spacing w:before="100" w:beforeAutospacing="1" w:after="100" w:afterAutospacing="1"/>
        <w:rPr>
          <w:rFonts w:cs="Times New Roman"/>
        </w:rPr>
      </w:pPr>
      <w:r w:rsidRPr="00124B71">
        <w:rPr>
          <w:rFonts w:cs="Times New Roman"/>
        </w:rPr>
        <w:t>The tax savings are based on the maximum interest payment at the beginning of a loan amortization schedule</w:t>
      </w:r>
      <w:r w:rsidR="001858B5">
        <w:rPr>
          <w:rFonts w:cs="Times New Roman"/>
        </w:rPr>
        <w:fldChar w:fldCharType="begin"/>
      </w:r>
      <w:r w:rsidR="00E84A0F">
        <w:instrText xml:space="preserve"> XE "</w:instrText>
      </w:r>
      <w:r w:rsidR="00E84A0F" w:rsidRPr="00F4169C">
        <w:rPr>
          <w:rFonts w:cs="Times New Roman"/>
        </w:rPr>
        <w:instrText>amortization schedule</w:instrText>
      </w:r>
      <w:r w:rsidR="00E84A0F">
        <w:instrText xml:space="preserve">" </w:instrText>
      </w:r>
      <w:r w:rsidR="001858B5">
        <w:rPr>
          <w:rFonts w:cs="Times New Roman"/>
        </w:rPr>
        <w:fldChar w:fldCharType="end"/>
      </w:r>
      <w:r w:rsidRPr="00124B71">
        <w:rPr>
          <w:rFonts w:cs="Times New Roman"/>
        </w:rPr>
        <w:t>. This tax savings will decline each month as the mortgage is paid off. Contrary to popular belief, this is not a bad thing. Also, the property taxes are also deductable, but Mello Roos</w:t>
      </w:r>
      <w:r w:rsidR="001858B5">
        <w:rPr>
          <w:rFonts w:cs="Times New Roman"/>
        </w:rPr>
        <w:fldChar w:fldCharType="begin"/>
      </w:r>
      <w:r w:rsidR="00180E6F">
        <w:instrText xml:space="preserve"> XE "</w:instrText>
      </w:r>
      <w:r w:rsidR="00180E6F" w:rsidRPr="00B57DCC">
        <w:rPr>
          <w:rFonts w:cs="Times New Roman"/>
        </w:rPr>
        <w:instrText>Mello Roos</w:instrText>
      </w:r>
      <w:r w:rsidR="00180E6F">
        <w:instrText xml:space="preserve">" </w:instrText>
      </w:r>
      <w:r w:rsidR="001858B5">
        <w:rPr>
          <w:rFonts w:cs="Times New Roman"/>
        </w:rPr>
        <w:fldChar w:fldCharType="end"/>
      </w:r>
      <w:r w:rsidRPr="00124B71">
        <w:rPr>
          <w:rFonts w:cs="Times New Roman"/>
        </w:rPr>
        <w:t xml:space="preserve"> are not fully deductible (even though most people mistakenly deduct it</w:t>
      </w:r>
      <w:r w:rsidR="00A40CA5" w:rsidRPr="00124B71">
        <w:rPr>
          <w:rFonts w:cs="Times New Roman"/>
        </w:rPr>
        <w:t>).</w:t>
      </w:r>
    </w:p>
    <w:p w14:paraId="181FB14D" w14:textId="77777777" w:rsidR="0027778B" w:rsidRPr="00124B71" w:rsidRDefault="0027778B" w:rsidP="0027778B">
      <w:pPr>
        <w:numPr>
          <w:ilvl w:val="0"/>
          <w:numId w:val="31"/>
        </w:numPr>
        <w:spacing w:before="100" w:beforeAutospacing="1" w:after="100" w:afterAutospacing="1"/>
        <w:rPr>
          <w:rFonts w:cs="Times New Roman"/>
        </w:rPr>
      </w:pPr>
      <w:r w:rsidRPr="00124B71">
        <w:rPr>
          <w:rFonts w:cs="Times New Roman"/>
        </w:rPr>
        <w:t>The opportunity cost of lost interest assumes a 5% interest rate on the downpayment reduced by 25% for taxes on this earned income.</w:t>
      </w:r>
    </w:p>
    <w:p w14:paraId="12E18FD9" w14:textId="77777777" w:rsidR="0027778B" w:rsidRPr="00124B71" w:rsidRDefault="0027778B" w:rsidP="00561342">
      <w:pPr>
        <w:rPr>
          <w:rFonts w:cs="Times New Roman"/>
        </w:rPr>
      </w:pPr>
      <w:r w:rsidRPr="00124B71">
        <w:rPr>
          <w:rFonts w:cs="Times New Roman"/>
        </w:rPr>
        <w:t>The actual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on a typical $</w:t>
      </w:r>
      <w:r w:rsidR="00AA28F4" w:rsidRPr="00124B71">
        <w:rPr>
          <w:rFonts w:cs="Times New Roman"/>
        </w:rPr>
        <w:t>244</w:t>
      </w:r>
      <w:r w:rsidRPr="00124B71">
        <w:rPr>
          <w:rFonts w:cs="Times New Roman"/>
        </w:rPr>
        <w:t>,</w:t>
      </w:r>
      <w:r w:rsidR="00AA28F4" w:rsidRPr="00124B71">
        <w:rPr>
          <w:rFonts w:cs="Times New Roman"/>
        </w:rPr>
        <w:t>9</w:t>
      </w:r>
      <w:r w:rsidRPr="00124B71">
        <w:rPr>
          <w:rFonts w:cs="Times New Roman"/>
        </w:rPr>
        <w:t>00 property would be approximately $</w:t>
      </w:r>
      <w:r w:rsidR="00AA28F4" w:rsidRPr="00124B71">
        <w:rPr>
          <w:rFonts w:cs="Times New Roman"/>
        </w:rPr>
        <w:t>1</w:t>
      </w:r>
      <w:r w:rsidRPr="00124B71">
        <w:rPr>
          <w:rFonts w:cs="Times New Roman"/>
        </w:rPr>
        <w:t>,</w:t>
      </w:r>
      <w:r w:rsidR="00AA28F4" w:rsidRPr="00124B71">
        <w:rPr>
          <w:rFonts w:cs="Times New Roman"/>
        </w:rPr>
        <w:t>648</w:t>
      </w:r>
      <w:r w:rsidRPr="00124B71">
        <w:rPr>
          <w:rFonts w:cs="Times New Roman"/>
        </w:rPr>
        <w:t xml:space="preserve"> per month. Some will be higher and some will be lower, but </w:t>
      </w:r>
      <w:r w:rsidRPr="00124B71">
        <w:rPr>
          <w:rFonts w:cs="Times New Roman"/>
        </w:rPr>
        <w:lastRenderedPageBreak/>
        <w:t>the calculation above, when adjusted for the specific property details being examined, yield</w:t>
      </w:r>
      <w:r w:rsidR="00FD70CE" w:rsidRPr="00124B71">
        <w:rPr>
          <w:rFonts w:cs="Times New Roman"/>
        </w:rPr>
        <w:t>s</w:t>
      </w:r>
      <w:r w:rsidRPr="00124B71">
        <w:rPr>
          <w:rFonts w:cs="Times New Roman"/>
        </w:rPr>
        <w:t xml:space="preserve"> the cost of property ownership.</w:t>
      </w:r>
    </w:p>
    <w:p w14:paraId="72582623" w14:textId="77777777" w:rsidR="0027778B" w:rsidRPr="00EF0EDA" w:rsidRDefault="005C2959" w:rsidP="0027778B">
      <w:pPr>
        <w:pStyle w:val="Heading2"/>
      </w:pPr>
      <w:bookmarkStart w:id="61" w:name="_Toc238867304"/>
      <w:r w:rsidRPr="00EF0EDA">
        <w:t>Price-to-Rent Ratio</w:t>
      </w:r>
      <w:bookmarkEnd w:id="61"/>
    </w:p>
    <w:p w14:paraId="3ABBF04C" w14:textId="77777777" w:rsidR="005265D6" w:rsidRPr="00124B71" w:rsidRDefault="0027778B" w:rsidP="00561342">
      <w:pPr>
        <w:rPr>
          <w:rFonts w:cs="Times New Roman"/>
        </w:rPr>
      </w:pPr>
      <w:r w:rsidRPr="00124B71">
        <w:rPr>
          <w:rFonts w:cs="Times New Roman"/>
        </w:rPr>
        <w:t>So what general relationships can be inferred from the ownership cost breakdown provided above? First, notice the relationship between monthly cost and price. This property is worth 154 times the monthly cost when you fully examine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w:t>
      </w:r>
      <w:r w:rsidR="005C2959" w:rsidRPr="00124B71">
        <w:rPr>
          <w:rFonts w:cs="Times New Roman"/>
        </w:rPr>
        <w:t>Also, notice the relationship between monthly payment and price. This property is worth 198 times the monthly payment.</w:t>
      </w:r>
      <w:r w:rsidR="001D487E" w:rsidRPr="00124B71">
        <w:rPr>
          <w:rFonts w:cs="Times New Roman"/>
        </w:rPr>
        <w:t xml:space="preserve"> </w:t>
      </w:r>
      <w:r w:rsidR="00473532" w:rsidRPr="00124B71">
        <w:rPr>
          <w:rFonts w:cs="Times New Roman"/>
        </w:rPr>
        <w:t>Common</w:t>
      </w:r>
      <w:r w:rsidR="005265D6" w:rsidRPr="00124B71">
        <w:rPr>
          <w:rFonts w:cs="Times New Roman"/>
        </w:rPr>
        <w:t xml:space="preserve"> mistake homebuyers make when considering a home purchase is to look at only the payment and ignore the other costs of ownership. Most assume, or have been told by realtors and mortgage brokers trying to make a </w:t>
      </w:r>
      <w:r w:rsidR="002A1208" w:rsidRPr="00124B71">
        <w:rPr>
          <w:rFonts w:cs="Times New Roman"/>
        </w:rPr>
        <w:t>commission that</w:t>
      </w:r>
      <w:r w:rsidR="005265D6" w:rsidRPr="00124B71">
        <w:rPr>
          <w:rFonts w:cs="Times New Roman"/>
        </w:rPr>
        <w:t xml:space="preserve"> the tax benefits offset the other costs of ownership. Clearly, this is not the case. The true cost of ownership is about 30% higher than the monthly payment. </w:t>
      </w:r>
    </w:p>
    <w:p w14:paraId="56FE5685" w14:textId="77777777" w:rsidR="001D487E" w:rsidRPr="00124B71" w:rsidRDefault="005C2959" w:rsidP="00561342">
      <w:pPr>
        <w:rPr>
          <w:rFonts w:cs="Times New Roman"/>
        </w:rPr>
      </w:pPr>
      <w:r w:rsidRPr="00124B71">
        <w:rPr>
          <w:rFonts w:cs="Times New Roman"/>
        </w:rPr>
        <w:t>The</w:t>
      </w:r>
      <w:r w:rsidR="000F30B2" w:rsidRPr="00124B71">
        <w:rPr>
          <w:rFonts w:cs="Times New Roman"/>
        </w:rPr>
        <w:t xml:space="preserve"> price-to-cost</w:t>
      </w:r>
      <w:r w:rsidR="001858B5">
        <w:rPr>
          <w:rFonts w:cs="Times New Roman"/>
        </w:rPr>
        <w:fldChar w:fldCharType="begin"/>
      </w:r>
      <w:r w:rsidR="003852DB">
        <w:instrText xml:space="preserve"> XE "</w:instrText>
      </w:r>
      <w:r w:rsidR="003852DB" w:rsidRPr="00D9736D">
        <w:rPr>
          <w:rFonts w:cs="Times New Roman"/>
        </w:rPr>
        <w:instrText>price-to-cost</w:instrText>
      </w:r>
      <w:r w:rsidR="003852DB">
        <w:instrText xml:space="preserve">" </w:instrText>
      </w:r>
      <w:r w:rsidR="001858B5">
        <w:rPr>
          <w:rFonts w:cs="Times New Roman"/>
        </w:rPr>
        <w:fldChar w:fldCharType="end"/>
      </w:r>
      <w:r w:rsidR="000F30B2" w:rsidRPr="00124B71">
        <w:rPr>
          <w:rFonts w:cs="Times New Roman"/>
        </w:rPr>
        <w:t xml:space="preserve"> and price-to-payment</w:t>
      </w:r>
      <w:r w:rsidR="001858B5">
        <w:rPr>
          <w:rFonts w:cs="Times New Roman"/>
        </w:rPr>
        <w:fldChar w:fldCharType="begin"/>
      </w:r>
      <w:r w:rsidR="003852DB">
        <w:instrText xml:space="preserve"> XE "</w:instrText>
      </w:r>
      <w:r w:rsidR="003852DB" w:rsidRPr="00276D1D">
        <w:rPr>
          <w:rFonts w:cs="Times New Roman"/>
        </w:rPr>
        <w:instrText>price-to-payment</w:instrText>
      </w:r>
      <w:r w:rsidR="003852DB">
        <w:instrText xml:space="preserve">" </w:instrText>
      </w:r>
      <w:r w:rsidR="001858B5">
        <w:rPr>
          <w:rFonts w:cs="Times New Roman"/>
        </w:rPr>
        <w:fldChar w:fldCharType="end"/>
      </w:r>
      <w:r w:rsidRPr="00124B71">
        <w:rPr>
          <w:rFonts w:cs="Times New Roman"/>
        </w:rPr>
        <w:t xml:space="preserve"> relationships become important when one wants to evaluate the relative value of the property compared to market rents.</w:t>
      </w:r>
      <w:r w:rsidR="000F30B2" w:rsidRPr="00124B71">
        <w:rPr>
          <w:rFonts w:cs="Times New Roman"/>
        </w:rPr>
        <w:t xml:space="preserve"> </w:t>
      </w:r>
      <w:r w:rsidRPr="00124B71">
        <w:rPr>
          <w:rFonts w:cs="Times New Roman"/>
        </w:rPr>
        <w:t>Since housing is a consumer good that can be obtained through either renting or owning, it is rational to compare the costs of each method of possessing property to see which provides a better value to the consumer. Just as stocks</w:t>
      </w:r>
      <w:r w:rsidR="001858B5">
        <w:rPr>
          <w:rFonts w:cs="Times New Roman"/>
        </w:rPr>
        <w:fldChar w:fldCharType="begin"/>
      </w:r>
      <w:r w:rsidR="00FF74AC">
        <w:instrText xml:space="preserve"> XE "</w:instrText>
      </w:r>
      <w:r w:rsidR="00FF74AC" w:rsidRPr="00D753F0">
        <w:rPr>
          <w:rFonts w:cs="Times New Roman"/>
        </w:rPr>
        <w:instrText>stocks</w:instrText>
      </w:r>
      <w:r w:rsidR="00FF74AC">
        <w:instrText xml:space="preserve">" </w:instrText>
      </w:r>
      <w:r w:rsidR="001858B5">
        <w:rPr>
          <w:rFonts w:cs="Times New Roman"/>
        </w:rPr>
        <w:fldChar w:fldCharType="end"/>
      </w:r>
      <w:r w:rsidRPr="00124B71">
        <w:rPr>
          <w:rFonts w:cs="Times New Roman"/>
        </w:rPr>
        <w:t xml:space="preserve"> have price-to-earnings ratios (PE Ratios</w:t>
      </w:r>
      <w:r w:rsidR="001858B5">
        <w:rPr>
          <w:rFonts w:cs="Times New Roman"/>
        </w:rPr>
        <w:fldChar w:fldCharType="begin"/>
      </w:r>
      <w:r w:rsidR="00180E6F">
        <w:instrText xml:space="preserve"> XE "</w:instrText>
      </w:r>
      <w:r w:rsidR="00180E6F" w:rsidRPr="00F32E54">
        <w:rPr>
          <w:rFonts w:cs="Times New Roman"/>
        </w:rPr>
        <w:instrText>PE Ratios</w:instrText>
      </w:r>
      <w:r w:rsidR="00180E6F">
        <w:instrText xml:space="preserve">" </w:instrText>
      </w:r>
      <w:r w:rsidR="001858B5">
        <w:rPr>
          <w:rFonts w:cs="Times New Roman"/>
        </w:rPr>
        <w:fldChar w:fldCharType="end"/>
      </w:r>
      <w:r w:rsidRPr="00124B71">
        <w:rPr>
          <w:rFonts w:cs="Times New Roman"/>
        </w:rPr>
        <w:t>) used to establish relative value, houses have a price-to-rent</w:t>
      </w:r>
      <w:r w:rsidR="001858B5">
        <w:rPr>
          <w:rFonts w:cs="Times New Roman"/>
        </w:rPr>
        <w:fldChar w:fldCharType="begin"/>
      </w:r>
      <w:r w:rsidR="00180E6F">
        <w:instrText xml:space="preserve"> XE "</w:instrText>
      </w:r>
      <w:r w:rsidR="00180E6F" w:rsidRPr="0007121C">
        <w:rPr>
          <w:rFonts w:cs="Times New Roman"/>
        </w:rPr>
        <w:instrText>price-to-rent</w:instrText>
      </w:r>
      <w:r w:rsidR="00180E6F">
        <w:instrText xml:space="preserve">" </w:instrText>
      </w:r>
      <w:r w:rsidR="001858B5">
        <w:rPr>
          <w:rFonts w:cs="Times New Roman"/>
        </w:rPr>
        <w:fldChar w:fldCharType="end"/>
      </w:r>
      <w:r w:rsidRPr="00124B71">
        <w:rPr>
          <w:rFonts w:cs="Times New Roman"/>
        </w:rPr>
        <w:t xml:space="preserve"> ratio to establish relative value</w:t>
      </w:r>
      <w:r w:rsidR="002A1208" w:rsidRPr="00124B71">
        <w:rPr>
          <w:rFonts w:cs="Times New Roman"/>
        </w:rPr>
        <w:t>.</w:t>
      </w:r>
      <w:r w:rsidR="00FC3036" w:rsidRPr="00124B71">
        <w:rPr>
          <w:rFonts w:cs="Times New Roman"/>
        </w:rPr>
        <w:t xml:space="preserve"> </w:t>
      </w:r>
      <w:r w:rsidR="00F312A4" w:rsidRPr="00124B71">
        <w:rPr>
          <w:rStyle w:val="EndnoteReference"/>
          <w:rFonts w:cs="Times New Roman"/>
        </w:rPr>
        <w:endnoteReference w:id="53"/>
      </w:r>
      <w:r w:rsidR="001D487E" w:rsidRPr="00124B71">
        <w:rPr>
          <w:rFonts w:cs="Times New Roman"/>
        </w:rPr>
        <w:t xml:space="preserve"> </w:t>
      </w:r>
      <w:r w:rsidR="00AB37F9" w:rsidRPr="00124B71">
        <w:rPr>
          <w:rFonts w:cs="Times New Roman"/>
        </w:rPr>
        <w:t>When a property can be rented for an amount equaling its monthly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00AB37F9" w:rsidRPr="00124B71">
        <w:rPr>
          <w:rFonts w:cs="Times New Roman"/>
        </w:rPr>
        <w:t>, it is at rental parity</w:t>
      </w:r>
      <w:r w:rsidR="001858B5">
        <w:rPr>
          <w:rFonts w:cs="Times New Roman"/>
        </w:rPr>
        <w:fldChar w:fldCharType="begin"/>
      </w:r>
      <w:r w:rsidR="00180E6F">
        <w:instrText xml:space="preserve"> XE "</w:instrText>
      </w:r>
      <w:r w:rsidR="00180E6F" w:rsidRPr="00E11DBD">
        <w:rPr>
          <w:rFonts w:cs="Times New Roman"/>
        </w:rPr>
        <w:instrText>rental parity</w:instrText>
      </w:r>
      <w:r w:rsidR="00180E6F">
        <w:instrText xml:space="preserve">" </w:instrText>
      </w:r>
      <w:r w:rsidR="001858B5">
        <w:rPr>
          <w:rFonts w:cs="Times New Roman"/>
        </w:rPr>
        <w:fldChar w:fldCharType="end"/>
      </w:r>
      <w:r w:rsidR="00AB37F9" w:rsidRPr="00124B71">
        <w:rPr>
          <w:rFonts w:cs="Times New Roman"/>
        </w:rPr>
        <w:t>. This is the breakeven point where a consumer would be indifferent in financial terms to own or to rent. Of course there are reasons to own or to rent which are not financial, but from a strictly financial standpoint, this is where the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00AB37F9" w:rsidRPr="00124B71">
        <w:rPr>
          <w:rFonts w:cs="Times New Roman"/>
        </w:rPr>
        <w:t xml:space="preserve"> lies.</w:t>
      </w:r>
    </w:p>
    <w:p w14:paraId="764A0E05" w14:textId="77777777" w:rsidR="005C2959" w:rsidRPr="00124B71" w:rsidRDefault="001D487E" w:rsidP="00561342">
      <w:pPr>
        <w:rPr>
          <w:rFonts w:cs="Times New Roman"/>
        </w:rPr>
      </w:pPr>
      <w:r w:rsidRPr="00124B71">
        <w:rPr>
          <w:rFonts w:cs="Times New Roman"/>
        </w:rPr>
        <w:t>The price-to-rent</w:t>
      </w:r>
      <w:r w:rsidR="001858B5">
        <w:rPr>
          <w:rFonts w:cs="Times New Roman"/>
        </w:rPr>
        <w:fldChar w:fldCharType="begin"/>
      </w:r>
      <w:r w:rsidR="00180E6F">
        <w:instrText xml:space="preserve"> XE "</w:instrText>
      </w:r>
      <w:r w:rsidR="00180E6F" w:rsidRPr="0007121C">
        <w:rPr>
          <w:rFonts w:cs="Times New Roman"/>
        </w:rPr>
        <w:instrText>price-to-rent</w:instrText>
      </w:r>
      <w:r w:rsidR="00180E6F">
        <w:instrText xml:space="preserve">" </w:instrText>
      </w:r>
      <w:r w:rsidR="001858B5">
        <w:rPr>
          <w:rFonts w:cs="Times New Roman"/>
        </w:rPr>
        <w:fldChar w:fldCharType="end"/>
      </w:r>
      <w:r w:rsidRPr="00124B71">
        <w:rPr>
          <w:rFonts w:cs="Times New Roman"/>
        </w:rPr>
        <w:t xml:space="preserve"> ratio is very sensitive to changes in interest rates. When interest rates are low, the cost of money is low, so larger sums can be borrowed and vi</w:t>
      </w:r>
      <w:r w:rsidR="00180E6F">
        <w:rPr>
          <w:rFonts w:cs="Times New Roman"/>
        </w:rPr>
        <w:t>ce-versa. Nationally, the price-to-</w:t>
      </w:r>
      <w:r w:rsidRPr="00124B71">
        <w:rPr>
          <w:rFonts w:cs="Times New Roman"/>
        </w:rPr>
        <w:t>rent ratio increased steadily from 1988 through 2004 in a range from 157 to 199 while mortgage interest rates declined from 10.34% in 1988 to 5.84% in 2004.</w:t>
      </w:r>
      <w:r w:rsidR="000F30B2" w:rsidRPr="00124B71">
        <w:rPr>
          <w:rFonts w:cs="Times New Roman"/>
        </w:rPr>
        <w:t xml:space="preserve"> This increase in price was mostly the result of lowered interest rates as the out-of-pocket expense remained relatively constant.</w:t>
      </w:r>
      <w:r w:rsidR="005265D6" w:rsidRPr="00124B71">
        <w:rPr>
          <w:rFonts w:cs="Times New Roman"/>
        </w:rPr>
        <w:t xml:space="preserve"> The dramatic increase in prices after 2004 was not supported by incomes or rents, and it is part of the evidence of a real estate bubble</w:t>
      </w:r>
      <w:r w:rsidR="002A1208" w:rsidRPr="00124B71">
        <w:rPr>
          <w:rFonts w:cs="Times New Roman"/>
        </w:rPr>
        <w:t>.</w:t>
      </w:r>
      <w:r w:rsidR="00E46941">
        <w:rPr>
          <w:rFonts w:cs="Times New Roman"/>
        </w:rPr>
        <w:t xml:space="preserve"> </w:t>
      </w:r>
      <w:r w:rsidR="004F53A8" w:rsidRPr="00124B71">
        <w:rPr>
          <w:rStyle w:val="EndnoteReference"/>
          <w:rFonts w:cs="Times New Roman"/>
        </w:rPr>
        <w:endnoteReference w:id="54"/>
      </w:r>
    </w:p>
    <w:p w14:paraId="1208D0A1" w14:textId="77777777" w:rsidR="00010CEA" w:rsidRPr="00124B71" w:rsidRDefault="00010CEA" w:rsidP="00010CEA">
      <w:pPr>
        <w:rPr>
          <w:rFonts w:cs="Times New Roman"/>
        </w:rPr>
      </w:pPr>
      <w:r w:rsidRPr="00124B71">
        <w:rPr>
          <w:rFonts w:cs="Times New Roman"/>
        </w:rPr>
        <w:t>The price-to-rent</w:t>
      </w:r>
      <w:r w:rsidR="001858B5">
        <w:rPr>
          <w:rFonts w:cs="Times New Roman"/>
        </w:rPr>
        <w:fldChar w:fldCharType="begin"/>
      </w:r>
      <w:r w:rsidR="00180E6F">
        <w:instrText xml:space="preserve"> XE "</w:instrText>
      </w:r>
      <w:r w:rsidR="00180E6F" w:rsidRPr="0007121C">
        <w:rPr>
          <w:rFonts w:cs="Times New Roman"/>
        </w:rPr>
        <w:instrText>price-to-rent</w:instrText>
      </w:r>
      <w:r w:rsidR="00180E6F">
        <w:instrText xml:space="preserve">" </w:instrText>
      </w:r>
      <w:r w:rsidR="001858B5">
        <w:rPr>
          <w:rFonts w:cs="Times New Roman"/>
        </w:rPr>
        <w:fldChar w:fldCharType="end"/>
      </w:r>
      <w:r w:rsidRPr="00124B71">
        <w:rPr>
          <w:rFonts w:cs="Times New Roman"/>
        </w:rPr>
        <w:t xml:space="preserve"> ratio is also the basis for a commonly used valuation measure used in the property management business, the Gross Rent Multiplier</w:t>
      </w:r>
      <w:r w:rsidR="001858B5">
        <w:rPr>
          <w:rFonts w:cs="Times New Roman"/>
        </w:rPr>
        <w:fldChar w:fldCharType="begin"/>
      </w:r>
      <w:r w:rsidR="00180E6F">
        <w:instrText xml:space="preserve"> XE "</w:instrText>
      </w:r>
      <w:r w:rsidR="00180E6F" w:rsidRPr="006D58C9">
        <w:rPr>
          <w:rFonts w:cs="Times New Roman"/>
        </w:rPr>
        <w:instrText>Gross Rent Multiplier</w:instrText>
      </w:r>
      <w:r w:rsidR="00180E6F">
        <w:instrText>" \t "</w:instrText>
      </w:r>
      <w:r w:rsidR="00180E6F" w:rsidRPr="00501B6E">
        <w:rPr>
          <w:rFonts w:asciiTheme="minorHAnsi" w:hAnsiTheme="minorHAnsi"/>
          <w:i/>
        </w:rPr>
        <w:instrText>See</w:instrText>
      </w:r>
      <w:r w:rsidR="00180E6F" w:rsidRPr="00501B6E">
        <w:rPr>
          <w:rFonts w:asciiTheme="minorHAnsi" w:hAnsiTheme="minorHAnsi"/>
        </w:rPr>
        <w:instrText xml:space="preserve"> GRM</w:instrText>
      </w:r>
      <w:r w:rsidR="00180E6F">
        <w:instrText xml:space="preserve">" </w:instrText>
      </w:r>
      <w:r w:rsidR="001858B5">
        <w:rPr>
          <w:rFonts w:cs="Times New Roman"/>
        </w:rPr>
        <w:fldChar w:fldCharType="end"/>
      </w:r>
      <w:r w:rsidRPr="00124B71">
        <w:rPr>
          <w:rFonts w:cs="Times New Roman"/>
        </w:rPr>
        <w:t xml:space="preserve"> (GRM</w:t>
      </w:r>
      <w:r w:rsidR="001858B5">
        <w:rPr>
          <w:rFonts w:cs="Times New Roman"/>
        </w:rPr>
        <w:fldChar w:fldCharType="begin"/>
      </w:r>
      <w:r w:rsidR="00180E6F">
        <w:instrText xml:space="preserve"> XE "</w:instrText>
      </w:r>
      <w:r w:rsidR="00180E6F" w:rsidRPr="00874E94">
        <w:rPr>
          <w:rFonts w:cs="Times New Roman"/>
        </w:rPr>
        <w:instrText>GRM</w:instrText>
      </w:r>
      <w:r w:rsidR="00180E6F">
        <w:instrText xml:space="preserve">" </w:instrText>
      </w:r>
      <w:r w:rsidR="001858B5">
        <w:rPr>
          <w:rFonts w:cs="Times New Roman"/>
        </w:rPr>
        <w:fldChar w:fldCharType="end"/>
      </w:r>
      <w:r w:rsidRPr="00124B71">
        <w:rPr>
          <w:rFonts w:cs="Times New Roman"/>
        </w:rPr>
        <w:t xml:space="preserve">). The GRM is a convenient way to evaluate whether or not a rental rate will cover the monthly cost of a particular property. It was developed by landlords seeking a method to quickly evaluate the purchase price of a property to see if it would be a profitable investment. When performing such an evaluation, a cashflow investor will typically look for a GRM near 100 to find a property with positive cashflow. This method can also be easily adapted to calculate the breakeven point where an owner/occupant would break even </w:t>
      </w:r>
      <w:r w:rsidRPr="00124B71">
        <w:rPr>
          <w:rFonts w:cs="Times New Roman"/>
        </w:rPr>
        <w:lastRenderedPageBreak/>
        <w:t>compared to renting. Considering the full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007C469A">
        <w:rPr>
          <w:rFonts w:cs="Times New Roman"/>
        </w:rPr>
        <w:t>–</w:t>
      </w:r>
      <w:r w:rsidRPr="00124B71">
        <w:rPr>
          <w:rFonts w:cs="Times New Roman"/>
        </w:rPr>
        <w:t>including those costs often ignored</w:t>
      </w:r>
      <w:r w:rsidR="007C469A">
        <w:rPr>
          <w:rFonts w:cs="Times New Roman"/>
        </w:rPr>
        <w:t>–</w:t>
      </w:r>
      <w:r w:rsidRPr="00124B71">
        <w:rPr>
          <w:rFonts w:cs="Times New Roman"/>
        </w:rPr>
        <w:t>the price-to-rent ratio and Gross Rent Multiplier is lower than most think. The GRM is a convenient measure of value because it spares you the toil of performing the above, detailed calculation to evaluate a large number of properties.</w:t>
      </w:r>
    </w:p>
    <w:p w14:paraId="773858DF" w14:textId="77777777" w:rsidR="00010CEA" w:rsidRPr="00124B71" w:rsidRDefault="00010CEA" w:rsidP="00561342">
      <w:pPr>
        <w:rPr>
          <w:rFonts w:cs="Times New Roman"/>
        </w:rPr>
      </w:pPr>
    </w:p>
    <w:p w14:paraId="47B65F8B" w14:textId="53938959" w:rsidR="005C2959" w:rsidRPr="00EF0EDA" w:rsidRDefault="00CF05FE" w:rsidP="005C2959">
      <w:pPr>
        <w:pStyle w:val="Caption"/>
      </w:pPr>
      <w:bookmarkStart w:id="62" w:name="_Toc238867452"/>
      <w:r>
        <w:t>Figure</w:t>
      </w:r>
      <w:r w:rsidR="005C2959" w:rsidRPr="00EF0EDA">
        <w:t xml:space="preserve"> </w:t>
      </w:r>
      <w:fldSimple w:instr=" SEQ Figure \* ARABIC ">
        <w:r w:rsidR="00493733">
          <w:rPr>
            <w:noProof/>
          </w:rPr>
          <w:t>11</w:t>
        </w:r>
      </w:fldSimple>
      <w:r w:rsidR="00317936">
        <w:t xml:space="preserve">: </w:t>
      </w:r>
      <w:r w:rsidR="005C2959" w:rsidRPr="00EF0EDA">
        <w:t>National Price-to-Rent Ratio</w:t>
      </w:r>
      <w:r w:rsidR="000E7151">
        <w:t>,</w:t>
      </w:r>
      <w:r w:rsidR="005C2959" w:rsidRPr="00EF0EDA">
        <w:t xml:space="preserve"> 1988-2007</w:t>
      </w:r>
      <w:bookmarkEnd w:id="62"/>
    </w:p>
    <w:p w14:paraId="3A7C2CFD" w14:textId="77777777" w:rsidR="005C2959" w:rsidRPr="00EF0EDA" w:rsidRDefault="00AD6CCE" w:rsidP="00E76B0F">
      <w:pPr>
        <w:pStyle w:val="Graphics"/>
      </w:pPr>
      <w:r>
        <w:drawing>
          <wp:inline distT="0" distB="0" distL="0" distR="0" wp14:anchorId="6CC313B0" wp14:editId="12D745A5">
            <wp:extent cx="3657600" cy="2971800"/>
            <wp:effectExtent l="19050" t="0" r="0" b="0"/>
            <wp:docPr id="76" name="Picture 75" descr="National Price-to-Rent Ratio 1988-2007 -- bar 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Price-to-Rent Ratio 1988-2007 -- bar chart.jpg"/>
                    <pic:cNvPicPr/>
                  </pic:nvPicPr>
                  <pic:blipFill>
                    <a:blip r:embed="rId39"/>
                    <a:stretch>
                      <a:fillRect/>
                    </a:stretch>
                  </pic:blipFill>
                  <pic:spPr>
                    <a:xfrm>
                      <a:off x="0" y="0"/>
                      <a:ext cx="3657600" cy="2971800"/>
                    </a:xfrm>
                    <a:prstGeom prst="rect">
                      <a:avLst/>
                    </a:prstGeom>
                  </pic:spPr>
                </pic:pic>
              </a:graphicData>
            </a:graphic>
          </wp:inline>
        </w:drawing>
      </w:r>
    </w:p>
    <w:p w14:paraId="48D6C96A" w14:textId="77777777" w:rsidR="0085539A" w:rsidRDefault="0085539A" w:rsidP="00B2025E">
      <w:pPr>
        <w:pStyle w:val="Heading2"/>
      </w:pPr>
      <w:bookmarkStart w:id="63" w:name="_Toc238867305"/>
      <w:r>
        <w:t>Investment Value</w:t>
      </w:r>
      <w:bookmarkEnd w:id="63"/>
    </w:p>
    <w:p w14:paraId="72F9C9BC" w14:textId="77777777" w:rsidR="003F1F2F" w:rsidRPr="00124B71" w:rsidRDefault="0085539A" w:rsidP="005A4CED">
      <w:pPr>
        <w:rPr>
          <w:rFonts w:cs="Times New Roman"/>
        </w:rPr>
      </w:pPr>
      <w:r w:rsidRPr="00124B71">
        <w:rPr>
          <w:rFonts w:cs="Times New Roman"/>
        </w:rPr>
        <w:t>The United States Department of Labor</w:t>
      </w:r>
      <w:r w:rsidR="001858B5">
        <w:rPr>
          <w:rFonts w:cs="Times New Roman"/>
        </w:rPr>
        <w:fldChar w:fldCharType="begin"/>
      </w:r>
      <w:r w:rsidR="00180E6F">
        <w:instrText xml:space="preserve"> XE "</w:instrText>
      </w:r>
      <w:r w:rsidR="00180E6F" w:rsidRPr="0091021A">
        <w:rPr>
          <w:rFonts w:cs="Times New Roman"/>
        </w:rPr>
        <w:instrText>Department of Labor</w:instrText>
      </w:r>
      <w:r w:rsidR="00180E6F">
        <w:instrText xml:space="preserve">" </w:instrText>
      </w:r>
      <w:r w:rsidR="001858B5">
        <w:rPr>
          <w:rFonts w:cs="Times New Roman"/>
        </w:rPr>
        <w:fldChar w:fldCharType="end"/>
      </w:r>
      <w:r w:rsidRPr="00124B71">
        <w:rPr>
          <w:rFonts w:cs="Times New Roman"/>
        </w:rPr>
        <w:t xml:space="preserve"> Bureau of Labor Statistics</w:t>
      </w:r>
      <w:r w:rsidR="001858B5">
        <w:rPr>
          <w:rFonts w:cs="Times New Roman"/>
        </w:rPr>
        <w:fldChar w:fldCharType="begin"/>
      </w:r>
      <w:r w:rsidR="00180E6F">
        <w:instrText xml:space="preserve"> XE "</w:instrText>
      </w:r>
      <w:r w:rsidR="00180E6F" w:rsidRPr="00945A6D">
        <w:rPr>
          <w:rFonts w:cs="Times New Roman"/>
        </w:rPr>
        <w:instrText>Bureau of Labor Statistics</w:instrText>
      </w:r>
      <w:r w:rsidR="00180E6F">
        <w:instrText xml:space="preserve">" </w:instrText>
      </w:r>
      <w:r w:rsidR="001858B5">
        <w:rPr>
          <w:rFonts w:cs="Times New Roman"/>
        </w:rPr>
        <w:fldChar w:fldCharType="end"/>
      </w:r>
      <w:r w:rsidRPr="00124B71">
        <w:rPr>
          <w:rFonts w:cs="Times New Roman"/>
        </w:rPr>
        <w:t xml:space="preserve"> measures the Rent of primary residence (rent) and Owners' equivalent rent of primary residence (rental equivalence)</w:t>
      </w:r>
      <w:r w:rsidR="003F1F2F" w:rsidRPr="00124B71">
        <w:rPr>
          <w:rFonts w:cs="Times New Roman"/>
        </w:rPr>
        <w:t>. They make this distinction because a house has both a consumptive purpose and an investment purpose. The consumptive value</w:t>
      </w:r>
      <w:r w:rsidR="001858B5">
        <w:rPr>
          <w:rFonts w:cs="Times New Roman"/>
        </w:rPr>
        <w:fldChar w:fldCharType="begin"/>
      </w:r>
      <w:r w:rsidR="00180E6F">
        <w:instrText xml:space="preserve"> XE "</w:instrText>
      </w:r>
      <w:r w:rsidR="00180E6F" w:rsidRPr="00A23D0C">
        <w:rPr>
          <w:rFonts w:cs="Times New Roman"/>
        </w:rPr>
        <w:instrText>consumptive value</w:instrText>
      </w:r>
      <w:r w:rsidR="00180E6F">
        <w:instrText xml:space="preserve">" </w:instrText>
      </w:r>
      <w:r w:rsidR="001858B5">
        <w:rPr>
          <w:rFonts w:cs="Times New Roman"/>
        </w:rPr>
        <w:fldChar w:fldCharType="end"/>
      </w:r>
      <w:r w:rsidR="003F1F2F" w:rsidRPr="00124B71">
        <w:rPr>
          <w:rFonts w:cs="Times New Roman"/>
        </w:rPr>
        <w:t xml:space="preserve"> is measured by rent or rental equivalence. There is legitimate financial reason </w:t>
      </w:r>
      <w:r w:rsidR="0029485B" w:rsidRPr="00124B71">
        <w:rPr>
          <w:rFonts w:cs="Times New Roman"/>
        </w:rPr>
        <w:t xml:space="preserve">to </w:t>
      </w:r>
      <w:r w:rsidR="003F1F2F" w:rsidRPr="00124B71">
        <w:rPr>
          <w:rFonts w:cs="Times New Roman"/>
        </w:rPr>
        <w:t>pay more than the rental equivalence price. The normal rate of house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7C469A">
        <w:rPr>
          <w:rFonts w:cs="Times New Roman"/>
        </w:rPr>
        <w:t>–</w:t>
      </w:r>
      <w:r w:rsidR="003F1F2F" w:rsidRPr="00124B71">
        <w:rPr>
          <w:rFonts w:cs="Times New Roman"/>
        </w:rPr>
        <w:t>not the unsustainable kind witnessed during the Great Housing Bubble</w:t>
      </w:r>
      <w:r w:rsidR="007C469A">
        <w:rPr>
          <w:rFonts w:cs="Times New Roman"/>
        </w:rPr>
        <w:t>–</w:t>
      </w:r>
      <w:r w:rsidR="003F1F2F" w:rsidRPr="00124B71">
        <w:rPr>
          <w:rFonts w:cs="Times New Roman"/>
        </w:rPr>
        <w:t>can provide a return on investment</w:t>
      </w:r>
      <w:r w:rsidR="001858B5">
        <w:rPr>
          <w:rFonts w:cs="Times New Roman"/>
        </w:rPr>
        <w:fldChar w:fldCharType="begin"/>
      </w:r>
      <w:r w:rsidR="00180E6F">
        <w:instrText xml:space="preserve"> XE "</w:instrText>
      </w:r>
      <w:r w:rsidR="00180E6F" w:rsidRPr="006170A6">
        <w:rPr>
          <w:rFonts w:cs="Times New Roman"/>
        </w:rPr>
        <w:instrText>return on investment</w:instrText>
      </w:r>
      <w:r w:rsidR="00180E6F">
        <w:instrText xml:space="preserve">" </w:instrText>
      </w:r>
      <w:r w:rsidR="001858B5">
        <w:rPr>
          <w:rFonts w:cs="Times New Roman"/>
        </w:rPr>
        <w:fldChar w:fldCharType="end"/>
      </w:r>
      <w:r w:rsidR="003F1F2F" w:rsidRPr="00124B71">
        <w:rPr>
          <w:rFonts w:cs="Times New Roman"/>
        </w:rPr>
        <w:t>. The source of this added value is the leverage</w:t>
      </w:r>
      <w:r w:rsidR="001858B5">
        <w:rPr>
          <w:rFonts w:cs="Times New Roman"/>
        </w:rPr>
        <w:fldChar w:fldCharType="begin"/>
      </w:r>
      <w:r w:rsidR="00FF74AC">
        <w:instrText xml:space="preserve"> XE "</w:instrText>
      </w:r>
      <w:r w:rsidR="00FF74AC" w:rsidRPr="00070786">
        <w:rPr>
          <w:rFonts w:cs="Times New Roman"/>
        </w:rPr>
        <w:instrText>leverage</w:instrText>
      </w:r>
      <w:r w:rsidR="00FF74AC">
        <w:instrText xml:space="preserve">" </w:instrText>
      </w:r>
      <w:r w:rsidR="001858B5">
        <w:rPr>
          <w:rFonts w:cs="Times New Roman"/>
        </w:rPr>
        <w:fldChar w:fldCharType="end"/>
      </w:r>
      <w:r w:rsidR="003F1F2F" w:rsidRPr="00124B71">
        <w:rPr>
          <w:rFonts w:cs="Times New Roman"/>
        </w:rPr>
        <w:t xml:space="preserve"> of mortgage financing and the hedge against inflation obtained through a fixed-rate mortgage. The investment premium</w:t>
      </w:r>
      <w:r w:rsidR="001858B5">
        <w:rPr>
          <w:rFonts w:cs="Times New Roman"/>
        </w:rPr>
        <w:fldChar w:fldCharType="begin"/>
      </w:r>
      <w:r w:rsidR="00180E6F">
        <w:instrText xml:space="preserve"> XE "</w:instrText>
      </w:r>
      <w:r w:rsidR="00180E6F" w:rsidRPr="00D32E3D">
        <w:rPr>
          <w:rFonts w:cs="Times New Roman"/>
        </w:rPr>
        <w:instrText>investment premium</w:instrText>
      </w:r>
      <w:r w:rsidR="00180E6F">
        <w:instrText xml:space="preserve">" </w:instrText>
      </w:r>
      <w:r w:rsidR="001858B5">
        <w:rPr>
          <w:rFonts w:cs="Times New Roman"/>
        </w:rPr>
        <w:fldChar w:fldCharType="end"/>
      </w:r>
      <w:r w:rsidR="005854E3" w:rsidRPr="00124B71">
        <w:rPr>
          <w:rFonts w:cs="Times New Roman"/>
        </w:rPr>
        <w:t>, which is about 10%,</w:t>
      </w:r>
      <w:r w:rsidR="003F1F2F" w:rsidRPr="00124B71">
        <w:rPr>
          <w:rFonts w:cs="Times New Roman"/>
        </w:rPr>
        <w:t xml:space="preserve"> is less than most people think.</w:t>
      </w:r>
    </w:p>
    <w:p w14:paraId="73BD3684" w14:textId="77777777" w:rsidR="003F1F2F" w:rsidRPr="00124B71" w:rsidRDefault="002F6916" w:rsidP="002F6916">
      <w:pPr>
        <w:rPr>
          <w:rFonts w:cs="Times New Roman"/>
        </w:rPr>
      </w:pPr>
      <w:r w:rsidRPr="00124B71">
        <w:rPr>
          <w:rFonts w:cs="Times New Roman"/>
        </w:rPr>
        <w:t>The rental equivalence value is the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Pr="00124B71">
        <w:rPr>
          <w:rFonts w:cs="Times New Roman"/>
        </w:rPr>
        <w:t xml:space="preserve"> of real estate, and it is also its consumptive value</w:t>
      </w:r>
      <w:r w:rsidR="001858B5">
        <w:rPr>
          <w:rFonts w:cs="Times New Roman"/>
        </w:rPr>
        <w:fldChar w:fldCharType="begin"/>
      </w:r>
      <w:r w:rsidR="00180E6F">
        <w:instrText xml:space="preserve"> XE "</w:instrText>
      </w:r>
      <w:r w:rsidR="00180E6F" w:rsidRPr="00A23D0C">
        <w:rPr>
          <w:rFonts w:cs="Times New Roman"/>
        </w:rPr>
        <w:instrText>consumptive value</w:instrText>
      </w:r>
      <w:r w:rsidR="00180E6F">
        <w:instrText xml:space="preserve">" </w:instrText>
      </w:r>
      <w:r w:rsidR="001858B5">
        <w:rPr>
          <w:rFonts w:cs="Times New Roman"/>
        </w:rPr>
        <w:fldChar w:fldCharType="end"/>
      </w:r>
      <w:r w:rsidRPr="00124B71">
        <w:rPr>
          <w:rFonts w:cs="Times New Roman"/>
        </w:rPr>
        <w:t>. This value can be easily measured as demonstrated in the previous section. There is an independent investment value</w:t>
      </w:r>
      <w:r w:rsidR="001858B5">
        <w:rPr>
          <w:rFonts w:cs="Times New Roman"/>
        </w:rPr>
        <w:fldChar w:fldCharType="begin"/>
      </w:r>
      <w:r w:rsidR="00FF74AC">
        <w:instrText xml:space="preserve"> XE "</w:instrText>
      </w:r>
      <w:r w:rsidR="00FF74AC" w:rsidRPr="000E370D">
        <w:rPr>
          <w:rFonts w:cs="Times New Roman"/>
        </w:rPr>
        <w:instrText>investment value</w:instrText>
      </w:r>
      <w:r w:rsidR="00FF74AC">
        <w:instrText xml:space="preserve">" </w:instrText>
      </w:r>
      <w:r w:rsidR="001858B5">
        <w:rPr>
          <w:rFonts w:cs="Times New Roman"/>
        </w:rPr>
        <w:fldChar w:fldCharType="end"/>
      </w:r>
      <w:r w:rsidRPr="00124B71">
        <w:rPr>
          <w:rFonts w:cs="Times New Roman"/>
        </w:rPr>
        <w:t xml:space="preserve"> that can also be measured and added to the consumptive value to arrive at the maxi</w:t>
      </w:r>
      <w:r w:rsidRPr="00124B71">
        <w:rPr>
          <w:rFonts w:cs="Times New Roman"/>
        </w:rPr>
        <w:lastRenderedPageBreak/>
        <w:t>mum resale value of the property. Investment value is derived from two sources: the increase in property value through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and the long-term savings over renting caused by inflation. These two components are measured separately to demonstrate how they function and how much each of them is worth.</w:t>
      </w:r>
    </w:p>
    <w:p w14:paraId="3CE16482" w14:textId="77777777" w:rsidR="00B80CEB" w:rsidRPr="00124B71" w:rsidRDefault="00586D62" w:rsidP="002F6916">
      <w:pPr>
        <w:rPr>
          <w:rFonts w:cs="Times New Roman"/>
        </w:rPr>
      </w:pPr>
      <w:r w:rsidRPr="00124B71">
        <w:rPr>
          <w:rFonts w:cs="Times New Roman"/>
        </w:rPr>
        <w:t>Since the return on investment</w:t>
      </w:r>
      <w:r w:rsidR="001858B5">
        <w:rPr>
          <w:rFonts w:cs="Times New Roman"/>
        </w:rPr>
        <w:fldChar w:fldCharType="begin"/>
      </w:r>
      <w:r w:rsidR="00180E6F">
        <w:instrText xml:space="preserve"> XE "</w:instrText>
      </w:r>
      <w:r w:rsidR="00180E6F" w:rsidRPr="006170A6">
        <w:rPr>
          <w:rFonts w:cs="Times New Roman"/>
        </w:rPr>
        <w:instrText>return on investment</w:instrText>
      </w:r>
      <w:r w:rsidR="00180E6F">
        <w:instrText xml:space="preserve">" </w:instrText>
      </w:r>
      <w:r w:rsidR="001858B5">
        <w:rPr>
          <w:rFonts w:cs="Times New Roman"/>
        </w:rPr>
        <w:fldChar w:fldCharType="end"/>
      </w:r>
      <w:r w:rsidRPr="00124B71">
        <w:rPr>
          <w:rFonts w:cs="Times New Roman"/>
        </w:rPr>
        <w:t xml:space="preserve"> generated from residential real estate occurs in the future, a discounted cashflow analysis</w:t>
      </w:r>
      <w:r w:rsidR="001858B5">
        <w:rPr>
          <w:rFonts w:cs="Times New Roman"/>
        </w:rPr>
        <w:fldChar w:fldCharType="begin"/>
      </w:r>
      <w:r w:rsidR="001A53F8">
        <w:instrText xml:space="preserve"> XE "</w:instrText>
      </w:r>
      <w:r w:rsidR="001A53F8" w:rsidRPr="003F609A">
        <w:rPr>
          <w:rFonts w:cs="Times New Roman"/>
        </w:rPr>
        <w:instrText>discounted cashflow analysis</w:instrText>
      </w:r>
      <w:r w:rsidR="001A53F8">
        <w:instrText xml:space="preserve">" </w:instrText>
      </w:r>
      <w:r w:rsidR="001858B5">
        <w:rPr>
          <w:rFonts w:cs="Times New Roman"/>
        </w:rPr>
        <w:fldChar w:fldCharType="end"/>
      </w:r>
      <w:r w:rsidRPr="00124B71">
        <w:rPr>
          <w:rFonts w:cs="Times New Roman"/>
        </w:rPr>
        <w:t xml:space="preserve"> is required to determine the net present value</w:t>
      </w:r>
      <w:r w:rsidR="001858B5">
        <w:rPr>
          <w:rFonts w:cs="Times New Roman"/>
        </w:rPr>
        <w:fldChar w:fldCharType="begin"/>
      </w:r>
      <w:r w:rsidR="00180E6F">
        <w:instrText xml:space="preserve"> XE "</w:instrText>
      </w:r>
      <w:r w:rsidR="00180E6F" w:rsidRPr="00A51C37">
        <w:rPr>
          <w:rFonts w:cs="Times New Roman"/>
        </w:rPr>
        <w:instrText>net present value</w:instrText>
      </w:r>
      <w:r w:rsidR="00180E6F">
        <w:instrText xml:space="preserve">" </w:instrText>
      </w:r>
      <w:r w:rsidR="001858B5">
        <w:rPr>
          <w:rFonts w:cs="Times New Roman"/>
        </w:rPr>
        <w:fldChar w:fldCharType="end"/>
      </w:r>
      <w:r w:rsidRPr="00124B71">
        <w:rPr>
          <w:rFonts w:cs="Times New Roman"/>
        </w:rPr>
        <w:t xml:space="preserve"> of the future returns. Calculating net present value sounds complex, and manually going through the calculations is quite cumbersome, but </w:t>
      </w:r>
      <w:r w:rsidR="00B80CEB" w:rsidRPr="00124B71">
        <w:rPr>
          <w:rFonts w:cs="Times New Roman"/>
        </w:rPr>
        <w:t xml:space="preserve">electronic </w:t>
      </w:r>
      <w:r w:rsidRPr="00124B71">
        <w:rPr>
          <w:rFonts w:cs="Times New Roman"/>
        </w:rPr>
        <w:t>spreadsheets make this an easy task. The concept is simple</w:t>
      </w:r>
      <w:r w:rsidR="005854E3" w:rsidRPr="00124B71">
        <w:rPr>
          <w:rFonts w:cs="Times New Roman"/>
        </w:rPr>
        <w:t>:</w:t>
      </w:r>
      <w:r w:rsidRPr="00124B71">
        <w:rPr>
          <w:rFonts w:cs="Times New Roman"/>
        </w:rPr>
        <w:t xml:space="preserve"> </w:t>
      </w:r>
      <w:r w:rsidR="00B80CEB" w:rsidRPr="00124B71">
        <w:rPr>
          <w:rFonts w:cs="Times New Roman"/>
        </w:rPr>
        <w:t>how much money would</w:t>
      </w:r>
      <w:r w:rsidRPr="00124B71">
        <w:rPr>
          <w:rFonts w:cs="Times New Roman"/>
        </w:rPr>
        <w:t xml:space="preserve"> investor</w:t>
      </w:r>
      <w:r w:rsidR="00A4103F" w:rsidRPr="00124B71">
        <w:rPr>
          <w:rFonts w:cs="Times New Roman"/>
        </w:rPr>
        <w:t>s</w:t>
      </w:r>
      <w:r w:rsidRPr="00124B71">
        <w:rPr>
          <w:rFonts w:cs="Times New Roman"/>
        </w:rPr>
        <w:t xml:space="preserve"> put in an investment today</w:t>
      </w:r>
      <w:r w:rsidR="00B80CEB" w:rsidRPr="00124B71">
        <w:rPr>
          <w:rFonts w:cs="Times New Roman"/>
        </w:rPr>
        <w:t xml:space="preserve"> if they knew the</w:t>
      </w:r>
      <w:r w:rsidRPr="00124B71">
        <w:rPr>
          <w:rFonts w:cs="Times New Roman"/>
        </w:rPr>
        <w:t xml:space="preserve"> rate of growth </w:t>
      </w:r>
      <w:r w:rsidR="00B80CEB" w:rsidRPr="00124B71">
        <w:rPr>
          <w:rFonts w:cs="Times New Roman"/>
        </w:rPr>
        <w:t>and</w:t>
      </w:r>
      <w:r w:rsidRPr="00124B71">
        <w:rPr>
          <w:rFonts w:cs="Times New Roman"/>
        </w:rPr>
        <w:t xml:space="preserve"> the cash value to be realized in the future. For instance, if investor</w:t>
      </w:r>
      <w:r w:rsidR="00A4103F" w:rsidRPr="00124B71">
        <w:rPr>
          <w:rFonts w:cs="Times New Roman"/>
        </w:rPr>
        <w:t>s</w:t>
      </w:r>
      <w:r w:rsidRPr="00124B71">
        <w:rPr>
          <w:rFonts w:cs="Times New Roman"/>
        </w:rPr>
        <w:t xml:space="preserve"> </w:t>
      </w:r>
      <w:r w:rsidR="00B80CEB" w:rsidRPr="00124B71">
        <w:rPr>
          <w:rFonts w:cs="Times New Roman"/>
        </w:rPr>
        <w:t>put $100 in a bank earning 5% interest, they would have $105 at the end of the year. Net present value looks at the situation in reverse. If investor</w:t>
      </w:r>
      <w:r w:rsidR="00A4103F" w:rsidRPr="00124B71">
        <w:rPr>
          <w:rFonts w:cs="Times New Roman"/>
        </w:rPr>
        <w:t>s</w:t>
      </w:r>
      <w:r w:rsidR="00B80CEB" w:rsidRPr="00124B71">
        <w:rPr>
          <w:rFonts w:cs="Times New Roman"/>
        </w:rPr>
        <w:t xml:space="preserve"> knew they would receive $105 at the end of the year and the market interest rate was 5%, they would be willing to pay $100 for it today. Similarly, the investment value</w:t>
      </w:r>
      <w:r w:rsidR="001858B5">
        <w:rPr>
          <w:rFonts w:cs="Times New Roman"/>
        </w:rPr>
        <w:fldChar w:fldCharType="begin"/>
      </w:r>
      <w:r w:rsidR="00FF74AC">
        <w:instrText xml:space="preserve"> XE "</w:instrText>
      </w:r>
      <w:r w:rsidR="00FF74AC" w:rsidRPr="000E370D">
        <w:rPr>
          <w:rFonts w:cs="Times New Roman"/>
        </w:rPr>
        <w:instrText>investment value</w:instrText>
      </w:r>
      <w:r w:rsidR="00FF74AC">
        <w:instrText xml:space="preserve">" </w:instrText>
      </w:r>
      <w:r w:rsidR="001858B5">
        <w:rPr>
          <w:rFonts w:cs="Times New Roman"/>
        </w:rPr>
        <w:fldChar w:fldCharType="end"/>
      </w:r>
      <w:r w:rsidR="00B80CEB" w:rsidRPr="00124B71">
        <w:rPr>
          <w:rFonts w:cs="Times New Roman"/>
        </w:rPr>
        <w:t xml:space="preserve"> of residential real estate is the value today of an amount of money to be received in the future either through sale or savings on rent.</w:t>
      </w:r>
    </w:p>
    <w:p w14:paraId="2DD9A120" w14:textId="77777777" w:rsidR="009251F7" w:rsidRDefault="009251F7" w:rsidP="009251F7">
      <w:pPr>
        <w:pStyle w:val="Heading3"/>
      </w:pPr>
      <w:bookmarkStart w:id="64" w:name="_Toc238867306"/>
      <w:r>
        <w:t>Discount Rates</w:t>
      </w:r>
      <w:bookmarkEnd w:id="64"/>
    </w:p>
    <w:p w14:paraId="1107108F" w14:textId="77777777" w:rsidR="00A16766" w:rsidRPr="00124B71" w:rsidRDefault="00B80CEB" w:rsidP="00A16766">
      <w:pPr>
        <w:rPr>
          <w:rFonts w:cs="Times New Roman"/>
        </w:rPr>
      </w:pPr>
      <w:r w:rsidRPr="00124B71">
        <w:rPr>
          <w:rFonts w:cs="Times New Roman"/>
        </w:rPr>
        <w:t>The investment value</w:t>
      </w:r>
      <w:r w:rsidR="001858B5">
        <w:rPr>
          <w:rFonts w:cs="Times New Roman"/>
        </w:rPr>
        <w:fldChar w:fldCharType="begin"/>
      </w:r>
      <w:r w:rsidR="00FF74AC">
        <w:instrText xml:space="preserve"> XE "</w:instrText>
      </w:r>
      <w:r w:rsidR="00FF74AC" w:rsidRPr="000E370D">
        <w:rPr>
          <w:rFonts w:cs="Times New Roman"/>
        </w:rPr>
        <w:instrText>investment value</w:instrText>
      </w:r>
      <w:r w:rsidR="00FF74AC">
        <w:instrText xml:space="preserve">" </w:instrText>
      </w:r>
      <w:r w:rsidR="001858B5">
        <w:rPr>
          <w:rFonts w:cs="Times New Roman"/>
        </w:rPr>
        <w:fldChar w:fldCharType="end"/>
      </w:r>
      <w:r w:rsidRPr="00124B71">
        <w:rPr>
          <w:rFonts w:cs="Times New Roman"/>
        </w:rPr>
        <w:t xml:space="preserve"> of a property can only be measured against other investment opportunities available to an investor. </w:t>
      </w:r>
      <w:r w:rsidR="00A16766" w:rsidRPr="00124B71">
        <w:rPr>
          <w:rFonts w:cs="Times New Roman"/>
        </w:rPr>
        <w:t>If investor</w:t>
      </w:r>
      <w:r w:rsidR="0029485B" w:rsidRPr="00124B71">
        <w:rPr>
          <w:rFonts w:cs="Times New Roman"/>
        </w:rPr>
        <w:t>s</w:t>
      </w:r>
      <w:r w:rsidR="00A16766" w:rsidRPr="00124B71">
        <w:rPr>
          <w:rFonts w:cs="Times New Roman"/>
        </w:rPr>
        <w:t xml:space="preserve"> can earn 4.5% </w:t>
      </w:r>
      <w:r w:rsidR="0029485B" w:rsidRPr="00124B71">
        <w:rPr>
          <w:rFonts w:cs="Times New Roman"/>
        </w:rPr>
        <w:t xml:space="preserve">by investing </w:t>
      </w:r>
      <w:r w:rsidR="00A16766" w:rsidRPr="00124B71">
        <w:rPr>
          <w:rFonts w:cs="Times New Roman"/>
        </w:rPr>
        <w:t>in government treasuries, they will demand a higher return to invest in an asset as volatile and as illiquid as residential real estate. The rate of return an investor demands is called a “discount rate</w:t>
      </w:r>
      <w:r w:rsidR="001858B5">
        <w:rPr>
          <w:rFonts w:cs="Times New Roman"/>
        </w:rPr>
        <w:fldChar w:fldCharType="begin"/>
      </w:r>
      <w:r w:rsidR="00180E6F">
        <w:instrText xml:space="preserve"> XE "</w:instrText>
      </w:r>
      <w:r w:rsidR="00180E6F" w:rsidRPr="000C266E">
        <w:rPr>
          <w:rFonts w:cs="Times New Roman"/>
        </w:rPr>
        <w:instrText>discount rate</w:instrText>
      </w:r>
      <w:r w:rsidR="00180E6F">
        <w:instrText xml:space="preserve">" </w:instrText>
      </w:r>
      <w:r w:rsidR="001858B5">
        <w:rPr>
          <w:rFonts w:cs="Times New Roman"/>
        </w:rPr>
        <w:fldChar w:fldCharType="end"/>
      </w:r>
      <w:r w:rsidR="00A16766" w:rsidRPr="00124B71">
        <w:rPr>
          <w:rFonts w:cs="Times New Roman"/>
        </w:rPr>
        <w:t>.” The discount rate is different for each investor as each will have different tolerances for risk. During the Great Housing Bubble discount rates on most asset classes were at historic lows due to excess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00A16766" w:rsidRPr="00124B71">
        <w:rPr>
          <w:rFonts w:cs="Times New Roman"/>
        </w:rPr>
        <w:t xml:space="preserve"> in capital markets. The discount rate used in the analysis is </w:t>
      </w:r>
      <w:r w:rsidR="005854E3" w:rsidRPr="00124B71">
        <w:rPr>
          <w:rFonts w:cs="Times New Roman"/>
        </w:rPr>
        <w:t xml:space="preserve">the </w:t>
      </w:r>
      <w:r w:rsidR="00A16766" w:rsidRPr="00124B71">
        <w:rPr>
          <w:rFonts w:cs="Times New Roman"/>
        </w:rPr>
        <w:t xml:space="preserve">variable with the greatest impact on the investment value. Because of the risks of </w:t>
      </w:r>
      <w:r w:rsidR="0029485B" w:rsidRPr="00124B71">
        <w:rPr>
          <w:rFonts w:cs="Times New Roman"/>
        </w:rPr>
        <w:t xml:space="preserve">investing in </w:t>
      </w:r>
      <w:r w:rsidR="00A16766" w:rsidRPr="00124B71">
        <w:rPr>
          <w:rFonts w:cs="Times New Roman"/>
        </w:rPr>
        <w:t>residential real estate, a strong argument can be made that a low discount rate is unwarranted and investors would typically demand higher rates of return for assuming the inherent risks. A low discount rate exaggerates the investment premium</w:t>
      </w:r>
      <w:r w:rsidR="001858B5">
        <w:rPr>
          <w:rFonts w:cs="Times New Roman"/>
        </w:rPr>
        <w:fldChar w:fldCharType="begin"/>
      </w:r>
      <w:r w:rsidR="00180E6F">
        <w:instrText xml:space="preserve"> XE "</w:instrText>
      </w:r>
      <w:r w:rsidR="00180E6F" w:rsidRPr="00D32E3D">
        <w:rPr>
          <w:rFonts w:cs="Times New Roman"/>
        </w:rPr>
        <w:instrText>investment premium</w:instrText>
      </w:r>
      <w:r w:rsidR="00180E6F">
        <w:instrText xml:space="preserve">" </w:instrText>
      </w:r>
      <w:r w:rsidR="001858B5">
        <w:rPr>
          <w:rFonts w:cs="Times New Roman"/>
        </w:rPr>
        <w:fldChar w:fldCharType="end"/>
      </w:r>
      <w:r w:rsidR="00A16766" w:rsidRPr="00124B71">
        <w:rPr>
          <w:rFonts w:cs="Times New Roman"/>
        </w:rPr>
        <w:t xml:space="preserve"> and makes an investment appear more valuable, and a high discount rate underestimates the investment premium and makes an investment appear less valuable. </w:t>
      </w:r>
    </w:p>
    <w:p w14:paraId="5712FFCF" w14:textId="77777777" w:rsidR="006A6DAE" w:rsidRPr="00124B71" w:rsidRDefault="00330635" w:rsidP="006A6DAE">
      <w:pPr>
        <w:rPr>
          <w:rFonts w:cs="Times New Roman"/>
        </w:rPr>
      </w:pPr>
      <w:r w:rsidRPr="00124B71">
        <w:rPr>
          <w:rFonts w:cs="Times New Roman"/>
        </w:rPr>
        <w:t>The US Department of the Treasury sells a product called Treasury Inflation</w:t>
      </w:r>
      <w:r w:rsidR="001858B5">
        <w:rPr>
          <w:rFonts w:cs="Times New Roman"/>
        </w:rPr>
        <w:fldChar w:fldCharType="begin"/>
      </w:r>
      <w:r w:rsidR="00E84A0F">
        <w:instrText xml:space="preserve"> XE "</w:instrText>
      </w:r>
      <w:r w:rsidR="00E84A0F" w:rsidRPr="00725B11">
        <w:rPr>
          <w:rFonts w:cs="Times New Roman"/>
        </w:rPr>
        <w:instrText>Inflation</w:instrText>
      </w:r>
      <w:r w:rsidR="00E84A0F">
        <w:instrText xml:space="preserve">" </w:instrText>
      </w:r>
      <w:r w:rsidR="001858B5">
        <w:rPr>
          <w:rFonts w:cs="Times New Roman"/>
        </w:rPr>
        <w:fldChar w:fldCharType="end"/>
      </w:r>
      <w:r w:rsidRPr="00124B71">
        <w:rPr>
          <w:rFonts w:cs="Times New Roman"/>
        </w:rPr>
        <w:t>-Protected Securities</w:t>
      </w:r>
      <w:r w:rsidR="001858B5">
        <w:rPr>
          <w:rFonts w:cs="Times New Roman"/>
        </w:rPr>
        <w:fldChar w:fldCharType="begin"/>
      </w:r>
      <w:r w:rsidR="00180E6F">
        <w:instrText xml:space="preserve"> XE "</w:instrText>
      </w:r>
      <w:r w:rsidR="00180E6F" w:rsidRPr="00717E34">
        <w:rPr>
          <w:rFonts w:cs="Times New Roman"/>
        </w:rPr>
        <w:instrText>Treasury Inflation-Protected Securities</w:instrText>
      </w:r>
      <w:r w:rsidR="00180E6F">
        <w:instrText>" \t "</w:instrText>
      </w:r>
      <w:r w:rsidR="00180E6F" w:rsidRPr="004978A0">
        <w:rPr>
          <w:rFonts w:asciiTheme="minorHAnsi" w:hAnsiTheme="minorHAnsi"/>
          <w:i/>
        </w:rPr>
        <w:instrText>See</w:instrText>
      </w:r>
      <w:r w:rsidR="00180E6F" w:rsidRPr="004978A0">
        <w:rPr>
          <w:rFonts w:asciiTheme="minorHAnsi" w:hAnsiTheme="minorHAnsi"/>
        </w:rPr>
        <w:instrText xml:space="preserve"> TIPS</w:instrText>
      </w:r>
      <w:r w:rsidR="00180E6F">
        <w:instrText xml:space="preserve">" </w:instrText>
      </w:r>
      <w:r w:rsidR="001858B5">
        <w:rPr>
          <w:rFonts w:cs="Times New Roman"/>
        </w:rPr>
        <w:fldChar w:fldCharType="end"/>
      </w:r>
      <w:r w:rsidRPr="00124B71">
        <w:rPr>
          <w:rFonts w:cs="Times New Roman"/>
        </w:rPr>
        <w:t xml:space="preserve"> (TIPS</w:t>
      </w:r>
      <w:r w:rsidR="001858B5">
        <w:rPr>
          <w:rFonts w:cs="Times New Roman"/>
        </w:rPr>
        <w:fldChar w:fldCharType="begin"/>
      </w:r>
      <w:r w:rsidR="00180E6F">
        <w:instrText xml:space="preserve"> XE "</w:instrText>
      </w:r>
      <w:r w:rsidR="00180E6F" w:rsidRPr="00E756E5">
        <w:rPr>
          <w:rFonts w:cs="Times New Roman"/>
        </w:rPr>
        <w:instrText>TIPS</w:instrText>
      </w:r>
      <w:r w:rsidR="00180E6F">
        <w:instrText xml:space="preserve">" </w:instrText>
      </w:r>
      <w:r w:rsidR="001858B5">
        <w:rPr>
          <w:rFonts w:cs="Times New Roman"/>
        </w:rPr>
        <w:fldChar w:fldCharType="end"/>
      </w:r>
      <w:r w:rsidR="00A40CA5" w:rsidRPr="00124B71">
        <w:rPr>
          <w:rFonts w:cs="Times New Roman"/>
        </w:rPr>
        <w:t>).</w:t>
      </w:r>
      <w:r w:rsidRPr="00124B71">
        <w:rPr>
          <w:rFonts w:cs="Times New Roman"/>
        </w:rPr>
        <w:t xml:space="preserve"> The principal of a TIPS increases with inflation, and it pays a semi-annual interest payment providing a return on the investment</w:t>
      </w:r>
      <w:r w:rsidR="00790322" w:rsidRPr="00124B71">
        <w:rPr>
          <w:rFonts w:cs="Times New Roman"/>
        </w:rPr>
        <w:t xml:space="preserve">. </w:t>
      </w:r>
      <w:r w:rsidRPr="00124B71">
        <w:rPr>
          <w:rFonts w:cs="Times New Roman"/>
        </w:rPr>
        <w:t xml:space="preserve">When a TIPS matures, </w:t>
      </w:r>
      <w:r w:rsidR="00790322" w:rsidRPr="00124B71">
        <w:rPr>
          <w:rFonts w:cs="Times New Roman"/>
        </w:rPr>
        <w:t>they buyer</w:t>
      </w:r>
      <w:r w:rsidR="00385DA0">
        <w:rPr>
          <w:rFonts w:cs="Times New Roman"/>
        </w:rPr>
        <w:t xml:space="preserve"> is</w:t>
      </w:r>
      <w:r w:rsidRPr="00124B71">
        <w:rPr>
          <w:rFonts w:cs="Times New Roman"/>
        </w:rPr>
        <w:t xml:space="preserve"> paid the adjusted principal or original principal, whichever is greater.</w:t>
      </w:r>
      <w:r w:rsidR="00790322" w:rsidRPr="00124B71">
        <w:rPr>
          <w:rFonts w:cs="Times New Roman"/>
        </w:rPr>
        <w:t xml:space="preserve"> This is a risk-free investment guaranteed to grow with the rate of inflation. The rate of interest is very low, but since the principal grows with inflation, it provides a return just over the rate of inflation. Houses have historically appreciated at just over the rate of inflation as well; therefore a risk-free investment in TIPS </w:t>
      </w:r>
      <w:r w:rsidR="006A6DAE" w:rsidRPr="00124B71">
        <w:rPr>
          <w:rFonts w:cs="Times New Roman"/>
        </w:rPr>
        <w:t>provides a similar rate of asset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6A6DAE" w:rsidRPr="00124B71">
        <w:rPr>
          <w:rFonts w:cs="Times New Roman"/>
        </w:rPr>
        <w:t xml:space="preserve"> as residential real estate</w:t>
      </w:r>
      <w:r w:rsidR="009251F7" w:rsidRPr="00124B71">
        <w:rPr>
          <w:rFonts w:cs="Times New Roman"/>
        </w:rPr>
        <w:t xml:space="preserve"> (approximately 4.5%</w:t>
      </w:r>
      <w:r w:rsidR="00A40CA5" w:rsidRPr="00124B71">
        <w:rPr>
          <w:rFonts w:cs="Times New Roman"/>
        </w:rPr>
        <w:t>).</w:t>
      </w:r>
      <w:r w:rsidR="006A6DAE" w:rsidRPr="00124B71">
        <w:rPr>
          <w:rFonts w:cs="Times New Roman"/>
        </w:rPr>
        <w:t xml:space="preserve"> Despite their </w:t>
      </w:r>
      <w:r w:rsidR="006A6DAE" w:rsidRPr="00124B71">
        <w:rPr>
          <w:rFonts w:cs="Times New Roman"/>
        </w:rPr>
        <w:lastRenderedPageBreak/>
        <w:t>similarities, TIPS are a much more desirable investment because the value is not very volatile, and TIPS are much easier and less expensive to buy and sell. Residential real estate values are notoriously volatile, particularly in coastal regions. Houses have high transaction costs</w:t>
      </w:r>
      <w:r w:rsidR="001858B5">
        <w:rPr>
          <w:rFonts w:cs="Times New Roman"/>
        </w:rPr>
        <w:fldChar w:fldCharType="begin"/>
      </w:r>
      <w:r w:rsidR="00180E6F">
        <w:instrText xml:space="preserve"> XE "</w:instrText>
      </w:r>
      <w:r w:rsidR="00180E6F" w:rsidRPr="00C05FDB">
        <w:rPr>
          <w:rFonts w:cs="Times New Roman"/>
        </w:rPr>
        <w:instrText>transaction costs</w:instrText>
      </w:r>
      <w:r w:rsidR="00180E6F">
        <w:instrText xml:space="preserve">" </w:instrText>
      </w:r>
      <w:r w:rsidR="001858B5">
        <w:rPr>
          <w:rFonts w:cs="Times New Roman"/>
        </w:rPr>
        <w:fldChar w:fldCharType="end"/>
      </w:r>
      <w:r w:rsidR="006A6DAE" w:rsidRPr="00124B71">
        <w:rPr>
          <w:rFonts w:cs="Times New Roman"/>
        </w:rPr>
        <w:t>, and they can be very difficult to sell in a bear market</w:t>
      </w:r>
      <w:r w:rsidR="001858B5">
        <w:rPr>
          <w:rFonts w:cs="Times New Roman"/>
        </w:rPr>
        <w:fldChar w:fldCharType="begin"/>
      </w:r>
      <w:r w:rsidR="00180E6F">
        <w:instrText xml:space="preserve"> XE "</w:instrText>
      </w:r>
      <w:r w:rsidR="00180E6F" w:rsidRPr="00543E10">
        <w:rPr>
          <w:rFonts w:cs="Times New Roman"/>
        </w:rPr>
        <w:instrText>bear market</w:instrText>
      </w:r>
      <w:r w:rsidR="00180E6F">
        <w:instrText xml:space="preserve">" </w:instrText>
      </w:r>
      <w:r w:rsidR="001858B5">
        <w:rPr>
          <w:rFonts w:cs="Times New Roman"/>
        </w:rPr>
        <w:fldChar w:fldCharType="end"/>
      </w:r>
      <w:r w:rsidR="006A6DAE" w:rsidRPr="00124B71">
        <w:rPr>
          <w:rFonts w:cs="Times New Roman"/>
        </w:rPr>
        <w:t xml:space="preserve">. </w:t>
      </w:r>
      <w:r w:rsidR="009251F7" w:rsidRPr="00124B71">
        <w:rPr>
          <w:rFonts w:cs="Times New Roman"/>
        </w:rPr>
        <w:t>It is not appropriate to use a 4.5% rate similar to the yield on TIPS or the rate of appreciation of residential real estate as the discount rate</w:t>
      </w:r>
      <w:r w:rsidR="001858B5">
        <w:rPr>
          <w:rFonts w:cs="Times New Roman"/>
        </w:rPr>
        <w:fldChar w:fldCharType="begin"/>
      </w:r>
      <w:r w:rsidR="00180E6F">
        <w:instrText xml:space="preserve"> XE "</w:instrText>
      </w:r>
      <w:r w:rsidR="00180E6F" w:rsidRPr="000C266E">
        <w:rPr>
          <w:rFonts w:cs="Times New Roman"/>
        </w:rPr>
        <w:instrText>discount rate</w:instrText>
      </w:r>
      <w:r w:rsidR="00180E6F">
        <w:instrText xml:space="preserve">" </w:instrText>
      </w:r>
      <w:r w:rsidR="001858B5">
        <w:rPr>
          <w:rFonts w:cs="Times New Roman"/>
        </w:rPr>
        <w:fldChar w:fldCharType="end"/>
      </w:r>
      <w:r w:rsidR="009251F7" w:rsidRPr="00124B71">
        <w:rPr>
          <w:rFonts w:cs="Times New Roman"/>
        </w:rPr>
        <w:t xml:space="preserve"> in a</w:t>
      </w:r>
      <w:r w:rsidR="00720CC6">
        <w:rPr>
          <w:rFonts w:cs="Times New Roman"/>
        </w:rPr>
        <w:t xml:space="preserve"> proper</w:t>
      </w:r>
      <w:r w:rsidR="009251F7" w:rsidRPr="00124B71">
        <w:rPr>
          <w:rFonts w:cs="Times New Roman"/>
        </w:rPr>
        <w:t xml:space="preserve"> value analysis.</w:t>
      </w:r>
    </w:p>
    <w:p w14:paraId="0EEC9B71" w14:textId="77777777" w:rsidR="00A16766" w:rsidRPr="00124B71" w:rsidRDefault="00A16766" w:rsidP="006A6DAE">
      <w:pPr>
        <w:rPr>
          <w:rFonts w:cs="Times New Roman"/>
        </w:rPr>
      </w:pPr>
      <w:r w:rsidRPr="00124B71">
        <w:rPr>
          <w:rFonts w:cs="Times New Roman"/>
        </w:rPr>
        <w:t>Another convenient discount rate</w:t>
      </w:r>
      <w:r w:rsidR="001858B5">
        <w:rPr>
          <w:rFonts w:cs="Times New Roman"/>
        </w:rPr>
        <w:fldChar w:fldCharType="begin"/>
      </w:r>
      <w:r w:rsidR="00180E6F">
        <w:instrText xml:space="preserve"> XE "</w:instrText>
      </w:r>
      <w:r w:rsidR="00180E6F" w:rsidRPr="000C266E">
        <w:rPr>
          <w:rFonts w:cs="Times New Roman"/>
        </w:rPr>
        <w:instrText>discount rate</w:instrText>
      </w:r>
      <w:r w:rsidR="00180E6F">
        <w:instrText xml:space="preserve">" </w:instrText>
      </w:r>
      <w:r w:rsidR="001858B5">
        <w:rPr>
          <w:rFonts w:cs="Times New Roman"/>
        </w:rPr>
        <w:fldChar w:fldCharType="end"/>
      </w:r>
      <w:r w:rsidRPr="00124B71">
        <w:rPr>
          <w:rFonts w:cs="Times New Roman"/>
        </w:rPr>
        <w:t xml:space="preserve"> to use when assessing the value of residential real estate is the interest rate on the loan used to acquire the property. Borrowed money costs money in the form of interest payments. A homebuyer can pay down the loan on the property and earn a return on that money equal to the interest on the loan as money not spent. Eliminating interest expense provides a return on investment</w:t>
      </w:r>
      <w:r w:rsidR="001858B5">
        <w:rPr>
          <w:rFonts w:cs="Times New Roman"/>
        </w:rPr>
        <w:fldChar w:fldCharType="begin"/>
      </w:r>
      <w:r w:rsidR="00180E6F">
        <w:instrText xml:space="preserve"> XE "</w:instrText>
      </w:r>
      <w:r w:rsidR="00180E6F" w:rsidRPr="006170A6">
        <w:rPr>
          <w:rFonts w:cs="Times New Roman"/>
        </w:rPr>
        <w:instrText>return on investment</w:instrText>
      </w:r>
      <w:r w:rsidR="00180E6F">
        <w:instrText xml:space="preserve">" </w:instrText>
      </w:r>
      <w:r w:rsidR="001858B5">
        <w:rPr>
          <w:rFonts w:cs="Times New Roman"/>
        </w:rPr>
        <w:fldChar w:fldCharType="end"/>
      </w:r>
      <w:r w:rsidRPr="00124B71">
        <w:rPr>
          <w:rFonts w:cs="Times New Roman"/>
        </w:rPr>
        <w:t xml:space="preserve"> equal to the interest rate. Interest rates during the Great Housing Bubble on 30-year fixed-rate mortgages dropped below 6%. An argument can be made that 6% is a</w:t>
      </w:r>
      <w:r w:rsidR="009251F7" w:rsidRPr="00124B71">
        <w:rPr>
          <w:rFonts w:cs="Times New Roman"/>
        </w:rPr>
        <w:t>n appropriate discount rate; however, 6% interest rates are near historic lows, and interest rates are likely to be higher in the future.</w:t>
      </w:r>
      <w:r w:rsidR="00C4562F" w:rsidRPr="00124B71">
        <w:rPr>
          <w:rFonts w:cs="Times New Roman"/>
        </w:rPr>
        <w:t xml:space="preserve"> Interest rates stabilized in the mid 80s after the spike of the early 80s to quell inflation. The average contract mortgage interest rate from 1986 to 2007 was 8.0%. If a discount rate matching the loan interest rate is used in a value analysis, it is more appropriate to use 8% than 6%.</w:t>
      </w:r>
    </w:p>
    <w:p w14:paraId="2613FF77" w14:textId="77777777" w:rsidR="00C4562F" w:rsidRPr="00124B71" w:rsidRDefault="00C4562F" w:rsidP="006A6DAE">
      <w:pPr>
        <w:rPr>
          <w:rFonts w:cs="Times New Roman"/>
        </w:rPr>
      </w:pPr>
      <w:r w:rsidRPr="00124B71">
        <w:rPr>
          <w:rFonts w:cs="Times New Roman"/>
        </w:rPr>
        <w:t>Investors in residential real estate</w:t>
      </w:r>
      <w:r w:rsidR="00126B1B" w:rsidRPr="00124B71">
        <w:rPr>
          <w:rFonts w:cs="Times New Roman"/>
        </w:rPr>
        <w:t xml:space="preserve"> (</w:t>
      </w:r>
      <w:r w:rsidRPr="00124B71">
        <w:rPr>
          <w:rFonts w:cs="Times New Roman"/>
        </w:rPr>
        <w:t>those who invest in ren</w:t>
      </w:r>
      <w:r w:rsidR="00126B1B" w:rsidRPr="00124B71">
        <w:rPr>
          <w:rFonts w:cs="Times New Roman"/>
        </w:rPr>
        <w:t>tal property to obtain cashflow)</w:t>
      </w:r>
      <w:r w:rsidRPr="00124B71">
        <w:rPr>
          <w:rFonts w:cs="Times New Roman"/>
        </w:rPr>
        <w:t xml:space="preserve"> typically ignore any resale value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These investors want to receive cash from rental in excess of the costs of ownership to provide a return on their investment. Despite their different emphasis for achieving a return, the discount rates these investors use may be the most appropriate because it is for the same asset class. Cashflow investors</w:t>
      </w:r>
      <w:r w:rsidR="001858B5">
        <w:rPr>
          <w:rFonts w:cs="Times New Roman"/>
        </w:rPr>
        <w:fldChar w:fldCharType="begin"/>
      </w:r>
      <w:r w:rsidR="00180E6F">
        <w:instrText xml:space="preserve"> XE "</w:instrText>
      </w:r>
      <w:r w:rsidR="00180E6F" w:rsidRPr="00424430">
        <w:rPr>
          <w:rFonts w:cs="Times New Roman"/>
        </w:rPr>
        <w:instrText>Cashflow investors</w:instrText>
      </w:r>
      <w:r w:rsidR="00180E6F">
        <w:instrText xml:space="preserve">" </w:instrText>
      </w:r>
      <w:r w:rsidR="001858B5">
        <w:rPr>
          <w:rFonts w:cs="Times New Roman"/>
        </w:rPr>
        <w:fldChar w:fldCharType="end"/>
      </w:r>
      <w:r w:rsidRPr="00124B71">
        <w:rPr>
          <w:rFonts w:cs="Times New Roman"/>
        </w:rPr>
        <w:t xml:space="preserve"> in rental real estate have already discounted for the risks of price volatility</w:t>
      </w:r>
      <w:r w:rsidR="001858B5">
        <w:rPr>
          <w:rFonts w:cs="Times New Roman"/>
        </w:rPr>
        <w:fldChar w:fldCharType="begin"/>
      </w:r>
      <w:r w:rsidR="00180E6F">
        <w:instrText xml:space="preserve"> XE "</w:instrText>
      </w:r>
      <w:r w:rsidR="00180E6F" w:rsidRPr="004A1A9F">
        <w:rPr>
          <w:rFonts w:cs="Times New Roman"/>
        </w:rPr>
        <w:instrText>price volatility</w:instrText>
      </w:r>
      <w:r w:rsidR="00180E6F">
        <w:instrText xml:space="preserve">" </w:instrText>
      </w:r>
      <w:r w:rsidR="001858B5">
        <w:rPr>
          <w:rFonts w:cs="Times New Roman"/>
        </w:rPr>
        <w:fldChar w:fldCharType="end"/>
      </w:r>
      <w:r w:rsidRPr="00124B71">
        <w:rPr>
          <w:rFonts w:cs="Times New Roman"/>
        </w:rPr>
        <w:t xml:space="preserve"> and illiquidity. Historically, investors in</w:t>
      </w:r>
      <w:r w:rsidR="009D00DB" w:rsidRPr="00124B71">
        <w:rPr>
          <w:rFonts w:cs="Times New Roman"/>
        </w:rPr>
        <w:t xml:space="preserve"> cashflow producing real estate have demanded returns of near 12%. During the Great Housing bubble, these rates declined to as low as 6% for class “A” apartments in certain California markets</w:t>
      </w:r>
      <w:r w:rsidR="00325541" w:rsidRPr="00124B71">
        <w:rPr>
          <w:rFonts w:cs="Times New Roman"/>
        </w:rPr>
        <w:t xml:space="preserve">. </w:t>
      </w:r>
      <w:r w:rsidR="00F87DF7" w:rsidRPr="00124B71">
        <w:rPr>
          <w:rStyle w:val="EndnoteReference"/>
          <w:rFonts w:cs="Times New Roman"/>
        </w:rPr>
        <w:endnoteReference w:id="55"/>
      </w:r>
      <w:r w:rsidR="009D00DB" w:rsidRPr="00124B71">
        <w:rPr>
          <w:rFonts w:cs="Times New Roman"/>
        </w:rPr>
        <w:t xml:space="preserve"> It is likely that discount rates will rise back to their historic norms in the aftermath of the bubble. If a discount rate</w:t>
      </w:r>
      <w:r w:rsidR="001858B5">
        <w:rPr>
          <w:rFonts w:cs="Times New Roman"/>
        </w:rPr>
        <w:fldChar w:fldCharType="begin"/>
      </w:r>
      <w:r w:rsidR="00180E6F">
        <w:instrText xml:space="preserve"> XE "</w:instrText>
      </w:r>
      <w:r w:rsidR="00180E6F" w:rsidRPr="000C266E">
        <w:rPr>
          <w:rFonts w:cs="Times New Roman"/>
        </w:rPr>
        <w:instrText>discount rate</w:instrText>
      </w:r>
      <w:r w:rsidR="00180E6F">
        <w:instrText xml:space="preserve">" </w:instrText>
      </w:r>
      <w:r w:rsidR="001858B5">
        <w:rPr>
          <w:rFonts w:cs="Times New Roman"/>
        </w:rPr>
        <w:fldChar w:fldCharType="end"/>
      </w:r>
      <w:r w:rsidR="009D00DB" w:rsidRPr="00124B71">
        <w:rPr>
          <w:rFonts w:cs="Times New Roman"/>
        </w:rPr>
        <w:t xml:space="preserve"> is used matching that of cashflow investors in residential real estate, a rate of 12% should be used.</w:t>
      </w:r>
    </w:p>
    <w:p w14:paraId="683C41A8" w14:textId="77777777" w:rsidR="009D00DB" w:rsidRPr="00124B71" w:rsidRDefault="009D00DB" w:rsidP="006A6DAE">
      <w:pPr>
        <w:rPr>
          <w:rFonts w:cs="Times New Roman"/>
        </w:rPr>
      </w:pPr>
      <w:r w:rsidRPr="00124B71">
        <w:rPr>
          <w:rFonts w:cs="Times New Roman"/>
        </w:rPr>
        <w:t>Once money is sunk into residential real estate, it can only be extracted through borrowing</w:t>
      </w:r>
      <w:r w:rsidR="007C469A">
        <w:rPr>
          <w:rFonts w:cs="Times New Roman"/>
        </w:rPr>
        <w:t>–</w:t>
      </w:r>
      <w:r w:rsidRPr="00124B71">
        <w:rPr>
          <w:rFonts w:cs="Times New Roman"/>
        </w:rPr>
        <w:t>which has its own costs</w:t>
      </w:r>
      <w:r w:rsidR="007C469A">
        <w:rPr>
          <w:rFonts w:cs="Times New Roman"/>
        </w:rPr>
        <w:t>–</w:t>
      </w:r>
      <w:r w:rsidRPr="00124B71">
        <w:rPr>
          <w:rFonts w:cs="Times New Roman"/>
        </w:rPr>
        <w:t>or sale. Money put into residential real estate is money taken away from a competing investment. When buyer</w:t>
      </w:r>
      <w:r w:rsidR="00126B1B" w:rsidRPr="00124B71">
        <w:rPr>
          <w:rFonts w:cs="Times New Roman"/>
        </w:rPr>
        <w:t>s are</w:t>
      </w:r>
      <w:r w:rsidRPr="00124B71">
        <w:rPr>
          <w:rFonts w:cs="Times New Roman"/>
        </w:rPr>
        <w:t xml:space="preserve"> facing a rent versus own decision, they may cho</w:t>
      </w:r>
      <w:r w:rsidR="00A4103F" w:rsidRPr="00124B71">
        <w:rPr>
          <w:rFonts w:cs="Times New Roman"/>
        </w:rPr>
        <w:t>o</w:t>
      </w:r>
      <w:r w:rsidRPr="00124B71">
        <w:rPr>
          <w:rFonts w:cs="Times New Roman"/>
        </w:rPr>
        <w:t>se to rent and put their downpayment and investment premium</w:t>
      </w:r>
      <w:r w:rsidR="001858B5">
        <w:rPr>
          <w:rFonts w:cs="Times New Roman"/>
        </w:rPr>
        <w:fldChar w:fldCharType="begin"/>
      </w:r>
      <w:r w:rsidR="00180E6F">
        <w:instrText xml:space="preserve"> XE "</w:instrText>
      </w:r>
      <w:r w:rsidR="00180E6F" w:rsidRPr="00D32E3D">
        <w:rPr>
          <w:rFonts w:cs="Times New Roman"/>
        </w:rPr>
        <w:instrText>investment premium</w:instrText>
      </w:r>
      <w:r w:rsidR="00180E6F">
        <w:instrText xml:space="preserve">" </w:instrText>
      </w:r>
      <w:r w:rsidR="001858B5">
        <w:rPr>
          <w:rFonts w:cs="Times New Roman"/>
        </w:rPr>
        <w:fldChar w:fldCharType="end"/>
      </w:r>
      <w:r w:rsidRPr="00124B71">
        <w:rPr>
          <w:rFonts w:cs="Times New Roman"/>
        </w:rPr>
        <w:t xml:space="preserve"> into a completely different asset class with even higher returns. This money could go into high yield bonds, market index funds or mutual funds, commodities</w:t>
      </w:r>
      <w:r w:rsidR="001858B5">
        <w:rPr>
          <w:rFonts w:cs="Times New Roman"/>
        </w:rPr>
        <w:fldChar w:fldCharType="begin"/>
      </w:r>
      <w:r w:rsidR="00FF74AC">
        <w:instrText xml:space="preserve"> XE "</w:instrText>
      </w:r>
      <w:r w:rsidR="00FF74AC" w:rsidRPr="00E862A6">
        <w:rPr>
          <w:rFonts w:cs="Times New Roman"/>
        </w:rPr>
        <w:instrText>commodities</w:instrText>
      </w:r>
      <w:r w:rsidR="00FF74AC">
        <w:instrText xml:space="preserve">" </w:instrText>
      </w:r>
      <w:r w:rsidR="001858B5">
        <w:rPr>
          <w:rFonts w:cs="Times New Roman"/>
        </w:rPr>
        <w:fldChar w:fldCharType="end"/>
      </w:r>
      <w:r w:rsidRPr="00124B71">
        <w:rPr>
          <w:rFonts w:cs="Times New Roman"/>
        </w:rPr>
        <w:t xml:space="preserve">, or any of a variety of high-risk, high-return investment vehicles. </w:t>
      </w:r>
      <w:r w:rsidR="00015E07" w:rsidRPr="00124B71">
        <w:rPr>
          <w:rFonts w:cs="Times New Roman"/>
        </w:rPr>
        <w:t>An argument can be made that the discount rate</w:t>
      </w:r>
      <w:r w:rsidR="001858B5">
        <w:rPr>
          <w:rFonts w:cs="Times New Roman"/>
        </w:rPr>
        <w:fldChar w:fldCharType="begin"/>
      </w:r>
      <w:r w:rsidR="00180E6F">
        <w:instrText xml:space="preserve"> XE "</w:instrText>
      </w:r>
      <w:r w:rsidR="00180E6F" w:rsidRPr="000C266E">
        <w:rPr>
          <w:rFonts w:cs="Times New Roman"/>
        </w:rPr>
        <w:instrText>discount rate</w:instrText>
      </w:r>
      <w:r w:rsidR="00180E6F">
        <w:instrText xml:space="preserve">" </w:instrText>
      </w:r>
      <w:r w:rsidR="001858B5">
        <w:rPr>
          <w:rFonts w:cs="Times New Roman"/>
        </w:rPr>
        <w:fldChar w:fldCharType="end"/>
      </w:r>
      <w:r w:rsidR="00015E07" w:rsidRPr="00124B71">
        <w:rPr>
          <w:rFonts w:cs="Times New Roman"/>
        </w:rPr>
        <w:t xml:space="preserve"> should approximate the long-term return on high yield alternative investments, perhaps as high as 15% or 18%. Although an individual investor may forego these investment opportunities to purchase residential real estate, it is not appropriate to use discount rates this high because many of these investments are riskier and more volatile than residential real estate.</w:t>
      </w:r>
    </w:p>
    <w:p w14:paraId="6AAFCA88" w14:textId="77777777" w:rsidR="00015E07" w:rsidRPr="00124B71" w:rsidRDefault="00015E07" w:rsidP="006A6DAE">
      <w:pPr>
        <w:rPr>
          <w:rFonts w:cs="Times New Roman"/>
        </w:rPr>
      </w:pPr>
      <w:r w:rsidRPr="00124B71">
        <w:rPr>
          <w:rFonts w:cs="Times New Roman"/>
        </w:rPr>
        <w:lastRenderedPageBreak/>
        <w:t>The discount rate</w:t>
      </w:r>
      <w:r w:rsidR="001858B5">
        <w:rPr>
          <w:rFonts w:cs="Times New Roman"/>
        </w:rPr>
        <w:fldChar w:fldCharType="begin"/>
      </w:r>
      <w:r w:rsidR="00180E6F">
        <w:instrText xml:space="preserve"> XE "</w:instrText>
      </w:r>
      <w:r w:rsidR="00180E6F" w:rsidRPr="000C266E">
        <w:rPr>
          <w:rFonts w:cs="Times New Roman"/>
        </w:rPr>
        <w:instrText>discount rate</w:instrText>
      </w:r>
      <w:r w:rsidR="00180E6F">
        <w:instrText xml:space="preserve">" </w:instrText>
      </w:r>
      <w:r w:rsidR="001858B5">
        <w:rPr>
          <w:rFonts w:cs="Times New Roman"/>
        </w:rPr>
        <w:fldChar w:fldCharType="end"/>
      </w:r>
      <w:r w:rsidRPr="00124B71">
        <w:rPr>
          <w:rFonts w:cs="Times New Roman"/>
        </w:rPr>
        <w:t xml:space="preserve"> is the most important variable in evaluating the investment value</w:t>
      </w:r>
      <w:r w:rsidR="001858B5">
        <w:rPr>
          <w:rFonts w:cs="Times New Roman"/>
        </w:rPr>
        <w:fldChar w:fldCharType="begin"/>
      </w:r>
      <w:r w:rsidR="00FF74AC">
        <w:instrText xml:space="preserve"> XE "</w:instrText>
      </w:r>
      <w:r w:rsidR="00FF74AC" w:rsidRPr="000E370D">
        <w:rPr>
          <w:rFonts w:cs="Times New Roman"/>
        </w:rPr>
        <w:instrText>investment value</w:instrText>
      </w:r>
      <w:r w:rsidR="00FF74AC">
        <w:instrText xml:space="preserve">" </w:instrText>
      </w:r>
      <w:r w:rsidR="001858B5">
        <w:rPr>
          <w:rFonts w:cs="Times New Roman"/>
        </w:rPr>
        <w:fldChar w:fldCharType="end"/>
      </w:r>
      <w:r w:rsidRPr="00124B71">
        <w:rPr>
          <w:rFonts w:cs="Times New Roman"/>
        </w:rPr>
        <w:t xml:space="preserve"> of residential real estate. Arguments can be made for rates as low as 4.5% and as high as 18%. Low discount rates translate to high values, and high rates make for low values. The extremes of this range are not appropriate for use because they re</w:t>
      </w:r>
      <w:r w:rsidR="00385DA0">
        <w:rPr>
          <w:rFonts w:cs="Times New Roman"/>
        </w:rPr>
        <w:t>present alternative</w:t>
      </w:r>
      <w:r w:rsidRPr="00124B71">
        <w:rPr>
          <w:rFonts w:cs="Times New Roman"/>
        </w:rPr>
        <w:t xml:space="preserve"> investments with different risk parameters that are not comparable to residential real estate.</w:t>
      </w:r>
      <w:r w:rsidR="00226780" w:rsidRPr="00124B71">
        <w:rPr>
          <w:rFonts w:cs="Times New Roman"/>
        </w:rPr>
        <w:t xml:space="preserve"> The most appropriate discount rates are between 8% and 12% because these represent either credit costs (interest rates) or the rate used by professional real estate investors. The examples in this section will use these two rates to illustrate the range of values rational investors in residential real estate would use to value an investment premium</w:t>
      </w:r>
      <w:r w:rsidR="001858B5">
        <w:rPr>
          <w:rFonts w:cs="Times New Roman"/>
        </w:rPr>
        <w:fldChar w:fldCharType="begin"/>
      </w:r>
      <w:r w:rsidR="00180E6F">
        <w:instrText xml:space="preserve"> XE "</w:instrText>
      </w:r>
      <w:r w:rsidR="00180E6F" w:rsidRPr="00D32E3D">
        <w:rPr>
          <w:rFonts w:cs="Times New Roman"/>
        </w:rPr>
        <w:instrText>investment premium</w:instrText>
      </w:r>
      <w:r w:rsidR="00180E6F">
        <w:instrText xml:space="preserve">" </w:instrText>
      </w:r>
      <w:r w:rsidR="001858B5">
        <w:rPr>
          <w:rFonts w:cs="Times New Roman"/>
        </w:rPr>
        <w:fldChar w:fldCharType="end"/>
      </w:r>
      <w:r w:rsidR="00226780" w:rsidRPr="00124B71">
        <w:rPr>
          <w:rFonts w:cs="Times New Roman"/>
        </w:rPr>
        <w:t>.</w:t>
      </w:r>
    </w:p>
    <w:p w14:paraId="74F9B0F3" w14:textId="77777777" w:rsidR="006A6DAE" w:rsidRDefault="009251F7" w:rsidP="009251F7">
      <w:pPr>
        <w:pStyle w:val="Heading3"/>
      </w:pPr>
      <w:bookmarkStart w:id="65" w:name="_Toc238867307"/>
      <w:r>
        <w:t>Appreciation and Transaction Fees</w:t>
      </w:r>
      <w:bookmarkEnd w:id="65"/>
    </w:p>
    <w:p w14:paraId="2A06498C" w14:textId="77777777" w:rsidR="009251F7" w:rsidRPr="00124B71" w:rsidRDefault="009251F7" w:rsidP="009251F7">
      <w:pPr>
        <w:rPr>
          <w:rFonts w:cs="Times New Roman"/>
        </w:rPr>
      </w:pPr>
      <w:r w:rsidRPr="00124B71">
        <w:rPr>
          <w:rFonts w:cs="Times New Roman"/>
        </w:rPr>
        <w:t>The portion of investment value</w:t>
      </w:r>
      <w:r w:rsidR="001858B5">
        <w:rPr>
          <w:rFonts w:cs="Times New Roman"/>
        </w:rPr>
        <w:fldChar w:fldCharType="begin"/>
      </w:r>
      <w:r w:rsidR="00FF74AC">
        <w:instrText xml:space="preserve"> XE "</w:instrText>
      </w:r>
      <w:r w:rsidR="00FF74AC" w:rsidRPr="000E370D">
        <w:rPr>
          <w:rFonts w:cs="Times New Roman"/>
        </w:rPr>
        <w:instrText>investment value</w:instrText>
      </w:r>
      <w:r w:rsidR="00FF74AC">
        <w:instrText xml:space="preserve">" </w:instrText>
      </w:r>
      <w:r w:rsidR="001858B5">
        <w:rPr>
          <w:rFonts w:cs="Times New Roman"/>
        </w:rPr>
        <w:fldChar w:fldCharType="end"/>
      </w:r>
      <w:r w:rsidRPr="00124B71">
        <w:rPr>
          <w:rFonts w:cs="Times New Roman"/>
        </w:rPr>
        <w:t xml:space="preserve"> caused by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can only be evaluated by an accurate estimate of appreciation during the ownership period</w:t>
      </w:r>
      <w:r w:rsidR="001858B5">
        <w:rPr>
          <w:rFonts w:cs="Times New Roman"/>
        </w:rPr>
        <w:fldChar w:fldCharType="begin"/>
      </w:r>
      <w:r w:rsidR="00FF74AC">
        <w:instrText xml:space="preserve"> XE "</w:instrText>
      </w:r>
      <w:r w:rsidR="00FF74AC" w:rsidRPr="00106853">
        <w:rPr>
          <w:rFonts w:cs="Times New Roman"/>
        </w:rPr>
        <w:instrText>ownership period</w:instrText>
      </w:r>
      <w:r w:rsidR="00FF74AC">
        <w:instrText xml:space="preserve">" </w:instrText>
      </w:r>
      <w:r w:rsidR="001858B5">
        <w:rPr>
          <w:rFonts w:cs="Times New Roman"/>
        </w:rPr>
        <w:fldChar w:fldCharType="end"/>
      </w:r>
      <w:r w:rsidRPr="00124B71">
        <w:rPr>
          <w:rFonts w:cs="Times New Roman"/>
        </w:rPr>
        <w:t>. The general public grossly overestimates the rate of home price appreciation</w:t>
      </w:r>
      <w:r w:rsidR="004963BA" w:rsidRPr="00124B71">
        <w:rPr>
          <w:rFonts w:cs="Times New Roman"/>
        </w:rPr>
        <w:t>.</w:t>
      </w:r>
      <w:r w:rsidR="00325541" w:rsidRPr="00124B71">
        <w:rPr>
          <w:rFonts w:cs="Times New Roman"/>
        </w:rPr>
        <w:t xml:space="preserve"> </w:t>
      </w:r>
      <w:r w:rsidRPr="00124B71">
        <w:rPr>
          <w:rStyle w:val="EndnoteReference"/>
          <w:rFonts w:cs="Times New Roman"/>
        </w:rPr>
        <w:endnoteReference w:id="56"/>
      </w:r>
      <w:r w:rsidRPr="00124B71">
        <w:rPr>
          <w:rFonts w:cs="Times New Roman"/>
        </w:rPr>
        <w:t xml:space="preserve"> Historically, houses have appreciated at a rate 0.7% over the </w:t>
      </w:r>
      <w:r w:rsidR="00786029" w:rsidRPr="00124B71">
        <w:rPr>
          <w:rFonts w:cs="Times New Roman"/>
        </w:rPr>
        <w:t>long-term</w:t>
      </w:r>
      <w:r w:rsidRPr="00124B71">
        <w:rPr>
          <w:rFonts w:cs="Times New Roman"/>
        </w:rPr>
        <w:t xml:space="preserve"> level of inflation. From 1983 to 1998, a period of low inflation and declining mortgage interest rates before the </w:t>
      </w:r>
      <w:r w:rsidR="00786029" w:rsidRPr="00124B71">
        <w:rPr>
          <w:rFonts w:cs="Times New Roman"/>
        </w:rPr>
        <w:t>Great Housing Bubble</w:t>
      </w:r>
      <w:r w:rsidRPr="00124B71">
        <w:rPr>
          <w:rFonts w:cs="Times New Roman"/>
        </w:rPr>
        <w:t>, the rate of house price appreciation was 4.5% nationally which was 1.4% over the rate of inflation</w:t>
      </w:r>
      <w:r w:rsidR="00325541" w:rsidRPr="00124B71">
        <w:rPr>
          <w:rFonts w:cs="Times New Roman"/>
        </w:rPr>
        <w:t xml:space="preserve">. </w:t>
      </w:r>
      <w:r w:rsidR="003A5CC5" w:rsidRPr="00124B71">
        <w:rPr>
          <w:rStyle w:val="EndnoteReference"/>
          <w:rFonts w:cs="Times New Roman"/>
        </w:rPr>
        <w:endnoteReference w:id="57"/>
      </w:r>
      <w:r w:rsidRPr="00124B71">
        <w:rPr>
          <w:rFonts w:cs="Times New Roman"/>
        </w:rPr>
        <w:t xml:space="preserve"> Appreciation rates are tied to income and rents because this is the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Pr="00124B71">
        <w:rPr>
          <w:rFonts w:cs="Times New Roman"/>
        </w:rPr>
        <w:t xml:space="preserve"> of residential real estate. </w:t>
      </w:r>
    </w:p>
    <w:p w14:paraId="4E404FA8" w14:textId="77777777" w:rsidR="009730C7" w:rsidRPr="00124B71" w:rsidRDefault="006B6F1F" w:rsidP="002F6916">
      <w:pPr>
        <w:rPr>
          <w:rFonts w:cs="Times New Roman"/>
        </w:rPr>
      </w:pPr>
      <w:r w:rsidRPr="00124B71">
        <w:rPr>
          <w:rFonts w:cs="Times New Roman"/>
        </w:rPr>
        <w:t>Profiting from house price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requires getting more </w:t>
      </w:r>
      <w:r w:rsidR="005854E3" w:rsidRPr="00124B71">
        <w:rPr>
          <w:rFonts w:cs="Times New Roman"/>
        </w:rPr>
        <w:t xml:space="preserve">money </w:t>
      </w:r>
      <w:r w:rsidRPr="00124B71">
        <w:rPr>
          <w:rFonts w:cs="Times New Roman"/>
        </w:rPr>
        <w:t>from the sale of a property than was originally paid for it</w:t>
      </w:r>
      <w:r w:rsidR="006B7BAE" w:rsidRPr="00124B71">
        <w:rPr>
          <w:rFonts w:cs="Times New Roman"/>
        </w:rPr>
        <w:t xml:space="preserve"> and not having that profit cancelled out by moving costs, transaction fees, and a large spreads between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006B7BAE" w:rsidRPr="00124B71">
        <w:rPr>
          <w:rFonts w:cs="Times New Roman"/>
        </w:rPr>
        <w:t xml:space="preserve"> and the cost of rental during the ownership period</w:t>
      </w:r>
      <w:r w:rsidR="001858B5">
        <w:rPr>
          <w:rFonts w:cs="Times New Roman"/>
        </w:rPr>
        <w:fldChar w:fldCharType="begin"/>
      </w:r>
      <w:r w:rsidR="00FF74AC">
        <w:instrText xml:space="preserve"> XE "</w:instrText>
      </w:r>
      <w:r w:rsidR="00FF74AC" w:rsidRPr="00106853">
        <w:rPr>
          <w:rFonts w:cs="Times New Roman"/>
        </w:rPr>
        <w:instrText>ownership period</w:instrText>
      </w:r>
      <w:r w:rsidR="00FF74AC">
        <w:instrText xml:space="preserve">" </w:instrText>
      </w:r>
      <w:r w:rsidR="001858B5">
        <w:rPr>
          <w:rFonts w:cs="Times New Roman"/>
        </w:rPr>
        <w:fldChar w:fldCharType="end"/>
      </w:r>
      <w:r w:rsidRPr="00124B71">
        <w:rPr>
          <w:rFonts w:cs="Times New Roman"/>
        </w:rPr>
        <w:t>. Buying and selling residential real estate incurs significant transaction costs</w:t>
      </w:r>
      <w:r w:rsidR="001858B5">
        <w:rPr>
          <w:rFonts w:cs="Times New Roman"/>
        </w:rPr>
        <w:fldChar w:fldCharType="begin"/>
      </w:r>
      <w:r w:rsidR="00180E6F">
        <w:instrText xml:space="preserve"> XE "</w:instrText>
      </w:r>
      <w:r w:rsidR="00180E6F" w:rsidRPr="00C05FDB">
        <w:rPr>
          <w:rFonts w:cs="Times New Roman"/>
        </w:rPr>
        <w:instrText>transaction costs</w:instrText>
      </w:r>
      <w:r w:rsidR="00180E6F">
        <w:instrText xml:space="preserve">" </w:instrText>
      </w:r>
      <w:r w:rsidR="001858B5">
        <w:rPr>
          <w:rFonts w:cs="Times New Roman"/>
        </w:rPr>
        <w:fldChar w:fldCharType="end"/>
      </w:r>
      <w:r w:rsidRPr="00124B71">
        <w:rPr>
          <w:rFonts w:cs="Times New Roman"/>
        </w:rPr>
        <w:t xml:space="preserve"> that are not reflected in the price. It is quite common for properties to sell for more than their purchase price and still be a loss for the seller. Wh</w:t>
      </w:r>
      <w:r w:rsidR="005854E3" w:rsidRPr="00124B71">
        <w:rPr>
          <w:rFonts w:cs="Times New Roman"/>
        </w:rPr>
        <w:t>en people purchase</w:t>
      </w:r>
      <w:r w:rsidRPr="00124B71">
        <w:rPr>
          <w:rFonts w:cs="Times New Roman"/>
        </w:rPr>
        <w:t xml:space="preserve"> residential real estate they pay </w:t>
      </w:r>
      <w:r w:rsidR="00794336" w:rsidRPr="00124B71">
        <w:rPr>
          <w:rFonts w:cs="Times New Roman"/>
        </w:rPr>
        <w:t xml:space="preserve">numerous </w:t>
      </w:r>
      <w:r w:rsidRPr="00124B71">
        <w:rPr>
          <w:rFonts w:cs="Times New Roman"/>
        </w:rPr>
        <w:t>closing costs including title insurance</w:t>
      </w:r>
      <w:r w:rsidR="001858B5">
        <w:rPr>
          <w:rFonts w:cs="Times New Roman"/>
        </w:rPr>
        <w:fldChar w:fldCharType="begin"/>
      </w:r>
      <w:r w:rsidR="00FF74AC">
        <w:instrText xml:space="preserve"> XE "</w:instrText>
      </w:r>
      <w:r w:rsidR="00FF74AC" w:rsidRPr="00AB3D32">
        <w:rPr>
          <w:rFonts w:cs="Times New Roman"/>
        </w:rPr>
        <w:instrText>title insurance</w:instrText>
      </w:r>
      <w:r w:rsidR="00FF74AC">
        <w:instrText xml:space="preserve">" </w:instrText>
      </w:r>
      <w:r w:rsidR="001858B5">
        <w:rPr>
          <w:rFonts w:cs="Times New Roman"/>
        </w:rPr>
        <w:fldChar w:fldCharType="end"/>
      </w:r>
      <w:r w:rsidRPr="00124B71">
        <w:rPr>
          <w:rFonts w:cs="Times New Roman"/>
        </w:rPr>
        <w:t>, recording fees</w:t>
      </w:r>
      <w:r w:rsidR="001858B5">
        <w:rPr>
          <w:rFonts w:cs="Times New Roman"/>
        </w:rPr>
        <w:fldChar w:fldCharType="begin"/>
      </w:r>
      <w:r w:rsidR="00FF74AC">
        <w:instrText xml:space="preserve"> XE "</w:instrText>
      </w:r>
      <w:r w:rsidR="00FF74AC" w:rsidRPr="003B58EE">
        <w:rPr>
          <w:rFonts w:cs="Times New Roman"/>
        </w:rPr>
        <w:instrText>recording fees</w:instrText>
      </w:r>
      <w:r w:rsidR="00FF74AC">
        <w:instrText xml:space="preserve">" </w:instrText>
      </w:r>
      <w:r w:rsidR="001858B5">
        <w:rPr>
          <w:rFonts w:cs="Times New Roman"/>
        </w:rPr>
        <w:fldChar w:fldCharType="end"/>
      </w:r>
      <w:r w:rsidRPr="00124B71">
        <w:rPr>
          <w:rFonts w:cs="Times New Roman"/>
        </w:rPr>
        <w:t>, document stamps and taxes</w:t>
      </w:r>
      <w:r w:rsidR="001858B5">
        <w:rPr>
          <w:rFonts w:cs="Times New Roman"/>
        </w:rPr>
        <w:fldChar w:fldCharType="begin"/>
      </w:r>
      <w:r w:rsidR="00FF74AC">
        <w:instrText xml:space="preserve"> XE "</w:instrText>
      </w:r>
      <w:r w:rsidR="00FF74AC" w:rsidRPr="00F73F9D">
        <w:rPr>
          <w:rFonts w:cs="Times New Roman"/>
        </w:rPr>
        <w:instrText>document stamps and taxes</w:instrText>
      </w:r>
      <w:r w:rsidR="00FF74AC">
        <w:instrText xml:space="preserve">" </w:instrText>
      </w:r>
      <w:r w:rsidR="001858B5">
        <w:rPr>
          <w:rFonts w:cs="Times New Roman"/>
        </w:rPr>
        <w:fldChar w:fldCharType="end"/>
      </w:r>
      <w:r w:rsidRPr="00124B71">
        <w:rPr>
          <w:rFonts w:cs="Times New Roman"/>
        </w:rPr>
        <w:t xml:space="preserve">, </w:t>
      </w:r>
      <w:r w:rsidR="00794336" w:rsidRPr="00124B71">
        <w:rPr>
          <w:rFonts w:cs="Times New Roman"/>
        </w:rPr>
        <w:t>mortgage application fees</w:t>
      </w:r>
      <w:r w:rsidR="001858B5">
        <w:rPr>
          <w:rFonts w:cs="Times New Roman"/>
        </w:rPr>
        <w:fldChar w:fldCharType="begin"/>
      </w:r>
      <w:r w:rsidR="00FF74AC">
        <w:instrText xml:space="preserve"> XE "</w:instrText>
      </w:r>
      <w:r w:rsidR="00FF74AC" w:rsidRPr="00282AFC">
        <w:rPr>
          <w:rFonts w:cs="Times New Roman"/>
        </w:rPr>
        <w:instrText>mortgage application fees</w:instrText>
      </w:r>
      <w:r w:rsidR="00FF74AC">
        <w:instrText xml:space="preserve">" </w:instrText>
      </w:r>
      <w:r w:rsidR="001858B5">
        <w:rPr>
          <w:rFonts w:cs="Times New Roman"/>
        </w:rPr>
        <w:fldChar w:fldCharType="end"/>
      </w:r>
      <w:r w:rsidR="00794336" w:rsidRPr="00124B71">
        <w:rPr>
          <w:rFonts w:cs="Times New Roman"/>
        </w:rPr>
        <w:t xml:space="preserve">, </w:t>
      </w:r>
      <w:r w:rsidRPr="00124B71">
        <w:rPr>
          <w:rFonts w:cs="Times New Roman"/>
        </w:rPr>
        <w:t>survey fees</w:t>
      </w:r>
      <w:r w:rsidR="001858B5">
        <w:rPr>
          <w:rFonts w:cs="Times New Roman"/>
        </w:rPr>
        <w:fldChar w:fldCharType="begin"/>
      </w:r>
      <w:r w:rsidR="00FF74AC">
        <w:instrText xml:space="preserve"> XE "</w:instrText>
      </w:r>
      <w:r w:rsidR="00FF74AC" w:rsidRPr="00C04387">
        <w:rPr>
          <w:rFonts w:cs="Times New Roman"/>
        </w:rPr>
        <w:instrText>survey fees</w:instrText>
      </w:r>
      <w:r w:rsidR="00FF74AC">
        <w:instrText xml:space="preserve">" </w:instrText>
      </w:r>
      <w:r w:rsidR="001858B5">
        <w:rPr>
          <w:rFonts w:cs="Times New Roman"/>
        </w:rPr>
        <w:fldChar w:fldCharType="end"/>
      </w:r>
      <w:r w:rsidRPr="00124B71">
        <w:rPr>
          <w:rFonts w:cs="Times New Roman"/>
        </w:rPr>
        <w:t>, inspection fees</w:t>
      </w:r>
      <w:r w:rsidR="001858B5">
        <w:rPr>
          <w:rFonts w:cs="Times New Roman"/>
        </w:rPr>
        <w:fldChar w:fldCharType="begin"/>
      </w:r>
      <w:r w:rsidR="00FF74AC">
        <w:instrText xml:space="preserve"> XE "</w:instrText>
      </w:r>
      <w:r w:rsidR="00FF74AC" w:rsidRPr="00A9009B">
        <w:rPr>
          <w:rFonts w:cs="Times New Roman"/>
        </w:rPr>
        <w:instrText>inspection fees</w:instrText>
      </w:r>
      <w:r w:rsidR="00FF74AC">
        <w:instrText xml:space="preserve">" </w:instrText>
      </w:r>
      <w:r w:rsidR="001858B5">
        <w:rPr>
          <w:rFonts w:cs="Times New Roman"/>
        </w:rPr>
        <w:fldChar w:fldCharType="end"/>
      </w:r>
      <w:r w:rsidRPr="00124B71">
        <w:rPr>
          <w:rFonts w:cs="Times New Roman"/>
        </w:rPr>
        <w:t>, appraisal fees</w:t>
      </w:r>
      <w:r w:rsidR="001858B5">
        <w:rPr>
          <w:rFonts w:cs="Times New Roman"/>
        </w:rPr>
        <w:fldChar w:fldCharType="begin"/>
      </w:r>
      <w:r w:rsidR="00FF74AC">
        <w:instrText xml:space="preserve"> XE "</w:instrText>
      </w:r>
      <w:r w:rsidR="00FF74AC" w:rsidRPr="000F236A">
        <w:rPr>
          <w:rFonts w:cs="Times New Roman"/>
        </w:rPr>
        <w:instrText>appraisal fees</w:instrText>
      </w:r>
      <w:r w:rsidR="00FF74AC">
        <w:instrText xml:space="preserve">" </w:instrText>
      </w:r>
      <w:r w:rsidR="001858B5">
        <w:rPr>
          <w:rFonts w:cs="Times New Roman"/>
        </w:rPr>
        <w:fldChar w:fldCharType="end"/>
      </w:r>
      <w:r w:rsidRPr="00124B71">
        <w:rPr>
          <w:rFonts w:cs="Times New Roman"/>
        </w:rPr>
        <w:t>, et cetera. These fees often total between 2% and 4% of the purchase price</w:t>
      </w:r>
      <w:r w:rsidR="00794336" w:rsidRPr="00124B71">
        <w:rPr>
          <w:rFonts w:cs="Times New Roman"/>
        </w:rPr>
        <w:t xml:space="preserve"> not including any prepaid interest points</w:t>
      </w:r>
      <w:r w:rsidR="001858B5">
        <w:rPr>
          <w:rFonts w:cs="Times New Roman"/>
        </w:rPr>
        <w:fldChar w:fldCharType="begin"/>
      </w:r>
      <w:r w:rsidR="00FF74AC">
        <w:instrText xml:space="preserve"> XE "</w:instrText>
      </w:r>
      <w:r w:rsidR="00FF74AC" w:rsidRPr="005713BB">
        <w:rPr>
          <w:rFonts w:cs="Times New Roman"/>
        </w:rPr>
        <w:instrText>prepaid interest points</w:instrText>
      </w:r>
      <w:r w:rsidR="00FF74AC">
        <w:instrText xml:space="preserve">" </w:instrText>
      </w:r>
      <w:r w:rsidR="001858B5">
        <w:rPr>
          <w:rFonts w:cs="Times New Roman"/>
        </w:rPr>
        <w:fldChar w:fldCharType="end"/>
      </w:r>
      <w:r w:rsidR="00794336" w:rsidRPr="00124B71">
        <w:rPr>
          <w:rFonts w:cs="Times New Roman"/>
        </w:rPr>
        <w:t xml:space="preserve"> on the mortgage</w:t>
      </w:r>
      <w:r w:rsidRPr="00124B71">
        <w:rPr>
          <w:rFonts w:cs="Times New Roman"/>
        </w:rPr>
        <w:t xml:space="preserve">. </w:t>
      </w:r>
      <w:r w:rsidR="00794336" w:rsidRPr="00124B71">
        <w:rPr>
          <w:rFonts w:cs="Times New Roman"/>
        </w:rPr>
        <w:t>When people go to sell residential real estate they generally go to real estate broker</w:t>
      </w:r>
      <w:r w:rsidR="001858B5">
        <w:rPr>
          <w:rFonts w:cs="Times New Roman"/>
        </w:rPr>
        <w:fldChar w:fldCharType="begin"/>
      </w:r>
      <w:r w:rsidR="00FF74AC">
        <w:instrText xml:space="preserve"> XE "</w:instrText>
      </w:r>
      <w:r w:rsidR="00FF74AC" w:rsidRPr="00F74B63">
        <w:rPr>
          <w:rFonts w:cs="Times New Roman"/>
        </w:rPr>
        <w:instrText>real estate broker</w:instrText>
      </w:r>
      <w:r w:rsidR="00FF74AC">
        <w:instrText xml:space="preserve">" </w:instrText>
      </w:r>
      <w:r w:rsidR="001858B5">
        <w:rPr>
          <w:rFonts w:cs="Times New Roman"/>
        </w:rPr>
        <w:fldChar w:fldCharType="end"/>
      </w:r>
      <w:r w:rsidR="00794336" w:rsidRPr="00124B71">
        <w:rPr>
          <w:rFonts w:cs="Times New Roman"/>
        </w:rPr>
        <w:t xml:space="preserve"> who will charge them a 6% commission. There </w:t>
      </w:r>
      <w:r w:rsidR="00786029" w:rsidRPr="00124B71">
        <w:rPr>
          <w:rFonts w:cs="Times New Roman"/>
        </w:rPr>
        <w:t>has been</w:t>
      </w:r>
      <w:r w:rsidR="00794336" w:rsidRPr="00124B71">
        <w:rPr>
          <w:rFonts w:cs="Times New Roman"/>
        </w:rPr>
        <w:t xml:space="preserve"> an increasing popularity in </w:t>
      </w:r>
      <w:r w:rsidR="00786029" w:rsidRPr="00124B71">
        <w:rPr>
          <w:rFonts w:cs="Times New Roman"/>
        </w:rPr>
        <w:t xml:space="preserve">the use of </w:t>
      </w:r>
      <w:r w:rsidR="00794336" w:rsidRPr="00124B71">
        <w:rPr>
          <w:rFonts w:cs="Times New Roman"/>
        </w:rPr>
        <w:t>discount brokers, but the National Association of Realtors</w:t>
      </w:r>
      <w:r w:rsidR="001858B5">
        <w:rPr>
          <w:rFonts w:cs="Times New Roman"/>
        </w:rPr>
        <w:fldChar w:fldCharType="begin"/>
      </w:r>
      <w:r w:rsidR="002321D5">
        <w:instrText xml:space="preserve"> XE "</w:instrText>
      </w:r>
      <w:r w:rsidR="002321D5" w:rsidRPr="00D5186C">
        <w:rPr>
          <w:rFonts w:cs="Times New Roman"/>
        </w:rPr>
        <w:instrText>National Association of Realtors</w:instrText>
      </w:r>
      <w:r w:rsidR="002321D5">
        <w:instrText xml:space="preserve">" </w:instrText>
      </w:r>
      <w:r w:rsidR="001858B5">
        <w:rPr>
          <w:rFonts w:cs="Times New Roman"/>
        </w:rPr>
        <w:fldChar w:fldCharType="end"/>
      </w:r>
      <w:r w:rsidR="00794336" w:rsidRPr="00124B71">
        <w:rPr>
          <w:rFonts w:cs="Times New Roman"/>
        </w:rPr>
        <w:t xml:space="preserve"> has done a remarkable job of keeping brokerage commissions</w:t>
      </w:r>
      <w:r w:rsidR="001858B5">
        <w:rPr>
          <w:rFonts w:cs="Times New Roman"/>
        </w:rPr>
        <w:fldChar w:fldCharType="begin"/>
      </w:r>
      <w:r w:rsidR="00FF74AC">
        <w:instrText xml:space="preserve"> XE "</w:instrText>
      </w:r>
      <w:r w:rsidR="00FF74AC" w:rsidRPr="00274607">
        <w:rPr>
          <w:rFonts w:cs="Times New Roman"/>
        </w:rPr>
        <w:instrText>brokerage commissions</w:instrText>
      </w:r>
      <w:r w:rsidR="00FF74AC">
        <w:instrText xml:space="preserve">" </w:instrText>
      </w:r>
      <w:r w:rsidR="001858B5">
        <w:rPr>
          <w:rFonts w:cs="Times New Roman"/>
        </w:rPr>
        <w:fldChar w:fldCharType="end"/>
      </w:r>
      <w:r w:rsidR="00794336" w:rsidRPr="00124B71">
        <w:rPr>
          <w:rFonts w:cs="Times New Roman"/>
        </w:rPr>
        <w:t xml:space="preserve"> at 6% despite market pressures to lower them. These transaction costs are part of every residential real estate transaction, and they take a substantial portion of the profit on properties with short holding periods, and if the holding period is not long enough, </w:t>
      </w:r>
      <w:r w:rsidR="005854E3" w:rsidRPr="00124B71">
        <w:rPr>
          <w:rFonts w:cs="Times New Roman"/>
        </w:rPr>
        <w:t>transaction fees</w:t>
      </w:r>
      <w:r w:rsidR="00794336" w:rsidRPr="00124B71">
        <w:rPr>
          <w:rFonts w:cs="Times New Roman"/>
        </w:rPr>
        <w:t xml:space="preserve"> create losses.</w:t>
      </w:r>
      <w:r w:rsidR="00BC66EF" w:rsidRPr="00124B71">
        <w:rPr>
          <w:rFonts w:cs="Times New Roman"/>
        </w:rPr>
        <w:t xml:space="preserve"> </w:t>
      </w:r>
    </w:p>
    <w:p w14:paraId="143CCB08" w14:textId="77777777" w:rsidR="00794336" w:rsidRPr="00124B71" w:rsidRDefault="00794336" w:rsidP="002F6916">
      <w:pPr>
        <w:rPr>
          <w:rFonts w:cs="Times New Roman"/>
        </w:rPr>
      </w:pPr>
      <w:r w:rsidRPr="00124B71">
        <w:rPr>
          <w:rFonts w:cs="Times New Roman"/>
        </w:rPr>
        <w:t>The negotiating abilities of buyers and sellers</w:t>
      </w:r>
      <w:r w:rsidR="005D021A" w:rsidRPr="00124B71">
        <w:rPr>
          <w:rFonts w:cs="Times New Roman"/>
        </w:rPr>
        <w:t xml:space="preserve"> and the overall market environment</w:t>
      </w:r>
      <w:r w:rsidRPr="00124B71">
        <w:rPr>
          <w:rFonts w:cs="Times New Roman"/>
        </w:rPr>
        <w:t xml:space="preserve"> greatly impact the profits from real estate. Sellers almost universally believe their properties are worth more than the market will bear. People </w:t>
      </w:r>
      <w:r w:rsidRPr="00124B71">
        <w:rPr>
          <w:rFonts w:cs="Times New Roman"/>
        </w:rPr>
        <w:lastRenderedPageBreak/>
        <w:t xml:space="preserve">become emotionally attached to their houses, and because it is very valuable to them, they assume it is just as valuable to a person who is not attached to the property. Sellers always hope to find the buyer who will appreciate their home as much as they do and </w:t>
      </w:r>
      <w:r w:rsidR="00362847" w:rsidRPr="00124B71">
        <w:rPr>
          <w:rFonts w:cs="Times New Roman"/>
        </w:rPr>
        <w:t xml:space="preserve">thereby pay top dollar for it. </w:t>
      </w:r>
      <w:r w:rsidR="008C3BDC" w:rsidRPr="00124B71">
        <w:rPr>
          <w:rFonts w:cs="Times New Roman"/>
        </w:rPr>
        <w:t>The vast majority of</w:t>
      </w:r>
      <w:r w:rsidR="00362847" w:rsidRPr="00124B71">
        <w:rPr>
          <w:rFonts w:cs="Times New Roman"/>
        </w:rPr>
        <w:t xml:space="preserve"> homeowners have unrealistic expectations of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362847" w:rsidRPr="00124B71">
        <w:rPr>
          <w:rFonts w:cs="Times New Roman"/>
        </w:rPr>
        <w:t>. The combination of emotional attachment</w:t>
      </w:r>
      <w:r w:rsidR="005854E3" w:rsidRPr="00124B71">
        <w:rPr>
          <w:rFonts w:cs="Times New Roman"/>
        </w:rPr>
        <w:t xml:space="preserve"> and</w:t>
      </w:r>
      <w:r w:rsidR="00362847" w:rsidRPr="00124B71">
        <w:rPr>
          <w:rFonts w:cs="Times New Roman"/>
        </w:rPr>
        <w:t xml:space="preserve"> unrealistic appreciation expectations cause sellers to believe their house is more valuable than it is, and when it comes time to sell, they price it accordingly.</w:t>
      </w:r>
      <w:r w:rsidR="005D021A" w:rsidRPr="00124B71">
        <w:rPr>
          <w:rFonts w:cs="Times New Roman"/>
        </w:rPr>
        <w:t xml:space="preserve"> </w:t>
      </w:r>
    </w:p>
    <w:p w14:paraId="7B45B411" w14:textId="77777777" w:rsidR="0007562D" w:rsidRPr="00124B71" w:rsidRDefault="0007562D" w:rsidP="0007562D">
      <w:pPr>
        <w:rPr>
          <w:rFonts w:cs="Times New Roman"/>
        </w:rPr>
      </w:pPr>
      <w:bookmarkStart w:id="66" w:name="_Toc194759340"/>
      <w:r w:rsidRPr="00124B71">
        <w:rPr>
          <w:rFonts w:cs="Times New Roman"/>
        </w:rPr>
        <w:t>Sellers usually are forced to discount a property from their perceived value in order to sell it,</w:t>
      </w:r>
      <w:r w:rsidR="00385DA0">
        <w:rPr>
          <w:rFonts w:cs="Times New Roman"/>
        </w:rPr>
        <w:t xml:space="preserve"> except in raging bull markets when</w:t>
      </w:r>
      <w:r w:rsidRPr="00124B71">
        <w:rPr>
          <w:rFonts w:cs="Times New Roman"/>
        </w:rPr>
        <w:t xml:space="preserve"> sellers can sometimes get more than their asking price. In bear markets, they may have to discount the property significantly in order to sell it. Bear markets are the most difficult because sellers have difficulty lowering their prices, particularly if they must sell at a loss. </w:t>
      </w:r>
      <w:r w:rsidRPr="00124B71">
        <w:rPr>
          <w:rStyle w:val="EndnoteReference"/>
          <w:rFonts w:cs="Times New Roman"/>
        </w:rPr>
        <w:endnoteReference w:id="58"/>
      </w:r>
      <w:r w:rsidRPr="00124B71">
        <w:rPr>
          <w:rFonts w:cs="Times New Roman"/>
        </w:rPr>
        <w:t xml:space="preserve"> Sometimes the difficulty in lowering price is caused by the amount of debt on the property, and sometimes it is caused by seller’s emotional issues. No matter the cause, </w:t>
      </w:r>
      <w:r w:rsidR="00385DA0">
        <w:rPr>
          <w:rFonts w:cs="Times New Roman"/>
        </w:rPr>
        <w:t xml:space="preserve">the </w:t>
      </w:r>
      <w:r w:rsidRPr="00124B71">
        <w:rPr>
          <w:rFonts w:cs="Times New Roman"/>
        </w:rPr>
        <w:t>seller’s aversion to lowering asking price often results in a failure to sell the property. Since this process of discounting to sell is already reflected in the historic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rate, no further adjustment is required to account for it.</w:t>
      </w:r>
    </w:p>
    <w:p w14:paraId="3C19D8ED" w14:textId="77777777" w:rsidR="0007562D" w:rsidRPr="00124B71" w:rsidRDefault="0007562D" w:rsidP="0007562D">
      <w:pPr>
        <w:rPr>
          <w:rFonts w:cs="Times New Roman"/>
        </w:rPr>
      </w:pPr>
      <w:r w:rsidRPr="00124B71">
        <w:rPr>
          <w:rFonts w:cs="Times New Roman"/>
        </w:rPr>
        <w:t>The key variables for the calculation of the portion of investment value</w:t>
      </w:r>
      <w:r w:rsidR="001858B5">
        <w:rPr>
          <w:rFonts w:cs="Times New Roman"/>
        </w:rPr>
        <w:fldChar w:fldCharType="begin"/>
      </w:r>
      <w:r w:rsidR="00FF74AC">
        <w:instrText xml:space="preserve"> XE "</w:instrText>
      </w:r>
      <w:r w:rsidR="00FF74AC" w:rsidRPr="000E370D">
        <w:rPr>
          <w:rFonts w:cs="Times New Roman"/>
        </w:rPr>
        <w:instrText>investment value</w:instrText>
      </w:r>
      <w:r w:rsidR="00FF74AC">
        <w:instrText xml:space="preserve">" </w:instrText>
      </w:r>
      <w:r w:rsidR="001858B5">
        <w:rPr>
          <w:rFonts w:cs="Times New Roman"/>
        </w:rPr>
        <w:fldChar w:fldCharType="end"/>
      </w:r>
      <w:r w:rsidRPr="00124B71">
        <w:rPr>
          <w:rFonts w:cs="Times New Roman"/>
        </w:rPr>
        <w:t xml:space="preserve"> due to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are the rate of appreciation, the investment discount rate</w:t>
      </w:r>
      <w:r w:rsidR="001858B5">
        <w:rPr>
          <w:rFonts w:cs="Times New Roman"/>
        </w:rPr>
        <w:fldChar w:fldCharType="begin"/>
      </w:r>
      <w:r w:rsidR="00180E6F">
        <w:instrText xml:space="preserve"> XE "</w:instrText>
      </w:r>
      <w:r w:rsidR="00180E6F" w:rsidRPr="000C266E">
        <w:rPr>
          <w:rFonts w:cs="Times New Roman"/>
        </w:rPr>
        <w:instrText>discount rate</w:instrText>
      </w:r>
      <w:r w:rsidR="00180E6F">
        <w:instrText xml:space="preserve">" </w:instrText>
      </w:r>
      <w:r w:rsidR="001858B5">
        <w:rPr>
          <w:rFonts w:cs="Times New Roman"/>
        </w:rPr>
        <w:fldChar w:fldCharType="end"/>
      </w:r>
      <w:r w:rsidRPr="00124B71">
        <w:rPr>
          <w:rFonts w:cs="Times New Roman"/>
        </w:rPr>
        <w:t xml:space="preserve"> and the transaction fees. In the calculation</w:t>
      </w:r>
      <w:r>
        <w:rPr>
          <w:rFonts w:cs="Times New Roman"/>
        </w:rPr>
        <w:t>s</w:t>
      </w:r>
      <w:r w:rsidRPr="00124B71">
        <w:rPr>
          <w:rFonts w:cs="Times New Roman"/>
        </w:rPr>
        <w:t xml:space="preserve"> that follow the rate of appreciation is 4.5%, the discount rate is 8%, and transaction costs</w:t>
      </w:r>
      <w:r w:rsidR="001858B5">
        <w:rPr>
          <w:rFonts w:cs="Times New Roman"/>
        </w:rPr>
        <w:fldChar w:fldCharType="begin"/>
      </w:r>
      <w:r w:rsidR="00180E6F">
        <w:instrText xml:space="preserve"> XE "</w:instrText>
      </w:r>
      <w:r w:rsidR="00180E6F" w:rsidRPr="00C05FDB">
        <w:rPr>
          <w:rFonts w:cs="Times New Roman"/>
        </w:rPr>
        <w:instrText>transaction costs</w:instrText>
      </w:r>
      <w:r w:rsidR="00180E6F">
        <w:instrText xml:space="preserve">" </w:instrText>
      </w:r>
      <w:r w:rsidR="001858B5">
        <w:rPr>
          <w:rFonts w:cs="Times New Roman"/>
        </w:rPr>
        <w:fldChar w:fldCharType="end"/>
      </w:r>
      <w:r w:rsidRPr="00124B71">
        <w:rPr>
          <w:rFonts w:cs="Times New Roman"/>
        </w:rPr>
        <w:t xml:space="preserve"> are 2% for the purchase and 6% for the sale. There is a 20% downpayment, and the loan is assumed to be an interest only to avoid the complications of a decreasing loan balance in the calculation and isolate the appreciation premium.</w:t>
      </w:r>
    </w:p>
    <w:p w14:paraId="46A3D364" w14:textId="77777777" w:rsidR="0007562D" w:rsidRPr="00124B71" w:rsidRDefault="0007562D" w:rsidP="0007562D">
      <w:pPr>
        <w:rPr>
          <w:rFonts w:cs="Times New Roman"/>
        </w:rPr>
      </w:pPr>
      <w:r w:rsidRPr="00124B71">
        <w:rPr>
          <w:rFonts w:cs="Times New Roman"/>
        </w:rPr>
        <w:t>Due to the high transaction costs</w:t>
      </w:r>
      <w:r w:rsidR="001858B5">
        <w:rPr>
          <w:rFonts w:cs="Times New Roman"/>
        </w:rPr>
        <w:fldChar w:fldCharType="begin"/>
      </w:r>
      <w:r w:rsidR="00180E6F">
        <w:instrText xml:space="preserve"> XE "</w:instrText>
      </w:r>
      <w:r w:rsidR="00180E6F" w:rsidRPr="00C05FDB">
        <w:rPr>
          <w:rFonts w:cs="Times New Roman"/>
        </w:rPr>
        <w:instrText>transaction costs</w:instrText>
      </w:r>
      <w:r w:rsidR="00180E6F">
        <w:instrText xml:space="preserve">" </w:instrText>
      </w:r>
      <w:r w:rsidR="001858B5">
        <w:rPr>
          <w:rFonts w:cs="Times New Roman"/>
        </w:rPr>
        <w:fldChar w:fldCharType="end"/>
      </w:r>
      <w:r w:rsidRPr="00124B71">
        <w:rPr>
          <w:rFonts w:cs="Times New Roman"/>
        </w:rPr>
        <w:t>, the property does not reach breakeven until two full years of ownership. In a discounted cashflow basis, the property does not break even until after 4 full years of ownership. It is these high transaction costs that compel many with short-term housing needs to rent rather than own. Assuming an 8% discount rate</w:t>
      </w:r>
      <w:r w:rsidR="001858B5">
        <w:rPr>
          <w:rFonts w:cs="Times New Roman"/>
        </w:rPr>
        <w:fldChar w:fldCharType="begin"/>
      </w:r>
      <w:r w:rsidR="00180E6F">
        <w:instrText xml:space="preserve"> XE "</w:instrText>
      </w:r>
      <w:r w:rsidR="00180E6F" w:rsidRPr="000C266E">
        <w:rPr>
          <w:rFonts w:cs="Times New Roman"/>
        </w:rPr>
        <w:instrText>discount rate</w:instrText>
      </w:r>
      <w:r w:rsidR="00180E6F">
        <w:instrText xml:space="preserve">" </w:instrText>
      </w:r>
      <w:r w:rsidR="001858B5">
        <w:rPr>
          <w:rFonts w:cs="Times New Roman"/>
        </w:rPr>
        <w:fldChar w:fldCharType="end"/>
      </w:r>
      <w:r w:rsidRPr="00124B71">
        <w:rPr>
          <w:rFonts w:cs="Times New Roman"/>
        </w:rPr>
        <w:t xml:space="preserve"> and a term of ownership of 10 years or more, there is a premium for ownership of approximately 10%. This means the owner could pay up to 10% over the rental equivalent value</w:t>
      </w:r>
      <w:r w:rsidR="001858B5">
        <w:rPr>
          <w:rFonts w:cs="Times New Roman"/>
        </w:rPr>
        <w:fldChar w:fldCharType="begin"/>
      </w:r>
      <w:r w:rsidR="00FF74AC">
        <w:instrText xml:space="preserve"> XE "</w:instrText>
      </w:r>
      <w:r w:rsidR="00FF74AC" w:rsidRPr="002A5D8B">
        <w:rPr>
          <w:rFonts w:cs="Times New Roman"/>
        </w:rPr>
        <w:instrText>rental equivalent value</w:instrText>
      </w:r>
      <w:r w:rsidR="00FF74AC">
        <w:instrText xml:space="preserve">" </w:instrText>
      </w:r>
      <w:r w:rsidR="001858B5">
        <w:rPr>
          <w:rFonts w:cs="Times New Roman"/>
        </w:rPr>
        <w:fldChar w:fldCharType="end"/>
      </w:r>
      <w:r w:rsidRPr="00124B71">
        <w:rPr>
          <w:rFonts w:cs="Times New Roman"/>
        </w:rPr>
        <w:t xml:space="preserve"> and still obtain an 8% return on their money</w:t>
      </w:r>
      <w:r w:rsidR="007C469A">
        <w:rPr>
          <w:rFonts w:cs="Times New Roman"/>
        </w:rPr>
        <w:t>–</w:t>
      </w:r>
      <w:r w:rsidRPr="00124B71">
        <w:rPr>
          <w:rFonts w:cs="Times New Roman"/>
        </w:rPr>
        <w:t xml:space="preserve">assuming they can sell it for 10% over rental equivalent as well. </w:t>
      </w:r>
    </w:p>
    <w:p w14:paraId="15F16E42" w14:textId="77777777" w:rsidR="0007562D" w:rsidRPr="00124B71" w:rsidRDefault="0007562D" w:rsidP="0007562D">
      <w:pPr>
        <w:rPr>
          <w:rFonts w:cs="Times New Roman"/>
        </w:rPr>
      </w:pPr>
      <w:r w:rsidRPr="00124B71">
        <w:rPr>
          <w:rFonts w:cs="Times New Roman"/>
        </w:rPr>
        <w:t>There is a tendency in the general public to assume the leverage</w:t>
      </w:r>
      <w:r w:rsidR="001858B5">
        <w:rPr>
          <w:rFonts w:cs="Times New Roman"/>
        </w:rPr>
        <w:fldChar w:fldCharType="begin"/>
      </w:r>
      <w:r w:rsidR="00FF74AC">
        <w:instrText xml:space="preserve"> XE "</w:instrText>
      </w:r>
      <w:r w:rsidR="00FF74AC" w:rsidRPr="00070786">
        <w:rPr>
          <w:rFonts w:cs="Times New Roman"/>
        </w:rPr>
        <w:instrText>leverage</w:instrText>
      </w:r>
      <w:r w:rsidR="00FF74AC">
        <w:instrText xml:space="preserve">" </w:instrText>
      </w:r>
      <w:r w:rsidR="001858B5">
        <w:rPr>
          <w:rFonts w:cs="Times New Roman"/>
        </w:rPr>
        <w:fldChar w:fldCharType="end"/>
      </w:r>
      <w:r w:rsidRPr="00124B71">
        <w:rPr>
          <w:rFonts w:cs="Times New Roman"/>
        </w:rPr>
        <w:t xml:space="preserve"> of real estate provides excessive returns. It does magnify the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but since the historic and sustainable rate of appreciation is a low 4.5%, the leverage is applied to a small growth rate resulting in less than stellar investment returns.  In the previous examples, if the downpayment is lowered to 10%, the investment premium</w:t>
      </w:r>
      <w:r w:rsidR="001858B5">
        <w:rPr>
          <w:rFonts w:cs="Times New Roman"/>
        </w:rPr>
        <w:fldChar w:fldCharType="begin"/>
      </w:r>
      <w:r w:rsidR="00180E6F">
        <w:instrText xml:space="preserve"> XE "</w:instrText>
      </w:r>
      <w:r w:rsidR="00180E6F" w:rsidRPr="00D32E3D">
        <w:rPr>
          <w:rFonts w:cs="Times New Roman"/>
        </w:rPr>
        <w:instrText>investment premium</w:instrText>
      </w:r>
      <w:r w:rsidR="00180E6F">
        <w:instrText xml:space="preserve">" </w:instrText>
      </w:r>
      <w:r w:rsidR="001858B5">
        <w:rPr>
          <w:rFonts w:cs="Times New Roman"/>
        </w:rPr>
        <w:fldChar w:fldCharType="end"/>
      </w:r>
      <w:r w:rsidRPr="00124B71">
        <w:rPr>
          <w:rFonts w:cs="Times New Roman"/>
        </w:rPr>
        <w:t xml:space="preserve"> at an 8% discount rate</w:t>
      </w:r>
      <w:r w:rsidR="001858B5">
        <w:rPr>
          <w:rFonts w:cs="Times New Roman"/>
        </w:rPr>
        <w:fldChar w:fldCharType="begin"/>
      </w:r>
      <w:r w:rsidR="00180E6F">
        <w:instrText xml:space="preserve"> XE "</w:instrText>
      </w:r>
      <w:r w:rsidR="00180E6F" w:rsidRPr="000C266E">
        <w:rPr>
          <w:rFonts w:cs="Times New Roman"/>
        </w:rPr>
        <w:instrText>discount rate</w:instrText>
      </w:r>
      <w:r w:rsidR="00180E6F">
        <w:instrText xml:space="preserve">" </w:instrText>
      </w:r>
      <w:r w:rsidR="001858B5">
        <w:rPr>
          <w:rFonts w:cs="Times New Roman"/>
        </w:rPr>
        <w:fldChar w:fldCharType="end"/>
      </w:r>
      <w:r w:rsidRPr="00124B71">
        <w:rPr>
          <w:rFonts w:cs="Times New Roman"/>
        </w:rPr>
        <w:t xml:space="preserve"> rises to 15%, and with a 12% discount rate, there are some ownership periods justifying a premium. If the downpayment is dropped to 1%, the ownership premium rises as high at 20%. At its most extreme with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any positive return becomes infinite because the investor has no cash investment. Ownership premiums of 10% to 20% sound large, but in coastal markets during the Great Housing Bubble, </w:t>
      </w:r>
      <w:r w:rsidRPr="00124B71">
        <w:rPr>
          <w:rFonts w:cs="Times New Roman"/>
        </w:rPr>
        <w:lastRenderedPageBreak/>
        <w:t xml:space="preserve">buyers were paying ownership premiums in excess of 100%. There is no fundamental valuation justification for these price premiums, only rationalizations and hopes that a greater fool will appear and pay continually higher prices, or in the case of 100% financing speculation, that losses can be passed on to a lender if market prices decline. </w:t>
      </w:r>
    </w:p>
    <w:p w14:paraId="6A1FA607" w14:textId="6212FE94" w:rsidR="003F1F2F" w:rsidRDefault="00FF1C97" w:rsidP="00FF1C97">
      <w:pPr>
        <w:pStyle w:val="Caption"/>
      </w:pPr>
      <w:bookmarkStart w:id="67" w:name="_Toc238867429"/>
      <w:r>
        <w:t xml:space="preserve">Table </w:t>
      </w:r>
      <w:fldSimple w:instr=" SEQ Table \* ARABIC ">
        <w:r w:rsidR="00493733">
          <w:rPr>
            <w:noProof/>
          </w:rPr>
          <w:t>3</w:t>
        </w:r>
      </w:fldSimple>
      <w:r w:rsidR="00317936">
        <w:t xml:space="preserve">: </w:t>
      </w:r>
      <w:r>
        <w:t>Appreciation Premium and Holding Period</w:t>
      </w:r>
      <w:r w:rsidR="00AE6074">
        <w:t xml:space="preserve"> using an 8% Discount Rate</w:t>
      </w:r>
      <w:bookmarkEnd w:id="66"/>
      <w:bookmarkEnd w:id="67"/>
    </w:p>
    <w:tbl>
      <w:tblPr>
        <w:tblW w:w="3515" w:type="dxa"/>
        <w:tblInd w:w="108" w:type="dxa"/>
        <w:tblLayout w:type="fixed"/>
        <w:tblLook w:val="04A0" w:firstRow="1" w:lastRow="0" w:firstColumn="1" w:lastColumn="0" w:noHBand="0" w:noVBand="1"/>
      </w:tblPr>
      <w:tblGrid>
        <w:gridCol w:w="900"/>
        <w:gridCol w:w="2615"/>
      </w:tblGrid>
      <w:tr w:rsidR="00FF1C97" w:rsidRPr="0053499C" w14:paraId="4FB0615F" w14:textId="77777777" w:rsidTr="00AE4FBD">
        <w:trPr>
          <w:trHeight w:hRule="exact" w:val="173"/>
        </w:trPr>
        <w:tc>
          <w:tcPr>
            <w:tcW w:w="900" w:type="dxa"/>
            <w:tcBorders>
              <w:top w:val="nil"/>
              <w:left w:val="nil"/>
              <w:bottom w:val="nil"/>
              <w:right w:val="nil"/>
            </w:tcBorders>
            <w:noWrap/>
            <w:vAlign w:val="bottom"/>
            <w:hideMark/>
          </w:tcPr>
          <w:p w14:paraId="5B31426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$200,000 </w:t>
            </w:r>
          </w:p>
        </w:tc>
        <w:tc>
          <w:tcPr>
            <w:tcW w:w="2615" w:type="dxa"/>
            <w:tcBorders>
              <w:top w:val="nil"/>
              <w:left w:val="nil"/>
              <w:bottom w:val="nil"/>
              <w:right w:val="nil"/>
            </w:tcBorders>
            <w:noWrap/>
            <w:vAlign w:val="bottom"/>
            <w:hideMark/>
          </w:tcPr>
          <w:p w14:paraId="0BCCED18" w14:textId="77777777" w:rsidR="00FF1C97" w:rsidRPr="0053499C" w:rsidRDefault="00FF1C97" w:rsidP="00FF1C97">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House Price</w:t>
            </w:r>
          </w:p>
        </w:tc>
      </w:tr>
      <w:tr w:rsidR="00FF1C97" w:rsidRPr="0053499C" w14:paraId="4BB04B3C" w14:textId="77777777" w:rsidTr="00AE4FBD">
        <w:trPr>
          <w:trHeight w:hRule="exact" w:val="173"/>
        </w:trPr>
        <w:tc>
          <w:tcPr>
            <w:tcW w:w="900" w:type="dxa"/>
            <w:tcBorders>
              <w:top w:val="nil"/>
              <w:left w:val="nil"/>
              <w:bottom w:val="nil"/>
              <w:right w:val="nil"/>
            </w:tcBorders>
            <w:noWrap/>
            <w:vAlign w:val="bottom"/>
            <w:hideMark/>
          </w:tcPr>
          <w:p w14:paraId="3C94676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$40,000 </w:t>
            </w:r>
          </w:p>
        </w:tc>
        <w:tc>
          <w:tcPr>
            <w:tcW w:w="2615" w:type="dxa"/>
            <w:tcBorders>
              <w:top w:val="nil"/>
              <w:left w:val="nil"/>
              <w:bottom w:val="nil"/>
              <w:right w:val="nil"/>
            </w:tcBorders>
            <w:noWrap/>
            <w:vAlign w:val="bottom"/>
            <w:hideMark/>
          </w:tcPr>
          <w:p w14:paraId="2450D2B6" w14:textId="77777777" w:rsidR="00FF1C97" w:rsidRPr="0053499C" w:rsidRDefault="00FF1C97" w:rsidP="00FF1C97">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Downpayment</w:t>
            </w:r>
          </w:p>
        </w:tc>
      </w:tr>
      <w:tr w:rsidR="00FF1C97" w:rsidRPr="0053499C" w14:paraId="2C1D4241" w14:textId="77777777" w:rsidTr="00AE4FBD">
        <w:trPr>
          <w:trHeight w:hRule="exact" w:val="173"/>
        </w:trPr>
        <w:tc>
          <w:tcPr>
            <w:tcW w:w="900" w:type="dxa"/>
            <w:tcBorders>
              <w:top w:val="nil"/>
              <w:left w:val="nil"/>
              <w:bottom w:val="nil"/>
              <w:right w:val="nil"/>
            </w:tcBorders>
            <w:noWrap/>
            <w:vAlign w:val="bottom"/>
            <w:hideMark/>
          </w:tcPr>
          <w:p w14:paraId="454322B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$4,000 </w:t>
            </w:r>
          </w:p>
        </w:tc>
        <w:tc>
          <w:tcPr>
            <w:tcW w:w="2615" w:type="dxa"/>
            <w:tcBorders>
              <w:top w:val="nil"/>
              <w:left w:val="nil"/>
              <w:bottom w:val="nil"/>
              <w:right w:val="nil"/>
            </w:tcBorders>
            <w:noWrap/>
            <w:vAlign w:val="bottom"/>
            <w:hideMark/>
          </w:tcPr>
          <w:p w14:paraId="3B970811" w14:textId="77777777" w:rsidR="00FF1C97" w:rsidRPr="0053499C" w:rsidRDefault="00FF1C97" w:rsidP="00FF1C97">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Closing Costs at 2%</w:t>
            </w:r>
          </w:p>
        </w:tc>
      </w:tr>
      <w:tr w:rsidR="00FF1C97" w:rsidRPr="0053499C" w14:paraId="0F31B1D9" w14:textId="77777777" w:rsidTr="00AE4FBD">
        <w:trPr>
          <w:trHeight w:hRule="exact" w:val="173"/>
        </w:trPr>
        <w:tc>
          <w:tcPr>
            <w:tcW w:w="900" w:type="dxa"/>
            <w:tcBorders>
              <w:top w:val="nil"/>
              <w:left w:val="nil"/>
              <w:bottom w:val="nil"/>
              <w:right w:val="nil"/>
            </w:tcBorders>
            <w:noWrap/>
            <w:vAlign w:val="bottom"/>
            <w:hideMark/>
          </w:tcPr>
          <w:p w14:paraId="7983756D"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4.5%</w:t>
            </w:r>
          </w:p>
        </w:tc>
        <w:tc>
          <w:tcPr>
            <w:tcW w:w="2615" w:type="dxa"/>
            <w:tcBorders>
              <w:top w:val="nil"/>
              <w:left w:val="nil"/>
              <w:bottom w:val="nil"/>
              <w:right w:val="nil"/>
            </w:tcBorders>
            <w:noWrap/>
            <w:vAlign w:val="bottom"/>
            <w:hideMark/>
          </w:tcPr>
          <w:p w14:paraId="433CD12E" w14:textId="77777777" w:rsidR="00FF1C97" w:rsidRPr="0053499C" w:rsidRDefault="00FF1C97" w:rsidP="00FF1C97">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Rate of Appreciation</w:t>
            </w:r>
          </w:p>
        </w:tc>
      </w:tr>
      <w:tr w:rsidR="00FF1C97" w:rsidRPr="0053499C" w14:paraId="066D0E64" w14:textId="77777777" w:rsidTr="00AE4FBD">
        <w:trPr>
          <w:trHeight w:hRule="exact" w:val="173"/>
        </w:trPr>
        <w:tc>
          <w:tcPr>
            <w:tcW w:w="900" w:type="dxa"/>
            <w:tcBorders>
              <w:top w:val="nil"/>
              <w:left w:val="nil"/>
              <w:bottom w:val="nil"/>
              <w:right w:val="nil"/>
            </w:tcBorders>
            <w:noWrap/>
            <w:vAlign w:val="bottom"/>
            <w:hideMark/>
          </w:tcPr>
          <w:p w14:paraId="00808709"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8.0%</w:t>
            </w:r>
          </w:p>
        </w:tc>
        <w:tc>
          <w:tcPr>
            <w:tcW w:w="2615" w:type="dxa"/>
            <w:tcBorders>
              <w:top w:val="nil"/>
              <w:left w:val="nil"/>
              <w:bottom w:val="nil"/>
              <w:right w:val="nil"/>
            </w:tcBorders>
            <w:noWrap/>
            <w:vAlign w:val="bottom"/>
            <w:hideMark/>
          </w:tcPr>
          <w:p w14:paraId="5DC91665" w14:textId="77777777" w:rsidR="00FF1C97" w:rsidRPr="0053499C" w:rsidRDefault="00FF1C97" w:rsidP="00FF1C97">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Discount Rate</w:t>
            </w:r>
          </w:p>
        </w:tc>
      </w:tr>
    </w:tbl>
    <w:p w14:paraId="20CDCE46" w14:textId="77777777" w:rsidR="00AE4FBD" w:rsidRPr="00124B71" w:rsidRDefault="00AE4FBD">
      <w:pPr>
        <w:rPr>
          <w:rFonts w:cs="Times New Roman"/>
        </w:rPr>
      </w:pPr>
    </w:p>
    <w:tbl>
      <w:tblPr>
        <w:tblW w:w="0" w:type="auto"/>
        <w:tblInd w:w="108" w:type="dxa"/>
        <w:tblLook w:val="04A0" w:firstRow="1" w:lastRow="0" w:firstColumn="1" w:lastColumn="0" w:noHBand="0" w:noVBand="1"/>
      </w:tblPr>
      <w:tblGrid>
        <w:gridCol w:w="553"/>
        <w:gridCol w:w="943"/>
        <w:gridCol w:w="847"/>
        <w:gridCol w:w="945"/>
        <w:gridCol w:w="946"/>
        <w:gridCol w:w="982"/>
        <w:gridCol w:w="983"/>
        <w:gridCol w:w="677"/>
      </w:tblGrid>
      <w:tr w:rsidR="00FF1C97" w:rsidRPr="0053499C" w14:paraId="62346F89" w14:textId="77777777" w:rsidTr="00AE4FBD">
        <w:trPr>
          <w:gridAfter w:val="4"/>
          <w:trHeight w:hRule="exact" w:val="173"/>
        </w:trPr>
        <w:tc>
          <w:tcPr>
            <w:tcW w:w="0" w:type="auto"/>
            <w:tcBorders>
              <w:top w:val="nil"/>
              <w:left w:val="nil"/>
              <w:bottom w:val="nil"/>
              <w:right w:val="nil"/>
            </w:tcBorders>
            <w:noWrap/>
            <w:vAlign w:val="bottom"/>
            <w:hideMark/>
          </w:tcPr>
          <w:p w14:paraId="126F12E6" w14:textId="77777777" w:rsidR="00FF1C97" w:rsidRPr="0053499C" w:rsidRDefault="00FF1C97" w:rsidP="00FF1C97">
            <w:pPr>
              <w:keepNext/>
              <w:keepLines/>
              <w:ind w:firstLine="0"/>
              <w:jc w:val="right"/>
              <w:rPr>
                <w:rFonts w:eastAsia="Times New Roman" w:cs="Times New Roman"/>
                <w:color w:val="000000"/>
                <w:sz w:val="18"/>
                <w:szCs w:val="18"/>
                <w:lang w:bidi="ar-SA"/>
              </w:rPr>
            </w:pPr>
          </w:p>
        </w:tc>
        <w:tc>
          <w:tcPr>
            <w:tcW w:w="0" w:type="auto"/>
            <w:gridSpan w:val="3"/>
            <w:tcBorders>
              <w:top w:val="nil"/>
              <w:left w:val="nil"/>
              <w:bottom w:val="nil"/>
              <w:right w:val="nil"/>
            </w:tcBorders>
            <w:noWrap/>
            <w:vAlign w:val="bottom"/>
            <w:hideMark/>
          </w:tcPr>
          <w:p w14:paraId="4A34AF43" w14:textId="77777777" w:rsidR="00FF1C97" w:rsidRPr="0053499C" w:rsidRDefault="00FF1C97" w:rsidP="00FF1C97">
            <w:pPr>
              <w:keepNext/>
              <w:keepLines/>
              <w:ind w:firstLine="0"/>
              <w:rPr>
                <w:rFonts w:eastAsia="Times New Roman" w:cs="Times New Roman"/>
                <w:color w:val="000000"/>
                <w:sz w:val="18"/>
                <w:szCs w:val="18"/>
                <w:lang w:bidi="ar-SA"/>
              </w:rPr>
            </w:pPr>
          </w:p>
        </w:tc>
      </w:tr>
      <w:tr w:rsidR="00FF1C97" w:rsidRPr="0053499C" w14:paraId="3E665DA5" w14:textId="77777777" w:rsidTr="00131E40">
        <w:tc>
          <w:tcPr>
            <w:tcW w:w="0" w:type="auto"/>
            <w:tcBorders>
              <w:top w:val="single" w:sz="4" w:space="0" w:color="auto"/>
              <w:left w:val="nil"/>
              <w:bottom w:val="double" w:sz="4" w:space="0" w:color="auto"/>
              <w:right w:val="nil"/>
            </w:tcBorders>
            <w:vAlign w:val="bottom"/>
            <w:hideMark/>
          </w:tcPr>
          <w:p w14:paraId="10A7BE94"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Year</w:t>
            </w:r>
          </w:p>
        </w:tc>
        <w:tc>
          <w:tcPr>
            <w:tcW w:w="0" w:type="auto"/>
            <w:tcBorders>
              <w:top w:val="single" w:sz="4" w:space="0" w:color="auto"/>
              <w:left w:val="nil"/>
              <w:bottom w:val="double" w:sz="4" w:space="0" w:color="auto"/>
              <w:right w:val="nil"/>
            </w:tcBorders>
            <w:vAlign w:val="bottom"/>
            <w:hideMark/>
          </w:tcPr>
          <w:p w14:paraId="0E46E526"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Resale Value</w:t>
            </w:r>
          </w:p>
        </w:tc>
        <w:tc>
          <w:tcPr>
            <w:tcW w:w="0" w:type="auto"/>
            <w:tcBorders>
              <w:top w:val="single" w:sz="4" w:space="0" w:color="auto"/>
              <w:left w:val="nil"/>
              <w:bottom w:val="double" w:sz="4" w:space="0" w:color="auto"/>
              <w:right w:val="nil"/>
            </w:tcBorders>
            <w:vAlign w:val="bottom"/>
            <w:hideMark/>
          </w:tcPr>
          <w:p w14:paraId="50D18AD1"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Selling Fees at 6%</w:t>
            </w:r>
          </w:p>
        </w:tc>
        <w:tc>
          <w:tcPr>
            <w:tcW w:w="0" w:type="auto"/>
            <w:tcBorders>
              <w:top w:val="single" w:sz="4" w:space="0" w:color="auto"/>
              <w:left w:val="nil"/>
              <w:bottom w:val="double" w:sz="4" w:space="0" w:color="auto"/>
              <w:right w:val="nil"/>
            </w:tcBorders>
            <w:vAlign w:val="bottom"/>
            <w:hideMark/>
          </w:tcPr>
          <w:p w14:paraId="11C74D9E"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Revenue From Sale</w:t>
            </w:r>
          </w:p>
        </w:tc>
        <w:tc>
          <w:tcPr>
            <w:tcW w:w="0" w:type="auto"/>
            <w:tcBorders>
              <w:top w:val="single" w:sz="4" w:space="0" w:color="auto"/>
              <w:left w:val="nil"/>
              <w:bottom w:val="double" w:sz="4" w:space="0" w:color="auto"/>
              <w:right w:val="nil"/>
            </w:tcBorders>
            <w:vAlign w:val="bottom"/>
            <w:hideMark/>
          </w:tcPr>
          <w:p w14:paraId="25F96A23" w14:textId="77777777" w:rsidR="00FF1C97" w:rsidRPr="0053499C" w:rsidRDefault="006B7BAE" w:rsidP="006B7BAE">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Seller </w:t>
            </w:r>
            <w:r w:rsidR="00FF1C97" w:rsidRPr="0053499C">
              <w:rPr>
                <w:rFonts w:eastAsia="Times New Roman" w:cs="Times New Roman"/>
                <w:color w:val="000000"/>
                <w:sz w:val="18"/>
                <w:szCs w:val="18"/>
                <w:lang w:bidi="ar-SA"/>
              </w:rPr>
              <w:t>Cash at Closing</w:t>
            </w:r>
          </w:p>
        </w:tc>
        <w:tc>
          <w:tcPr>
            <w:tcW w:w="0" w:type="auto"/>
            <w:tcBorders>
              <w:top w:val="single" w:sz="4" w:space="0" w:color="auto"/>
              <w:left w:val="nil"/>
              <w:bottom w:val="double" w:sz="4" w:space="0" w:color="auto"/>
              <w:right w:val="nil"/>
            </w:tcBorders>
            <w:vAlign w:val="bottom"/>
            <w:hideMark/>
          </w:tcPr>
          <w:p w14:paraId="6C697BFB"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Profit or (Loss)</w:t>
            </w:r>
          </w:p>
        </w:tc>
        <w:tc>
          <w:tcPr>
            <w:tcW w:w="0" w:type="auto"/>
            <w:tcBorders>
              <w:top w:val="single" w:sz="4" w:space="0" w:color="auto"/>
              <w:left w:val="nil"/>
              <w:bottom w:val="double" w:sz="4" w:space="0" w:color="auto"/>
              <w:right w:val="nil"/>
            </w:tcBorders>
            <w:vAlign w:val="bottom"/>
            <w:hideMark/>
          </w:tcPr>
          <w:p w14:paraId="25C64006"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Net Present Value</w:t>
            </w:r>
          </w:p>
        </w:tc>
        <w:tc>
          <w:tcPr>
            <w:tcW w:w="0" w:type="auto"/>
            <w:tcBorders>
              <w:top w:val="single" w:sz="4" w:space="0" w:color="auto"/>
              <w:left w:val="nil"/>
              <w:bottom w:val="double" w:sz="4" w:space="0" w:color="auto"/>
              <w:right w:val="nil"/>
            </w:tcBorders>
            <w:vAlign w:val="bottom"/>
            <w:hideMark/>
          </w:tcPr>
          <w:p w14:paraId="4192F8FA"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 of Home Value</w:t>
            </w:r>
          </w:p>
        </w:tc>
      </w:tr>
      <w:tr w:rsidR="00FF1C97" w:rsidRPr="0053499C" w14:paraId="74B1E427" w14:textId="77777777" w:rsidTr="00131E40">
        <w:trPr>
          <w:trHeight w:hRule="exact" w:val="288"/>
        </w:trPr>
        <w:tc>
          <w:tcPr>
            <w:tcW w:w="0" w:type="auto"/>
            <w:tcBorders>
              <w:top w:val="double" w:sz="4" w:space="0" w:color="auto"/>
              <w:left w:val="nil"/>
              <w:bottom w:val="nil"/>
              <w:right w:val="nil"/>
            </w:tcBorders>
            <w:noWrap/>
            <w:vAlign w:val="bottom"/>
            <w:hideMark/>
          </w:tcPr>
          <w:p w14:paraId="78236013"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w:t>
            </w:r>
          </w:p>
        </w:tc>
        <w:tc>
          <w:tcPr>
            <w:tcW w:w="0" w:type="auto"/>
            <w:tcBorders>
              <w:top w:val="double" w:sz="4" w:space="0" w:color="auto"/>
              <w:left w:val="nil"/>
              <w:bottom w:val="nil"/>
              <w:right w:val="nil"/>
            </w:tcBorders>
            <w:noWrap/>
            <w:vAlign w:val="bottom"/>
            <w:hideMark/>
          </w:tcPr>
          <w:p w14:paraId="0029B0A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$200,000 </w:t>
            </w:r>
          </w:p>
        </w:tc>
        <w:tc>
          <w:tcPr>
            <w:tcW w:w="0" w:type="auto"/>
            <w:tcBorders>
              <w:top w:val="double" w:sz="4" w:space="0" w:color="auto"/>
              <w:left w:val="nil"/>
              <w:bottom w:val="nil"/>
              <w:right w:val="nil"/>
            </w:tcBorders>
            <w:noWrap/>
            <w:vAlign w:val="bottom"/>
            <w:hideMark/>
          </w:tcPr>
          <w:p w14:paraId="5A6A4118"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$12,000 </w:t>
            </w:r>
          </w:p>
        </w:tc>
        <w:tc>
          <w:tcPr>
            <w:tcW w:w="0" w:type="auto"/>
            <w:tcBorders>
              <w:top w:val="double" w:sz="4" w:space="0" w:color="auto"/>
              <w:left w:val="nil"/>
              <w:bottom w:val="nil"/>
              <w:right w:val="nil"/>
            </w:tcBorders>
            <w:noWrap/>
            <w:vAlign w:val="bottom"/>
            <w:hideMark/>
          </w:tcPr>
          <w:p w14:paraId="3950146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$188,000 </w:t>
            </w:r>
          </w:p>
        </w:tc>
        <w:tc>
          <w:tcPr>
            <w:tcW w:w="0" w:type="auto"/>
            <w:tcBorders>
              <w:top w:val="double" w:sz="4" w:space="0" w:color="auto"/>
              <w:left w:val="nil"/>
              <w:bottom w:val="nil"/>
              <w:right w:val="nil"/>
            </w:tcBorders>
            <w:noWrap/>
            <w:vAlign w:val="bottom"/>
            <w:hideMark/>
          </w:tcPr>
          <w:p w14:paraId="502C989A"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$28,000 </w:t>
            </w:r>
          </w:p>
        </w:tc>
        <w:tc>
          <w:tcPr>
            <w:tcW w:w="0" w:type="auto"/>
            <w:tcBorders>
              <w:top w:val="double" w:sz="4" w:space="0" w:color="auto"/>
              <w:left w:val="nil"/>
              <w:bottom w:val="nil"/>
              <w:right w:val="nil"/>
            </w:tcBorders>
            <w:noWrap/>
            <w:vAlign w:val="bottom"/>
            <w:hideMark/>
          </w:tcPr>
          <w:p w14:paraId="59E7213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($16,000)</w:t>
            </w:r>
          </w:p>
        </w:tc>
        <w:tc>
          <w:tcPr>
            <w:tcW w:w="0" w:type="auto"/>
            <w:tcBorders>
              <w:top w:val="double" w:sz="4" w:space="0" w:color="auto"/>
              <w:left w:val="nil"/>
              <w:bottom w:val="nil"/>
              <w:right w:val="nil"/>
            </w:tcBorders>
            <w:noWrap/>
            <w:vAlign w:val="bottom"/>
            <w:hideMark/>
          </w:tcPr>
          <w:p w14:paraId="12F2099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($16,000)</w:t>
            </w:r>
          </w:p>
        </w:tc>
        <w:tc>
          <w:tcPr>
            <w:tcW w:w="0" w:type="auto"/>
            <w:tcBorders>
              <w:top w:val="double" w:sz="4" w:space="0" w:color="auto"/>
              <w:left w:val="nil"/>
              <w:bottom w:val="nil"/>
              <w:right w:val="nil"/>
            </w:tcBorders>
            <w:noWrap/>
            <w:vAlign w:val="bottom"/>
            <w:hideMark/>
          </w:tcPr>
          <w:p w14:paraId="6A66615C"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-8.0%</w:t>
            </w:r>
          </w:p>
        </w:tc>
      </w:tr>
      <w:tr w:rsidR="00FF1C97" w:rsidRPr="0053499C" w14:paraId="4EE72630" w14:textId="77777777" w:rsidTr="00AE4FBD">
        <w:trPr>
          <w:trHeight w:hRule="exact" w:val="173"/>
        </w:trPr>
        <w:tc>
          <w:tcPr>
            <w:tcW w:w="0" w:type="auto"/>
            <w:tcBorders>
              <w:top w:val="nil"/>
              <w:left w:val="nil"/>
              <w:bottom w:val="nil"/>
              <w:right w:val="nil"/>
            </w:tcBorders>
            <w:noWrap/>
            <w:vAlign w:val="bottom"/>
            <w:hideMark/>
          </w:tcPr>
          <w:p w14:paraId="678AB549"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w:t>
            </w:r>
          </w:p>
        </w:tc>
        <w:tc>
          <w:tcPr>
            <w:tcW w:w="0" w:type="auto"/>
            <w:tcBorders>
              <w:top w:val="nil"/>
              <w:left w:val="nil"/>
              <w:bottom w:val="nil"/>
              <w:right w:val="nil"/>
            </w:tcBorders>
            <w:noWrap/>
            <w:vAlign w:val="bottom"/>
            <w:hideMark/>
          </w:tcPr>
          <w:p w14:paraId="4F599ACB"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$209,000 </w:t>
            </w:r>
          </w:p>
        </w:tc>
        <w:tc>
          <w:tcPr>
            <w:tcW w:w="0" w:type="auto"/>
            <w:tcBorders>
              <w:top w:val="nil"/>
              <w:left w:val="nil"/>
              <w:bottom w:val="nil"/>
              <w:right w:val="nil"/>
            </w:tcBorders>
            <w:noWrap/>
            <w:vAlign w:val="bottom"/>
            <w:hideMark/>
          </w:tcPr>
          <w:p w14:paraId="3B943F7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$12,540 </w:t>
            </w:r>
          </w:p>
        </w:tc>
        <w:tc>
          <w:tcPr>
            <w:tcW w:w="0" w:type="auto"/>
            <w:tcBorders>
              <w:top w:val="nil"/>
              <w:left w:val="nil"/>
              <w:bottom w:val="nil"/>
              <w:right w:val="nil"/>
            </w:tcBorders>
            <w:noWrap/>
            <w:vAlign w:val="bottom"/>
            <w:hideMark/>
          </w:tcPr>
          <w:p w14:paraId="4153199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$196,460 </w:t>
            </w:r>
          </w:p>
        </w:tc>
        <w:tc>
          <w:tcPr>
            <w:tcW w:w="0" w:type="auto"/>
            <w:tcBorders>
              <w:top w:val="nil"/>
              <w:left w:val="nil"/>
              <w:bottom w:val="nil"/>
              <w:right w:val="nil"/>
            </w:tcBorders>
            <w:noWrap/>
            <w:vAlign w:val="bottom"/>
            <w:hideMark/>
          </w:tcPr>
          <w:p w14:paraId="2C095E2B"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$36,460 </w:t>
            </w:r>
          </w:p>
        </w:tc>
        <w:tc>
          <w:tcPr>
            <w:tcW w:w="0" w:type="auto"/>
            <w:tcBorders>
              <w:top w:val="nil"/>
              <w:left w:val="nil"/>
              <w:bottom w:val="nil"/>
              <w:right w:val="nil"/>
            </w:tcBorders>
            <w:noWrap/>
            <w:vAlign w:val="bottom"/>
            <w:hideMark/>
          </w:tcPr>
          <w:p w14:paraId="7E6E66D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($7,540)</w:t>
            </w:r>
          </w:p>
        </w:tc>
        <w:tc>
          <w:tcPr>
            <w:tcW w:w="0" w:type="auto"/>
            <w:tcBorders>
              <w:top w:val="nil"/>
              <w:left w:val="nil"/>
              <w:bottom w:val="nil"/>
              <w:right w:val="nil"/>
            </w:tcBorders>
            <w:noWrap/>
            <w:vAlign w:val="bottom"/>
            <w:hideMark/>
          </w:tcPr>
          <w:p w14:paraId="6C6B5FE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($9,482)</w:t>
            </w:r>
          </w:p>
        </w:tc>
        <w:tc>
          <w:tcPr>
            <w:tcW w:w="0" w:type="auto"/>
            <w:tcBorders>
              <w:top w:val="nil"/>
              <w:left w:val="nil"/>
              <w:bottom w:val="nil"/>
              <w:right w:val="nil"/>
            </w:tcBorders>
            <w:noWrap/>
            <w:vAlign w:val="bottom"/>
            <w:hideMark/>
          </w:tcPr>
          <w:p w14:paraId="6E4B040C"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-4.7%</w:t>
            </w:r>
          </w:p>
        </w:tc>
      </w:tr>
      <w:tr w:rsidR="00FF1C97" w:rsidRPr="0053499C" w14:paraId="0FB21972" w14:textId="77777777" w:rsidTr="00AE4FBD">
        <w:trPr>
          <w:trHeight w:hRule="exact" w:val="173"/>
        </w:trPr>
        <w:tc>
          <w:tcPr>
            <w:tcW w:w="0" w:type="auto"/>
            <w:tcBorders>
              <w:top w:val="nil"/>
              <w:left w:val="nil"/>
              <w:bottom w:val="nil"/>
              <w:right w:val="nil"/>
            </w:tcBorders>
            <w:noWrap/>
            <w:vAlign w:val="bottom"/>
            <w:hideMark/>
          </w:tcPr>
          <w:p w14:paraId="14B0D396"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w:t>
            </w:r>
          </w:p>
        </w:tc>
        <w:tc>
          <w:tcPr>
            <w:tcW w:w="0" w:type="auto"/>
            <w:tcBorders>
              <w:top w:val="nil"/>
              <w:left w:val="nil"/>
              <w:bottom w:val="nil"/>
              <w:right w:val="nil"/>
            </w:tcBorders>
            <w:noWrap/>
            <w:vAlign w:val="bottom"/>
            <w:hideMark/>
          </w:tcPr>
          <w:p w14:paraId="5EB1D44B"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$218,405 </w:t>
            </w:r>
          </w:p>
        </w:tc>
        <w:tc>
          <w:tcPr>
            <w:tcW w:w="0" w:type="auto"/>
            <w:tcBorders>
              <w:top w:val="nil"/>
              <w:left w:val="nil"/>
              <w:bottom w:val="nil"/>
              <w:right w:val="nil"/>
            </w:tcBorders>
            <w:noWrap/>
            <w:vAlign w:val="bottom"/>
            <w:hideMark/>
          </w:tcPr>
          <w:p w14:paraId="672A20ED"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$13,104 </w:t>
            </w:r>
          </w:p>
        </w:tc>
        <w:tc>
          <w:tcPr>
            <w:tcW w:w="0" w:type="auto"/>
            <w:tcBorders>
              <w:top w:val="nil"/>
              <w:left w:val="nil"/>
              <w:bottom w:val="nil"/>
              <w:right w:val="nil"/>
            </w:tcBorders>
            <w:noWrap/>
            <w:vAlign w:val="bottom"/>
            <w:hideMark/>
          </w:tcPr>
          <w:p w14:paraId="563E229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$205,301 </w:t>
            </w:r>
          </w:p>
        </w:tc>
        <w:tc>
          <w:tcPr>
            <w:tcW w:w="0" w:type="auto"/>
            <w:tcBorders>
              <w:top w:val="nil"/>
              <w:left w:val="nil"/>
              <w:bottom w:val="nil"/>
              <w:right w:val="nil"/>
            </w:tcBorders>
            <w:noWrap/>
            <w:vAlign w:val="bottom"/>
            <w:hideMark/>
          </w:tcPr>
          <w:p w14:paraId="28C1529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$45,301 </w:t>
            </w:r>
          </w:p>
        </w:tc>
        <w:tc>
          <w:tcPr>
            <w:tcW w:w="0" w:type="auto"/>
            <w:tcBorders>
              <w:top w:val="nil"/>
              <w:left w:val="nil"/>
              <w:bottom w:val="nil"/>
              <w:right w:val="nil"/>
            </w:tcBorders>
            <w:noWrap/>
            <w:vAlign w:val="bottom"/>
            <w:hideMark/>
          </w:tcPr>
          <w:p w14:paraId="1B8B62D9"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$1,301 </w:t>
            </w:r>
          </w:p>
        </w:tc>
        <w:tc>
          <w:tcPr>
            <w:tcW w:w="0" w:type="auto"/>
            <w:tcBorders>
              <w:top w:val="nil"/>
              <w:left w:val="nil"/>
              <w:bottom w:val="nil"/>
              <w:right w:val="nil"/>
            </w:tcBorders>
            <w:noWrap/>
            <w:vAlign w:val="bottom"/>
            <w:hideMark/>
          </w:tcPr>
          <w:p w14:paraId="4D5BE47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($4,780)</w:t>
            </w:r>
          </w:p>
        </w:tc>
        <w:tc>
          <w:tcPr>
            <w:tcW w:w="0" w:type="auto"/>
            <w:tcBorders>
              <w:top w:val="nil"/>
              <w:left w:val="nil"/>
              <w:bottom w:val="nil"/>
              <w:right w:val="nil"/>
            </w:tcBorders>
            <w:noWrap/>
            <w:vAlign w:val="bottom"/>
            <w:hideMark/>
          </w:tcPr>
          <w:p w14:paraId="59579313"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-2.4%</w:t>
            </w:r>
          </w:p>
        </w:tc>
      </w:tr>
      <w:tr w:rsidR="00FF1C97" w:rsidRPr="0053499C" w14:paraId="3F98848C" w14:textId="77777777" w:rsidTr="00AE4FBD">
        <w:trPr>
          <w:trHeight w:hRule="exact" w:val="173"/>
        </w:trPr>
        <w:tc>
          <w:tcPr>
            <w:tcW w:w="0" w:type="auto"/>
            <w:tcBorders>
              <w:top w:val="nil"/>
              <w:left w:val="nil"/>
              <w:bottom w:val="nil"/>
              <w:right w:val="nil"/>
            </w:tcBorders>
            <w:noWrap/>
            <w:vAlign w:val="bottom"/>
            <w:hideMark/>
          </w:tcPr>
          <w:p w14:paraId="3E86E037"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w:t>
            </w:r>
          </w:p>
        </w:tc>
        <w:tc>
          <w:tcPr>
            <w:tcW w:w="0" w:type="auto"/>
            <w:tcBorders>
              <w:top w:val="nil"/>
              <w:left w:val="nil"/>
              <w:bottom w:val="nil"/>
              <w:right w:val="nil"/>
            </w:tcBorders>
            <w:noWrap/>
            <w:vAlign w:val="bottom"/>
            <w:hideMark/>
          </w:tcPr>
          <w:p w14:paraId="5754617D"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$228,233 </w:t>
            </w:r>
          </w:p>
        </w:tc>
        <w:tc>
          <w:tcPr>
            <w:tcW w:w="0" w:type="auto"/>
            <w:tcBorders>
              <w:top w:val="nil"/>
              <w:left w:val="nil"/>
              <w:bottom w:val="nil"/>
              <w:right w:val="nil"/>
            </w:tcBorders>
            <w:noWrap/>
            <w:vAlign w:val="bottom"/>
            <w:hideMark/>
          </w:tcPr>
          <w:p w14:paraId="5B2CEB8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$13,694 </w:t>
            </w:r>
          </w:p>
        </w:tc>
        <w:tc>
          <w:tcPr>
            <w:tcW w:w="0" w:type="auto"/>
            <w:tcBorders>
              <w:top w:val="nil"/>
              <w:left w:val="nil"/>
              <w:bottom w:val="nil"/>
              <w:right w:val="nil"/>
            </w:tcBorders>
            <w:noWrap/>
            <w:vAlign w:val="bottom"/>
            <w:hideMark/>
          </w:tcPr>
          <w:p w14:paraId="6553675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$214,539 </w:t>
            </w:r>
          </w:p>
        </w:tc>
        <w:tc>
          <w:tcPr>
            <w:tcW w:w="0" w:type="auto"/>
            <w:tcBorders>
              <w:top w:val="nil"/>
              <w:left w:val="nil"/>
              <w:bottom w:val="nil"/>
              <w:right w:val="nil"/>
            </w:tcBorders>
            <w:noWrap/>
            <w:vAlign w:val="bottom"/>
            <w:hideMark/>
          </w:tcPr>
          <w:p w14:paraId="4BB0464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$54,539 </w:t>
            </w:r>
          </w:p>
        </w:tc>
        <w:tc>
          <w:tcPr>
            <w:tcW w:w="0" w:type="auto"/>
            <w:tcBorders>
              <w:top w:val="nil"/>
              <w:left w:val="nil"/>
              <w:bottom w:val="nil"/>
              <w:right w:val="nil"/>
            </w:tcBorders>
            <w:noWrap/>
            <w:vAlign w:val="bottom"/>
            <w:hideMark/>
          </w:tcPr>
          <w:p w14:paraId="4484EB2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$10,539 </w:t>
            </w:r>
          </w:p>
        </w:tc>
        <w:tc>
          <w:tcPr>
            <w:tcW w:w="0" w:type="auto"/>
            <w:tcBorders>
              <w:top w:val="nil"/>
              <w:left w:val="nil"/>
              <w:bottom w:val="nil"/>
              <w:right w:val="nil"/>
            </w:tcBorders>
            <w:noWrap/>
            <w:vAlign w:val="bottom"/>
            <w:hideMark/>
          </w:tcPr>
          <w:p w14:paraId="3A3F384D"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($653)</w:t>
            </w:r>
          </w:p>
        </w:tc>
        <w:tc>
          <w:tcPr>
            <w:tcW w:w="0" w:type="auto"/>
            <w:tcBorders>
              <w:top w:val="nil"/>
              <w:left w:val="nil"/>
              <w:bottom w:val="nil"/>
              <w:right w:val="nil"/>
            </w:tcBorders>
            <w:noWrap/>
            <w:vAlign w:val="bottom"/>
            <w:hideMark/>
          </w:tcPr>
          <w:p w14:paraId="265FADBA"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-0.3%</w:t>
            </w:r>
          </w:p>
        </w:tc>
      </w:tr>
      <w:tr w:rsidR="00FF1C97" w:rsidRPr="0053499C" w14:paraId="63064505" w14:textId="77777777" w:rsidTr="00AE4FBD">
        <w:trPr>
          <w:trHeight w:hRule="exact" w:val="173"/>
        </w:trPr>
        <w:tc>
          <w:tcPr>
            <w:tcW w:w="0" w:type="auto"/>
            <w:tcBorders>
              <w:top w:val="nil"/>
              <w:left w:val="nil"/>
              <w:bottom w:val="nil"/>
              <w:right w:val="nil"/>
            </w:tcBorders>
            <w:noWrap/>
            <w:vAlign w:val="bottom"/>
            <w:hideMark/>
          </w:tcPr>
          <w:p w14:paraId="5921CFBE"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4</w:t>
            </w:r>
          </w:p>
        </w:tc>
        <w:tc>
          <w:tcPr>
            <w:tcW w:w="0" w:type="auto"/>
            <w:tcBorders>
              <w:top w:val="nil"/>
              <w:left w:val="nil"/>
              <w:bottom w:val="nil"/>
              <w:right w:val="nil"/>
            </w:tcBorders>
            <w:noWrap/>
            <w:vAlign w:val="bottom"/>
            <w:hideMark/>
          </w:tcPr>
          <w:p w14:paraId="012B808C"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$238,504 </w:t>
            </w:r>
          </w:p>
        </w:tc>
        <w:tc>
          <w:tcPr>
            <w:tcW w:w="0" w:type="auto"/>
            <w:tcBorders>
              <w:top w:val="nil"/>
              <w:left w:val="nil"/>
              <w:bottom w:val="nil"/>
              <w:right w:val="nil"/>
            </w:tcBorders>
            <w:noWrap/>
            <w:vAlign w:val="bottom"/>
            <w:hideMark/>
          </w:tcPr>
          <w:p w14:paraId="7CEF2A2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$14,310 </w:t>
            </w:r>
          </w:p>
        </w:tc>
        <w:tc>
          <w:tcPr>
            <w:tcW w:w="0" w:type="auto"/>
            <w:tcBorders>
              <w:top w:val="nil"/>
              <w:left w:val="nil"/>
              <w:bottom w:val="nil"/>
              <w:right w:val="nil"/>
            </w:tcBorders>
            <w:noWrap/>
            <w:vAlign w:val="bottom"/>
            <w:hideMark/>
          </w:tcPr>
          <w:p w14:paraId="7E30722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$224,193 </w:t>
            </w:r>
          </w:p>
        </w:tc>
        <w:tc>
          <w:tcPr>
            <w:tcW w:w="0" w:type="auto"/>
            <w:tcBorders>
              <w:top w:val="nil"/>
              <w:left w:val="nil"/>
              <w:bottom w:val="nil"/>
              <w:right w:val="nil"/>
            </w:tcBorders>
            <w:noWrap/>
            <w:vAlign w:val="bottom"/>
            <w:hideMark/>
          </w:tcPr>
          <w:p w14:paraId="23984E1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$64,193 </w:t>
            </w:r>
          </w:p>
        </w:tc>
        <w:tc>
          <w:tcPr>
            <w:tcW w:w="0" w:type="auto"/>
            <w:tcBorders>
              <w:top w:val="nil"/>
              <w:left w:val="nil"/>
              <w:bottom w:val="nil"/>
              <w:right w:val="nil"/>
            </w:tcBorders>
            <w:noWrap/>
            <w:vAlign w:val="bottom"/>
            <w:hideMark/>
          </w:tcPr>
          <w:p w14:paraId="24F7741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$20,193 </w:t>
            </w:r>
          </w:p>
        </w:tc>
        <w:tc>
          <w:tcPr>
            <w:tcW w:w="0" w:type="auto"/>
            <w:tcBorders>
              <w:top w:val="nil"/>
              <w:left w:val="nil"/>
              <w:bottom w:val="nil"/>
              <w:right w:val="nil"/>
            </w:tcBorders>
            <w:noWrap/>
            <w:vAlign w:val="bottom"/>
            <w:hideMark/>
          </w:tcPr>
          <w:p w14:paraId="442D334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$2,948 </w:t>
            </w:r>
          </w:p>
        </w:tc>
        <w:tc>
          <w:tcPr>
            <w:tcW w:w="0" w:type="auto"/>
            <w:tcBorders>
              <w:top w:val="nil"/>
              <w:left w:val="nil"/>
              <w:bottom w:val="nil"/>
              <w:right w:val="nil"/>
            </w:tcBorders>
            <w:noWrap/>
            <w:vAlign w:val="bottom"/>
            <w:hideMark/>
          </w:tcPr>
          <w:p w14:paraId="151508FB"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1.5%</w:t>
            </w:r>
          </w:p>
        </w:tc>
      </w:tr>
      <w:tr w:rsidR="00FF1C97" w:rsidRPr="0053499C" w14:paraId="5754DC22" w14:textId="77777777" w:rsidTr="00AE4FBD">
        <w:trPr>
          <w:trHeight w:hRule="exact" w:val="173"/>
        </w:trPr>
        <w:tc>
          <w:tcPr>
            <w:tcW w:w="0" w:type="auto"/>
            <w:tcBorders>
              <w:top w:val="nil"/>
              <w:left w:val="nil"/>
              <w:bottom w:val="nil"/>
              <w:right w:val="nil"/>
            </w:tcBorders>
            <w:noWrap/>
            <w:vAlign w:val="bottom"/>
            <w:hideMark/>
          </w:tcPr>
          <w:p w14:paraId="0292C7BB"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5</w:t>
            </w:r>
          </w:p>
        </w:tc>
        <w:tc>
          <w:tcPr>
            <w:tcW w:w="0" w:type="auto"/>
            <w:tcBorders>
              <w:top w:val="nil"/>
              <w:left w:val="nil"/>
              <w:bottom w:val="nil"/>
              <w:right w:val="nil"/>
            </w:tcBorders>
            <w:noWrap/>
            <w:vAlign w:val="bottom"/>
            <w:hideMark/>
          </w:tcPr>
          <w:p w14:paraId="54050E8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$249,236 </w:t>
            </w:r>
          </w:p>
        </w:tc>
        <w:tc>
          <w:tcPr>
            <w:tcW w:w="0" w:type="auto"/>
            <w:tcBorders>
              <w:top w:val="nil"/>
              <w:left w:val="nil"/>
              <w:bottom w:val="nil"/>
              <w:right w:val="nil"/>
            </w:tcBorders>
            <w:noWrap/>
            <w:vAlign w:val="bottom"/>
            <w:hideMark/>
          </w:tcPr>
          <w:p w14:paraId="610B105C"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$14,954 </w:t>
            </w:r>
          </w:p>
        </w:tc>
        <w:tc>
          <w:tcPr>
            <w:tcW w:w="0" w:type="auto"/>
            <w:tcBorders>
              <w:top w:val="nil"/>
              <w:left w:val="nil"/>
              <w:bottom w:val="nil"/>
              <w:right w:val="nil"/>
            </w:tcBorders>
            <w:noWrap/>
            <w:vAlign w:val="bottom"/>
            <w:hideMark/>
          </w:tcPr>
          <w:p w14:paraId="007F769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$234,282 </w:t>
            </w:r>
          </w:p>
        </w:tc>
        <w:tc>
          <w:tcPr>
            <w:tcW w:w="0" w:type="auto"/>
            <w:tcBorders>
              <w:top w:val="nil"/>
              <w:left w:val="nil"/>
              <w:bottom w:val="nil"/>
              <w:right w:val="nil"/>
            </w:tcBorders>
            <w:noWrap/>
            <w:vAlign w:val="bottom"/>
            <w:hideMark/>
          </w:tcPr>
          <w:p w14:paraId="34F41D5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$74,282 </w:t>
            </w:r>
          </w:p>
        </w:tc>
        <w:tc>
          <w:tcPr>
            <w:tcW w:w="0" w:type="auto"/>
            <w:tcBorders>
              <w:top w:val="nil"/>
              <w:left w:val="nil"/>
              <w:bottom w:val="nil"/>
              <w:right w:val="nil"/>
            </w:tcBorders>
            <w:noWrap/>
            <w:vAlign w:val="bottom"/>
            <w:hideMark/>
          </w:tcPr>
          <w:p w14:paraId="1415B6AC"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$30,282 </w:t>
            </w:r>
          </w:p>
        </w:tc>
        <w:tc>
          <w:tcPr>
            <w:tcW w:w="0" w:type="auto"/>
            <w:tcBorders>
              <w:top w:val="nil"/>
              <w:left w:val="nil"/>
              <w:bottom w:val="nil"/>
              <w:right w:val="nil"/>
            </w:tcBorders>
            <w:noWrap/>
            <w:vAlign w:val="bottom"/>
            <w:hideMark/>
          </w:tcPr>
          <w:p w14:paraId="200DA85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$6,070 </w:t>
            </w:r>
          </w:p>
        </w:tc>
        <w:tc>
          <w:tcPr>
            <w:tcW w:w="0" w:type="auto"/>
            <w:tcBorders>
              <w:top w:val="nil"/>
              <w:left w:val="nil"/>
              <w:bottom w:val="nil"/>
              <w:right w:val="nil"/>
            </w:tcBorders>
            <w:noWrap/>
            <w:vAlign w:val="bottom"/>
            <w:hideMark/>
          </w:tcPr>
          <w:p w14:paraId="46FF9DC8"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3.0%</w:t>
            </w:r>
          </w:p>
        </w:tc>
      </w:tr>
      <w:tr w:rsidR="00FF1C97" w:rsidRPr="0053499C" w14:paraId="4EF6E989" w14:textId="77777777" w:rsidTr="00AE4FBD">
        <w:trPr>
          <w:trHeight w:hRule="exact" w:val="173"/>
        </w:trPr>
        <w:tc>
          <w:tcPr>
            <w:tcW w:w="0" w:type="auto"/>
            <w:tcBorders>
              <w:top w:val="nil"/>
              <w:left w:val="nil"/>
              <w:bottom w:val="nil"/>
              <w:right w:val="nil"/>
            </w:tcBorders>
            <w:noWrap/>
            <w:vAlign w:val="bottom"/>
            <w:hideMark/>
          </w:tcPr>
          <w:p w14:paraId="6D8DD7BF"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6</w:t>
            </w:r>
          </w:p>
        </w:tc>
        <w:tc>
          <w:tcPr>
            <w:tcW w:w="0" w:type="auto"/>
            <w:tcBorders>
              <w:top w:val="nil"/>
              <w:left w:val="nil"/>
              <w:bottom w:val="nil"/>
              <w:right w:val="nil"/>
            </w:tcBorders>
            <w:noWrap/>
            <w:vAlign w:val="bottom"/>
            <w:hideMark/>
          </w:tcPr>
          <w:p w14:paraId="759A9A9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$260,452 </w:t>
            </w:r>
          </w:p>
        </w:tc>
        <w:tc>
          <w:tcPr>
            <w:tcW w:w="0" w:type="auto"/>
            <w:tcBorders>
              <w:top w:val="nil"/>
              <w:left w:val="nil"/>
              <w:bottom w:val="nil"/>
              <w:right w:val="nil"/>
            </w:tcBorders>
            <w:noWrap/>
            <w:vAlign w:val="bottom"/>
            <w:hideMark/>
          </w:tcPr>
          <w:p w14:paraId="47299BC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$15,627 </w:t>
            </w:r>
          </w:p>
        </w:tc>
        <w:tc>
          <w:tcPr>
            <w:tcW w:w="0" w:type="auto"/>
            <w:tcBorders>
              <w:top w:val="nil"/>
              <w:left w:val="nil"/>
              <w:bottom w:val="nil"/>
              <w:right w:val="nil"/>
            </w:tcBorders>
            <w:noWrap/>
            <w:vAlign w:val="bottom"/>
            <w:hideMark/>
          </w:tcPr>
          <w:p w14:paraId="2248E932"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$244,825 </w:t>
            </w:r>
          </w:p>
        </w:tc>
        <w:tc>
          <w:tcPr>
            <w:tcW w:w="0" w:type="auto"/>
            <w:tcBorders>
              <w:top w:val="nil"/>
              <w:left w:val="nil"/>
              <w:bottom w:val="nil"/>
              <w:right w:val="nil"/>
            </w:tcBorders>
            <w:noWrap/>
            <w:vAlign w:val="bottom"/>
            <w:hideMark/>
          </w:tcPr>
          <w:p w14:paraId="6226F1D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$84,825 </w:t>
            </w:r>
          </w:p>
        </w:tc>
        <w:tc>
          <w:tcPr>
            <w:tcW w:w="0" w:type="auto"/>
            <w:tcBorders>
              <w:top w:val="nil"/>
              <w:left w:val="nil"/>
              <w:bottom w:val="nil"/>
              <w:right w:val="nil"/>
            </w:tcBorders>
            <w:noWrap/>
            <w:vAlign w:val="bottom"/>
            <w:hideMark/>
          </w:tcPr>
          <w:p w14:paraId="0B18944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$40,825 </w:t>
            </w:r>
          </w:p>
        </w:tc>
        <w:tc>
          <w:tcPr>
            <w:tcW w:w="0" w:type="auto"/>
            <w:tcBorders>
              <w:top w:val="nil"/>
              <w:left w:val="nil"/>
              <w:bottom w:val="nil"/>
              <w:right w:val="nil"/>
            </w:tcBorders>
            <w:noWrap/>
            <w:vAlign w:val="bottom"/>
            <w:hideMark/>
          </w:tcPr>
          <w:p w14:paraId="48FE4DF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$8,754 </w:t>
            </w:r>
          </w:p>
        </w:tc>
        <w:tc>
          <w:tcPr>
            <w:tcW w:w="0" w:type="auto"/>
            <w:tcBorders>
              <w:top w:val="nil"/>
              <w:left w:val="nil"/>
              <w:bottom w:val="nil"/>
              <w:right w:val="nil"/>
            </w:tcBorders>
            <w:noWrap/>
            <w:vAlign w:val="bottom"/>
            <w:hideMark/>
          </w:tcPr>
          <w:p w14:paraId="5F014668"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4.4%</w:t>
            </w:r>
          </w:p>
        </w:tc>
      </w:tr>
      <w:tr w:rsidR="00FF1C97" w:rsidRPr="0053499C" w14:paraId="3D24431B" w14:textId="77777777" w:rsidTr="00AE4FBD">
        <w:trPr>
          <w:trHeight w:hRule="exact" w:val="173"/>
        </w:trPr>
        <w:tc>
          <w:tcPr>
            <w:tcW w:w="0" w:type="auto"/>
            <w:tcBorders>
              <w:top w:val="nil"/>
              <w:left w:val="nil"/>
              <w:bottom w:val="nil"/>
              <w:right w:val="nil"/>
            </w:tcBorders>
            <w:noWrap/>
            <w:vAlign w:val="bottom"/>
            <w:hideMark/>
          </w:tcPr>
          <w:p w14:paraId="7169F9DE"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w:t>
            </w:r>
          </w:p>
        </w:tc>
        <w:tc>
          <w:tcPr>
            <w:tcW w:w="0" w:type="auto"/>
            <w:tcBorders>
              <w:top w:val="nil"/>
              <w:left w:val="nil"/>
              <w:bottom w:val="nil"/>
              <w:right w:val="nil"/>
            </w:tcBorders>
            <w:noWrap/>
            <w:vAlign w:val="bottom"/>
            <w:hideMark/>
          </w:tcPr>
          <w:p w14:paraId="09A3B65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$272,172 </w:t>
            </w:r>
          </w:p>
        </w:tc>
        <w:tc>
          <w:tcPr>
            <w:tcW w:w="0" w:type="auto"/>
            <w:tcBorders>
              <w:top w:val="nil"/>
              <w:left w:val="nil"/>
              <w:bottom w:val="nil"/>
              <w:right w:val="nil"/>
            </w:tcBorders>
            <w:noWrap/>
            <w:vAlign w:val="bottom"/>
            <w:hideMark/>
          </w:tcPr>
          <w:p w14:paraId="689697F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$16,330 </w:t>
            </w:r>
          </w:p>
        </w:tc>
        <w:tc>
          <w:tcPr>
            <w:tcW w:w="0" w:type="auto"/>
            <w:tcBorders>
              <w:top w:val="nil"/>
              <w:left w:val="nil"/>
              <w:bottom w:val="nil"/>
              <w:right w:val="nil"/>
            </w:tcBorders>
            <w:noWrap/>
            <w:vAlign w:val="bottom"/>
            <w:hideMark/>
          </w:tcPr>
          <w:p w14:paraId="744FFA2D"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$255,842 </w:t>
            </w:r>
          </w:p>
        </w:tc>
        <w:tc>
          <w:tcPr>
            <w:tcW w:w="0" w:type="auto"/>
            <w:tcBorders>
              <w:top w:val="nil"/>
              <w:left w:val="nil"/>
              <w:bottom w:val="nil"/>
              <w:right w:val="nil"/>
            </w:tcBorders>
            <w:noWrap/>
            <w:vAlign w:val="bottom"/>
            <w:hideMark/>
          </w:tcPr>
          <w:p w14:paraId="3B3D735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$95,842 </w:t>
            </w:r>
          </w:p>
        </w:tc>
        <w:tc>
          <w:tcPr>
            <w:tcW w:w="0" w:type="auto"/>
            <w:tcBorders>
              <w:top w:val="nil"/>
              <w:left w:val="nil"/>
              <w:bottom w:val="nil"/>
              <w:right w:val="nil"/>
            </w:tcBorders>
            <w:noWrap/>
            <w:vAlign w:val="bottom"/>
            <w:hideMark/>
          </w:tcPr>
          <w:p w14:paraId="3F7E3568"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$51,842 </w:t>
            </w:r>
          </w:p>
        </w:tc>
        <w:tc>
          <w:tcPr>
            <w:tcW w:w="0" w:type="auto"/>
            <w:tcBorders>
              <w:top w:val="nil"/>
              <w:left w:val="nil"/>
              <w:bottom w:val="nil"/>
              <w:right w:val="nil"/>
            </w:tcBorders>
            <w:noWrap/>
            <w:vAlign w:val="bottom"/>
            <w:hideMark/>
          </w:tcPr>
          <w:p w14:paraId="67D3B31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$11,040 </w:t>
            </w:r>
          </w:p>
        </w:tc>
        <w:tc>
          <w:tcPr>
            <w:tcW w:w="0" w:type="auto"/>
            <w:tcBorders>
              <w:top w:val="nil"/>
              <w:left w:val="nil"/>
              <w:bottom w:val="nil"/>
              <w:right w:val="nil"/>
            </w:tcBorders>
            <w:noWrap/>
            <w:vAlign w:val="bottom"/>
            <w:hideMark/>
          </w:tcPr>
          <w:p w14:paraId="3F8A712B"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5.5%</w:t>
            </w:r>
          </w:p>
        </w:tc>
      </w:tr>
      <w:tr w:rsidR="00FF1C97" w:rsidRPr="0053499C" w14:paraId="1D42F2CE" w14:textId="77777777" w:rsidTr="00AE4FBD">
        <w:trPr>
          <w:trHeight w:hRule="exact" w:val="173"/>
        </w:trPr>
        <w:tc>
          <w:tcPr>
            <w:tcW w:w="0" w:type="auto"/>
            <w:tcBorders>
              <w:top w:val="nil"/>
              <w:left w:val="nil"/>
              <w:bottom w:val="nil"/>
              <w:right w:val="nil"/>
            </w:tcBorders>
            <w:noWrap/>
            <w:vAlign w:val="bottom"/>
            <w:hideMark/>
          </w:tcPr>
          <w:p w14:paraId="332F3D66"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w:t>
            </w:r>
          </w:p>
        </w:tc>
        <w:tc>
          <w:tcPr>
            <w:tcW w:w="0" w:type="auto"/>
            <w:tcBorders>
              <w:top w:val="nil"/>
              <w:left w:val="nil"/>
              <w:bottom w:val="nil"/>
              <w:right w:val="nil"/>
            </w:tcBorders>
            <w:noWrap/>
            <w:vAlign w:val="bottom"/>
            <w:hideMark/>
          </w:tcPr>
          <w:p w14:paraId="36533CA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$284,420 </w:t>
            </w:r>
          </w:p>
        </w:tc>
        <w:tc>
          <w:tcPr>
            <w:tcW w:w="0" w:type="auto"/>
            <w:tcBorders>
              <w:top w:val="nil"/>
              <w:left w:val="nil"/>
              <w:bottom w:val="nil"/>
              <w:right w:val="nil"/>
            </w:tcBorders>
            <w:noWrap/>
            <w:vAlign w:val="bottom"/>
            <w:hideMark/>
          </w:tcPr>
          <w:p w14:paraId="324BDC1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$17,065 </w:t>
            </w:r>
          </w:p>
        </w:tc>
        <w:tc>
          <w:tcPr>
            <w:tcW w:w="0" w:type="auto"/>
            <w:tcBorders>
              <w:top w:val="nil"/>
              <w:left w:val="nil"/>
              <w:bottom w:val="nil"/>
              <w:right w:val="nil"/>
            </w:tcBorders>
            <w:noWrap/>
            <w:vAlign w:val="bottom"/>
            <w:hideMark/>
          </w:tcPr>
          <w:p w14:paraId="23483CD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$267,355 </w:t>
            </w:r>
          </w:p>
        </w:tc>
        <w:tc>
          <w:tcPr>
            <w:tcW w:w="0" w:type="auto"/>
            <w:tcBorders>
              <w:top w:val="nil"/>
              <w:left w:val="nil"/>
              <w:bottom w:val="nil"/>
              <w:right w:val="nil"/>
            </w:tcBorders>
            <w:noWrap/>
            <w:vAlign w:val="bottom"/>
            <w:hideMark/>
          </w:tcPr>
          <w:p w14:paraId="255405EA"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$107,355 </w:t>
            </w:r>
          </w:p>
        </w:tc>
        <w:tc>
          <w:tcPr>
            <w:tcW w:w="0" w:type="auto"/>
            <w:tcBorders>
              <w:top w:val="nil"/>
              <w:left w:val="nil"/>
              <w:bottom w:val="nil"/>
              <w:right w:val="nil"/>
            </w:tcBorders>
            <w:noWrap/>
            <w:vAlign w:val="bottom"/>
            <w:hideMark/>
          </w:tcPr>
          <w:p w14:paraId="23739FC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$63,355 </w:t>
            </w:r>
          </w:p>
        </w:tc>
        <w:tc>
          <w:tcPr>
            <w:tcW w:w="0" w:type="auto"/>
            <w:tcBorders>
              <w:top w:val="nil"/>
              <w:left w:val="nil"/>
              <w:bottom w:val="nil"/>
              <w:right w:val="nil"/>
            </w:tcBorders>
            <w:noWrap/>
            <w:vAlign w:val="bottom"/>
            <w:hideMark/>
          </w:tcPr>
          <w:p w14:paraId="25C4560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$12,963 </w:t>
            </w:r>
          </w:p>
        </w:tc>
        <w:tc>
          <w:tcPr>
            <w:tcW w:w="0" w:type="auto"/>
            <w:tcBorders>
              <w:top w:val="nil"/>
              <w:left w:val="nil"/>
              <w:bottom w:val="nil"/>
              <w:right w:val="nil"/>
            </w:tcBorders>
            <w:noWrap/>
            <w:vAlign w:val="bottom"/>
            <w:hideMark/>
          </w:tcPr>
          <w:p w14:paraId="78242240"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6.5%</w:t>
            </w:r>
          </w:p>
        </w:tc>
      </w:tr>
      <w:tr w:rsidR="00FF1C97" w:rsidRPr="0053499C" w14:paraId="1FF860AD" w14:textId="77777777" w:rsidTr="00AE4FBD">
        <w:trPr>
          <w:trHeight w:hRule="exact" w:val="173"/>
        </w:trPr>
        <w:tc>
          <w:tcPr>
            <w:tcW w:w="0" w:type="auto"/>
            <w:tcBorders>
              <w:top w:val="nil"/>
              <w:left w:val="nil"/>
              <w:bottom w:val="nil"/>
              <w:right w:val="nil"/>
            </w:tcBorders>
            <w:noWrap/>
            <w:vAlign w:val="bottom"/>
            <w:hideMark/>
          </w:tcPr>
          <w:p w14:paraId="2C697E90"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w:t>
            </w:r>
          </w:p>
        </w:tc>
        <w:tc>
          <w:tcPr>
            <w:tcW w:w="0" w:type="auto"/>
            <w:tcBorders>
              <w:top w:val="nil"/>
              <w:left w:val="nil"/>
              <w:bottom w:val="nil"/>
              <w:right w:val="nil"/>
            </w:tcBorders>
            <w:noWrap/>
            <w:vAlign w:val="bottom"/>
            <w:hideMark/>
          </w:tcPr>
          <w:p w14:paraId="662916DA"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$297,219 </w:t>
            </w:r>
          </w:p>
        </w:tc>
        <w:tc>
          <w:tcPr>
            <w:tcW w:w="0" w:type="auto"/>
            <w:tcBorders>
              <w:top w:val="nil"/>
              <w:left w:val="nil"/>
              <w:bottom w:val="nil"/>
              <w:right w:val="nil"/>
            </w:tcBorders>
            <w:noWrap/>
            <w:vAlign w:val="bottom"/>
            <w:hideMark/>
          </w:tcPr>
          <w:p w14:paraId="515EA068"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$17,833 </w:t>
            </w:r>
          </w:p>
        </w:tc>
        <w:tc>
          <w:tcPr>
            <w:tcW w:w="0" w:type="auto"/>
            <w:tcBorders>
              <w:top w:val="nil"/>
              <w:left w:val="nil"/>
              <w:bottom w:val="nil"/>
              <w:right w:val="nil"/>
            </w:tcBorders>
            <w:noWrap/>
            <w:vAlign w:val="bottom"/>
            <w:hideMark/>
          </w:tcPr>
          <w:p w14:paraId="363C8F3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$279,386 </w:t>
            </w:r>
          </w:p>
        </w:tc>
        <w:tc>
          <w:tcPr>
            <w:tcW w:w="0" w:type="auto"/>
            <w:tcBorders>
              <w:top w:val="nil"/>
              <w:left w:val="nil"/>
              <w:bottom w:val="nil"/>
              <w:right w:val="nil"/>
            </w:tcBorders>
            <w:noWrap/>
            <w:vAlign w:val="bottom"/>
            <w:hideMark/>
          </w:tcPr>
          <w:p w14:paraId="4C50391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$119,386 </w:t>
            </w:r>
          </w:p>
        </w:tc>
        <w:tc>
          <w:tcPr>
            <w:tcW w:w="0" w:type="auto"/>
            <w:tcBorders>
              <w:top w:val="nil"/>
              <w:left w:val="nil"/>
              <w:bottom w:val="nil"/>
              <w:right w:val="nil"/>
            </w:tcBorders>
            <w:noWrap/>
            <w:vAlign w:val="bottom"/>
            <w:hideMark/>
          </w:tcPr>
          <w:p w14:paraId="3CAAA24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$75,386 </w:t>
            </w:r>
          </w:p>
        </w:tc>
        <w:tc>
          <w:tcPr>
            <w:tcW w:w="0" w:type="auto"/>
            <w:tcBorders>
              <w:top w:val="nil"/>
              <w:left w:val="nil"/>
              <w:bottom w:val="nil"/>
              <w:right w:val="nil"/>
            </w:tcBorders>
            <w:noWrap/>
            <w:vAlign w:val="bottom"/>
            <w:hideMark/>
          </w:tcPr>
          <w:p w14:paraId="791FB0B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$14,558 </w:t>
            </w:r>
          </w:p>
        </w:tc>
        <w:tc>
          <w:tcPr>
            <w:tcW w:w="0" w:type="auto"/>
            <w:tcBorders>
              <w:top w:val="nil"/>
              <w:left w:val="nil"/>
              <w:bottom w:val="nil"/>
              <w:right w:val="nil"/>
            </w:tcBorders>
            <w:noWrap/>
            <w:vAlign w:val="bottom"/>
            <w:hideMark/>
          </w:tcPr>
          <w:p w14:paraId="4FCA53A9"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7.3%</w:t>
            </w:r>
          </w:p>
        </w:tc>
      </w:tr>
      <w:tr w:rsidR="00FF1C97" w:rsidRPr="0053499C" w14:paraId="247DACE5" w14:textId="77777777" w:rsidTr="00AE4FBD">
        <w:trPr>
          <w:trHeight w:hRule="exact" w:val="173"/>
        </w:trPr>
        <w:tc>
          <w:tcPr>
            <w:tcW w:w="0" w:type="auto"/>
            <w:tcBorders>
              <w:top w:val="nil"/>
              <w:left w:val="nil"/>
              <w:bottom w:val="nil"/>
              <w:right w:val="nil"/>
            </w:tcBorders>
            <w:noWrap/>
            <w:vAlign w:val="bottom"/>
            <w:hideMark/>
          </w:tcPr>
          <w:p w14:paraId="16A17E01"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10</w:t>
            </w:r>
          </w:p>
        </w:tc>
        <w:tc>
          <w:tcPr>
            <w:tcW w:w="0" w:type="auto"/>
            <w:tcBorders>
              <w:top w:val="nil"/>
              <w:left w:val="nil"/>
              <w:bottom w:val="nil"/>
              <w:right w:val="nil"/>
            </w:tcBorders>
            <w:noWrap/>
            <w:vAlign w:val="bottom"/>
            <w:hideMark/>
          </w:tcPr>
          <w:p w14:paraId="4C6BA5D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$310,594 </w:t>
            </w:r>
          </w:p>
        </w:tc>
        <w:tc>
          <w:tcPr>
            <w:tcW w:w="0" w:type="auto"/>
            <w:tcBorders>
              <w:top w:val="nil"/>
              <w:left w:val="nil"/>
              <w:bottom w:val="nil"/>
              <w:right w:val="nil"/>
            </w:tcBorders>
            <w:noWrap/>
            <w:vAlign w:val="bottom"/>
            <w:hideMark/>
          </w:tcPr>
          <w:p w14:paraId="58C5C26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$18,636 </w:t>
            </w:r>
          </w:p>
        </w:tc>
        <w:tc>
          <w:tcPr>
            <w:tcW w:w="0" w:type="auto"/>
            <w:tcBorders>
              <w:top w:val="nil"/>
              <w:left w:val="nil"/>
              <w:bottom w:val="nil"/>
              <w:right w:val="nil"/>
            </w:tcBorders>
            <w:noWrap/>
            <w:vAlign w:val="bottom"/>
            <w:hideMark/>
          </w:tcPr>
          <w:p w14:paraId="35C0DEF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$291,958 </w:t>
            </w:r>
          </w:p>
        </w:tc>
        <w:tc>
          <w:tcPr>
            <w:tcW w:w="0" w:type="auto"/>
            <w:tcBorders>
              <w:top w:val="nil"/>
              <w:left w:val="nil"/>
              <w:bottom w:val="nil"/>
              <w:right w:val="nil"/>
            </w:tcBorders>
            <w:noWrap/>
            <w:vAlign w:val="bottom"/>
            <w:hideMark/>
          </w:tcPr>
          <w:p w14:paraId="4335630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$131,958 </w:t>
            </w:r>
          </w:p>
        </w:tc>
        <w:tc>
          <w:tcPr>
            <w:tcW w:w="0" w:type="auto"/>
            <w:tcBorders>
              <w:top w:val="nil"/>
              <w:left w:val="nil"/>
              <w:bottom w:val="nil"/>
              <w:right w:val="nil"/>
            </w:tcBorders>
            <w:noWrap/>
            <w:vAlign w:val="bottom"/>
            <w:hideMark/>
          </w:tcPr>
          <w:p w14:paraId="72249BB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$87,958 </w:t>
            </w:r>
          </w:p>
        </w:tc>
        <w:tc>
          <w:tcPr>
            <w:tcW w:w="0" w:type="auto"/>
            <w:tcBorders>
              <w:top w:val="nil"/>
              <w:left w:val="nil"/>
              <w:bottom w:val="nil"/>
              <w:right w:val="nil"/>
            </w:tcBorders>
            <w:noWrap/>
            <w:vAlign w:val="bottom"/>
            <w:hideMark/>
          </w:tcPr>
          <w:p w14:paraId="0177BB9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$15,854 </w:t>
            </w:r>
          </w:p>
        </w:tc>
        <w:tc>
          <w:tcPr>
            <w:tcW w:w="0" w:type="auto"/>
            <w:tcBorders>
              <w:top w:val="nil"/>
              <w:left w:val="nil"/>
              <w:bottom w:val="nil"/>
              <w:right w:val="nil"/>
            </w:tcBorders>
            <w:noWrap/>
            <w:vAlign w:val="bottom"/>
            <w:hideMark/>
          </w:tcPr>
          <w:p w14:paraId="69636099"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7.9%</w:t>
            </w:r>
          </w:p>
        </w:tc>
      </w:tr>
      <w:tr w:rsidR="00FF1C97" w:rsidRPr="0053499C" w14:paraId="32B7DA2F" w14:textId="77777777" w:rsidTr="00AE4FBD">
        <w:trPr>
          <w:trHeight w:hRule="exact" w:val="173"/>
        </w:trPr>
        <w:tc>
          <w:tcPr>
            <w:tcW w:w="0" w:type="auto"/>
            <w:tcBorders>
              <w:top w:val="nil"/>
              <w:left w:val="nil"/>
              <w:bottom w:val="nil"/>
              <w:right w:val="nil"/>
            </w:tcBorders>
            <w:noWrap/>
            <w:vAlign w:val="bottom"/>
            <w:hideMark/>
          </w:tcPr>
          <w:p w14:paraId="045E8DEF"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11</w:t>
            </w:r>
          </w:p>
        </w:tc>
        <w:tc>
          <w:tcPr>
            <w:tcW w:w="0" w:type="auto"/>
            <w:tcBorders>
              <w:top w:val="nil"/>
              <w:left w:val="nil"/>
              <w:bottom w:val="nil"/>
              <w:right w:val="nil"/>
            </w:tcBorders>
            <w:noWrap/>
            <w:vAlign w:val="bottom"/>
            <w:hideMark/>
          </w:tcPr>
          <w:p w14:paraId="3A77BAE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$324,571 </w:t>
            </w:r>
          </w:p>
        </w:tc>
        <w:tc>
          <w:tcPr>
            <w:tcW w:w="0" w:type="auto"/>
            <w:tcBorders>
              <w:top w:val="nil"/>
              <w:left w:val="nil"/>
              <w:bottom w:val="nil"/>
              <w:right w:val="nil"/>
            </w:tcBorders>
            <w:noWrap/>
            <w:vAlign w:val="bottom"/>
            <w:hideMark/>
          </w:tcPr>
          <w:p w14:paraId="1E4A08C9"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$19,474 </w:t>
            </w:r>
          </w:p>
        </w:tc>
        <w:tc>
          <w:tcPr>
            <w:tcW w:w="0" w:type="auto"/>
            <w:tcBorders>
              <w:top w:val="nil"/>
              <w:left w:val="nil"/>
              <w:bottom w:val="nil"/>
              <w:right w:val="nil"/>
            </w:tcBorders>
            <w:noWrap/>
            <w:vAlign w:val="bottom"/>
            <w:hideMark/>
          </w:tcPr>
          <w:p w14:paraId="193FCAD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$305,096 </w:t>
            </w:r>
          </w:p>
        </w:tc>
        <w:tc>
          <w:tcPr>
            <w:tcW w:w="0" w:type="auto"/>
            <w:tcBorders>
              <w:top w:val="nil"/>
              <w:left w:val="nil"/>
              <w:bottom w:val="nil"/>
              <w:right w:val="nil"/>
            </w:tcBorders>
            <w:noWrap/>
            <w:vAlign w:val="bottom"/>
            <w:hideMark/>
          </w:tcPr>
          <w:p w14:paraId="3F550F9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$145,096 </w:t>
            </w:r>
          </w:p>
        </w:tc>
        <w:tc>
          <w:tcPr>
            <w:tcW w:w="0" w:type="auto"/>
            <w:tcBorders>
              <w:top w:val="nil"/>
              <w:left w:val="nil"/>
              <w:bottom w:val="nil"/>
              <w:right w:val="nil"/>
            </w:tcBorders>
            <w:noWrap/>
            <w:vAlign w:val="bottom"/>
            <w:hideMark/>
          </w:tcPr>
          <w:p w14:paraId="3D44E9C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$101,096 </w:t>
            </w:r>
          </w:p>
        </w:tc>
        <w:tc>
          <w:tcPr>
            <w:tcW w:w="0" w:type="auto"/>
            <w:tcBorders>
              <w:top w:val="nil"/>
              <w:left w:val="nil"/>
              <w:bottom w:val="nil"/>
              <w:right w:val="nil"/>
            </w:tcBorders>
            <w:noWrap/>
            <w:vAlign w:val="bottom"/>
            <w:hideMark/>
          </w:tcPr>
          <w:p w14:paraId="17C86449"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$16,879 </w:t>
            </w:r>
          </w:p>
        </w:tc>
        <w:tc>
          <w:tcPr>
            <w:tcW w:w="0" w:type="auto"/>
            <w:tcBorders>
              <w:top w:val="nil"/>
              <w:left w:val="nil"/>
              <w:bottom w:val="nil"/>
              <w:right w:val="nil"/>
            </w:tcBorders>
            <w:noWrap/>
            <w:vAlign w:val="bottom"/>
            <w:hideMark/>
          </w:tcPr>
          <w:p w14:paraId="7DBC0FD2"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8.4%</w:t>
            </w:r>
          </w:p>
        </w:tc>
      </w:tr>
      <w:tr w:rsidR="00FF1C97" w:rsidRPr="0053499C" w14:paraId="15539F62" w14:textId="77777777" w:rsidTr="00AE4FBD">
        <w:trPr>
          <w:trHeight w:hRule="exact" w:val="173"/>
        </w:trPr>
        <w:tc>
          <w:tcPr>
            <w:tcW w:w="0" w:type="auto"/>
            <w:tcBorders>
              <w:top w:val="nil"/>
              <w:left w:val="nil"/>
              <w:bottom w:val="nil"/>
              <w:right w:val="nil"/>
            </w:tcBorders>
            <w:noWrap/>
            <w:vAlign w:val="bottom"/>
            <w:hideMark/>
          </w:tcPr>
          <w:p w14:paraId="523A1052"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12</w:t>
            </w:r>
          </w:p>
        </w:tc>
        <w:tc>
          <w:tcPr>
            <w:tcW w:w="0" w:type="auto"/>
            <w:tcBorders>
              <w:top w:val="nil"/>
              <w:left w:val="nil"/>
              <w:bottom w:val="nil"/>
              <w:right w:val="nil"/>
            </w:tcBorders>
            <w:noWrap/>
            <w:vAlign w:val="bottom"/>
            <w:hideMark/>
          </w:tcPr>
          <w:p w14:paraId="1890EC1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$339,176 </w:t>
            </w:r>
          </w:p>
        </w:tc>
        <w:tc>
          <w:tcPr>
            <w:tcW w:w="0" w:type="auto"/>
            <w:tcBorders>
              <w:top w:val="nil"/>
              <w:left w:val="nil"/>
              <w:bottom w:val="nil"/>
              <w:right w:val="nil"/>
            </w:tcBorders>
            <w:noWrap/>
            <w:vAlign w:val="bottom"/>
            <w:hideMark/>
          </w:tcPr>
          <w:p w14:paraId="0ABCE63A"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$20,351 </w:t>
            </w:r>
          </w:p>
        </w:tc>
        <w:tc>
          <w:tcPr>
            <w:tcW w:w="0" w:type="auto"/>
            <w:tcBorders>
              <w:top w:val="nil"/>
              <w:left w:val="nil"/>
              <w:bottom w:val="nil"/>
              <w:right w:val="nil"/>
            </w:tcBorders>
            <w:noWrap/>
            <w:vAlign w:val="bottom"/>
            <w:hideMark/>
          </w:tcPr>
          <w:p w14:paraId="0BD8EC5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$318,826 </w:t>
            </w:r>
          </w:p>
        </w:tc>
        <w:tc>
          <w:tcPr>
            <w:tcW w:w="0" w:type="auto"/>
            <w:tcBorders>
              <w:top w:val="nil"/>
              <w:left w:val="nil"/>
              <w:bottom w:val="nil"/>
              <w:right w:val="nil"/>
            </w:tcBorders>
            <w:noWrap/>
            <w:vAlign w:val="bottom"/>
            <w:hideMark/>
          </w:tcPr>
          <w:p w14:paraId="1BEF214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$158,826 </w:t>
            </w:r>
          </w:p>
        </w:tc>
        <w:tc>
          <w:tcPr>
            <w:tcW w:w="0" w:type="auto"/>
            <w:tcBorders>
              <w:top w:val="nil"/>
              <w:left w:val="nil"/>
              <w:bottom w:val="nil"/>
              <w:right w:val="nil"/>
            </w:tcBorders>
            <w:noWrap/>
            <w:vAlign w:val="bottom"/>
            <w:hideMark/>
          </w:tcPr>
          <w:p w14:paraId="3FDC03D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$114,826 </w:t>
            </w:r>
          </w:p>
        </w:tc>
        <w:tc>
          <w:tcPr>
            <w:tcW w:w="0" w:type="auto"/>
            <w:tcBorders>
              <w:top w:val="nil"/>
              <w:left w:val="nil"/>
              <w:bottom w:val="nil"/>
              <w:right w:val="nil"/>
            </w:tcBorders>
            <w:noWrap/>
            <w:vAlign w:val="bottom"/>
            <w:hideMark/>
          </w:tcPr>
          <w:p w14:paraId="768D578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$17,659 </w:t>
            </w:r>
          </w:p>
        </w:tc>
        <w:tc>
          <w:tcPr>
            <w:tcW w:w="0" w:type="auto"/>
            <w:tcBorders>
              <w:top w:val="nil"/>
              <w:left w:val="nil"/>
              <w:bottom w:val="nil"/>
              <w:right w:val="nil"/>
            </w:tcBorders>
            <w:noWrap/>
            <w:vAlign w:val="bottom"/>
            <w:hideMark/>
          </w:tcPr>
          <w:p w14:paraId="2762D35F"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8.8%</w:t>
            </w:r>
          </w:p>
        </w:tc>
      </w:tr>
      <w:tr w:rsidR="00FF1C97" w:rsidRPr="0053499C" w14:paraId="795DBB74" w14:textId="77777777" w:rsidTr="00AE4FBD">
        <w:trPr>
          <w:trHeight w:hRule="exact" w:val="173"/>
        </w:trPr>
        <w:tc>
          <w:tcPr>
            <w:tcW w:w="0" w:type="auto"/>
            <w:tcBorders>
              <w:top w:val="nil"/>
              <w:left w:val="nil"/>
              <w:bottom w:val="nil"/>
              <w:right w:val="nil"/>
            </w:tcBorders>
            <w:noWrap/>
            <w:vAlign w:val="bottom"/>
            <w:hideMark/>
          </w:tcPr>
          <w:p w14:paraId="44162B19"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13</w:t>
            </w:r>
          </w:p>
        </w:tc>
        <w:tc>
          <w:tcPr>
            <w:tcW w:w="0" w:type="auto"/>
            <w:tcBorders>
              <w:top w:val="nil"/>
              <w:left w:val="nil"/>
              <w:bottom w:val="nil"/>
              <w:right w:val="nil"/>
            </w:tcBorders>
            <w:noWrap/>
            <w:vAlign w:val="bottom"/>
            <w:hideMark/>
          </w:tcPr>
          <w:p w14:paraId="2180364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$354,439 </w:t>
            </w:r>
          </w:p>
        </w:tc>
        <w:tc>
          <w:tcPr>
            <w:tcW w:w="0" w:type="auto"/>
            <w:tcBorders>
              <w:top w:val="nil"/>
              <w:left w:val="nil"/>
              <w:bottom w:val="nil"/>
              <w:right w:val="nil"/>
            </w:tcBorders>
            <w:noWrap/>
            <w:vAlign w:val="bottom"/>
            <w:hideMark/>
          </w:tcPr>
          <w:p w14:paraId="4EAEED4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$21,266 </w:t>
            </w:r>
          </w:p>
        </w:tc>
        <w:tc>
          <w:tcPr>
            <w:tcW w:w="0" w:type="auto"/>
            <w:tcBorders>
              <w:top w:val="nil"/>
              <w:left w:val="nil"/>
              <w:bottom w:val="nil"/>
              <w:right w:val="nil"/>
            </w:tcBorders>
            <w:noWrap/>
            <w:vAlign w:val="bottom"/>
            <w:hideMark/>
          </w:tcPr>
          <w:p w14:paraId="27D0979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$333,173 </w:t>
            </w:r>
          </w:p>
        </w:tc>
        <w:tc>
          <w:tcPr>
            <w:tcW w:w="0" w:type="auto"/>
            <w:tcBorders>
              <w:top w:val="nil"/>
              <w:left w:val="nil"/>
              <w:bottom w:val="nil"/>
              <w:right w:val="nil"/>
            </w:tcBorders>
            <w:noWrap/>
            <w:vAlign w:val="bottom"/>
            <w:hideMark/>
          </w:tcPr>
          <w:p w14:paraId="0853CEC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$173,173 </w:t>
            </w:r>
          </w:p>
        </w:tc>
        <w:tc>
          <w:tcPr>
            <w:tcW w:w="0" w:type="auto"/>
            <w:tcBorders>
              <w:top w:val="nil"/>
              <w:left w:val="nil"/>
              <w:bottom w:val="nil"/>
              <w:right w:val="nil"/>
            </w:tcBorders>
            <w:noWrap/>
            <w:vAlign w:val="bottom"/>
            <w:hideMark/>
          </w:tcPr>
          <w:p w14:paraId="122F684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$129,173 </w:t>
            </w:r>
          </w:p>
        </w:tc>
        <w:tc>
          <w:tcPr>
            <w:tcW w:w="0" w:type="auto"/>
            <w:tcBorders>
              <w:top w:val="nil"/>
              <w:left w:val="nil"/>
              <w:bottom w:val="nil"/>
              <w:right w:val="nil"/>
            </w:tcBorders>
            <w:noWrap/>
            <w:vAlign w:val="bottom"/>
            <w:hideMark/>
          </w:tcPr>
          <w:p w14:paraId="3FBF4A8C"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$18,218 </w:t>
            </w:r>
          </w:p>
        </w:tc>
        <w:tc>
          <w:tcPr>
            <w:tcW w:w="0" w:type="auto"/>
            <w:tcBorders>
              <w:top w:val="nil"/>
              <w:left w:val="nil"/>
              <w:bottom w:val="nil"/>
              <w:right w:val="nil"/>
            </w:tcBorders>
            <w:noWrap/>
            <w:vAlign w:val="bottom"/>
            <w:hideMark/>
          </w:tcPr>
          <w:p w14:paraId="289BBAE5"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9.1%</w:t>
            </w:r>
          </w:p>
        </w:tc>
      </w:tr>
      <w:tr w:rsidR="00FF1C97" w:rsidRPr="0053499C" w14:paraId="20804886" w14:textId="77777777" w:rsidTr="00AE4FBD">
        <w:trPr>
          <w:trHeight w:hRule="exact" w:val="173"/>
        </w:trPr>
        <w:tc>
          <w:tcPr>
            <w:tcW w:w="0" w:type="auto"/>
            <w:tcBorders>
              <w:top w:val="nil"/>
              <w:left w:val="nil"/>
              <w:bottom w:val="nil"/>
              <w:right w:val="nil"/>
            </w:tcBorders>
            <w:noWrap/>
            <w:vAlign w:val="bottom"/>
            <w:hideMark/>
          </w:tcPr>
          <w:p w14:paraId="1BED504C"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14</w:t>
            </w:r>
          </w:p>
        </w:tc>
        <w:tc>
          <w:tcPr>
            <w:tcW w:w="0" w:type="auto"/>
            <w:tcBorders>
              <w:top w:val="nil"/>
              <w:left w:val="nil"/>
              <w:bottom w:val="nil"/>
              <w:right w:val="nil"/>
            </w:tcBorders>
            <w:noWrap/>
            <w:vAlign w:val="bottom"/>
            <w:hideMark/>
          </w:tcPr>
          <w:p w14:paraId="7A2E308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$370,389 </w:t>
            </w:r>
          </w:p>
        </w:tc>
        <w:tc>
          <w:tcPr>
            <w:tcW w:w="0" w:type="auto"/>
            <w:tcBorders>
              <w:top w:val="nil"/>
              <w:left w:val="nil"/>
              <w:bottom w:val="nil"/>
              <w:right w:val="nil"/>
            </w:tcBorders>
            <w:noWrap/>
            <w:vAlign w:val="bottom"/>
            <w:hideMark/>
          </w:tcPr>
          <w:p w14:paraId="5908785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$22,223 </w:t>
            </w:r>
          </w:p>
        </w:tc>
        <w:tc>
          <w:tcPr>
            <w:tcW w:w="0" w:type="auto"/>
            <w:tcBorders>
              <w:top w:val="nil"/>
              <w:left w:val="nil"/>
              <w:bottom w:val="nil"/>
              <w:right w:val="nil"/>
            </w:tcBorders>
            <w:noWrap/>
            <w:vAlign w:val="bottom"/>
            <w:hideMark/>
          </w:tcPr>
          <w:p w14:paraId="34FE995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$348,166 </w:t>
            </w:r>
          </w:p>
        </w:tc>
        <w:tc>
          <w:tcPr>
            <w:tcW w:w="0" w:type="auto"/>
            <w:tcBorders>
              <w:top w:val="nil"/>
              <w:left w:val="nil"/>
              <w:bottom w:val="nil"/>
              <w:right w:val="nil"/>
            </w:tcBorders>
            <w:noWrap/>
            <w:vAlign w:val="bottom"/>
            <w:hideMark/>
          </w:tcPr>
          <w:p w14:paraId="264EA89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$188,166 </w:t>
            </w:r>
          </w:p>
        </w:tc>
        <w:tc>
          <w:tcPr>
            <w:tcW w:w="0" w:type="auto"/>
            <w:tcBorders>
              <w:top w:val="nil"/>
              <w:left w:val="nil"/>
              <w:bottom w:val="nil"/>
              <w:right w:val="nil"/>
            </w:tcBorders>
            <w:noWrap/>
            <w:vAlign w:val="bottom"/>
            <w:hideMark/>
          </w:tcPr>
          <w:p w14:paraId="32A6122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$144,166 </w:t>
            </w:r>
          </w:p>
        </w:tc>
        <w:tc>
          <w:tcPr>
            <w:tcW w:w="0" w:type="auto"/>
            <w:tcBorders>
              <w:top w:val="nil"/>
              <w:left w:val="nil"/>
              <w:bottom w:val="nil"/>
              <w:right w:val="nil"/>
            </w:tcBorders>
            <w:noWrap/>
            <w:vAlign w:val="bottom"/>
            <w:hideMark/>
          </w:tcPr>
          <w:p w14:paraId="28133A9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$18,577 </w:t>
            </w:r>
          </w:p>
        </w:tc>
        <w:tc>
          <w:tcPr>
            <w:tcW w:w="0" w:type="auto"/>
            <w:tcBorders>
              <w:top w:val="nil"/>
              <w:left w:val="nil"/>
              <w:bottom w:val="nil"/>
              <w:right w:val="nil"/>
            </w:tcBorders>
            <w:noWrap/>
            <w:vAlign w:val="bottom"/>
            <w:hideMark/>
          </w:tcPr>
          <w:p w14:paraId="04BB4CDC"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9.3%</w:t>
            </w:r>
          </w:p>
        </w:tc>
      </w:tr>
      <w:tr w:rsidR="00FF1C97" w:rsidRPr="0053499C" w14:paraId="196CEADD" w14:textId="77777777" w:rsidTr="0007562D">
        <w:trPr>
          <w:trHeight w:hRule="exact" w:val="173"/>
        </w:trPr>
        <w:tc>
          <w:tcPr>
            <w:tcW w:w="0" w:type="auto"/>
            <w:tcBorders>
              <w:top w:val="nil"/>
              <w:left w:val="nil"/>
              <w:bottom w:val="nil"/>
              <w:right w:val="nil"/>
            </w:tcBorders>
            <w:shd w:val="clear" w:color="auto" w:fill="D9D9D9" w:themeFill="background1" w:themeFillShade="D9"/>
            <w:noWrap/>
            <w:vAlign w:val="bottom"/>
            <w:hideMark/>
          </w:tcPr>
          <w:p w14:paraId="746B03C9"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15</w:t>
            </w:r>
          </w:p>
        </w:tc>
        <w:tc>
          <w:tcPr>
            <w:tcW w:w="0" w:type="auto"/>
            <w:tcBorders>
              <w:top w:val="nil"/>
              <w:left w:val="nil"/>
              <w:bottom w:val="nil"/>
              <w:right w:val="nil"/>
            </w:tcBorders>
            <w:shd w:val="clear" w:color="auto" w:fill="D9D9D9" w:themeFill="background1" w:themeFillShade="D9"/>
            <w:noWrap/>
            <w:vAlign w:val="bottom"/>
            <w:hideMark/>
          </w:tcPr>
          <w:p w14:paraId="487D1E52"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$387,056 </w:t>
            </w:r>
          </w:p>
        </w:tc>
        <w:tc>
          <w:tcPr>
            <w:tcW w:w="0" w:type="auto"/>
            <w:tcBorders>
              <w:top w:val="nil"/>
              <w:left w:val="nil"/>
              <w:bottom w:val="nil"/>
              <w:right w:val="nil"/>
            </w:tcBorders>
            <w:shd w:val="clear" w:color="auto" w:fill="D9D9D9" w:themeFill="background1" w:themeFillShade="D9"/>
            <w:noWrap/>
            <w:vAlign w:val="bottom"/>
            <w:hideMark/>
          </w:tcPr>
          <w:p w14:paraId="030103A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$23,223 </w:t>
            </w:r>
          </w:p>
        </w:tc>
        <w:tc>
          <w:tcPr>
            <w:tcW w:w="0" w:type="auto"/>
            <w:tcBorders>
              <w:top w:val="nil"/>
              <w:left w:val="nil"/>
              <w:bottom w:val="nil"/>
              <w:right w:val="nil"/>
            </w:tcBorders>
            <w:shd w:val="clear" w:color="auto" w:fill="D9D9D9" w:themeFill="background1" w:themeFillShade="D9"/>
            <w:noWrap/>
            <w:vAlign w:val="bottom"/>
            <w:hideMark/>
          </w:tcPr>
          <w:p w14:paraId="58F5418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$363,833 </w:t>
            </w:r>
          </w:p>
        </w:tc>
        <w:tc>
          <w:tcPr>
            <w:tcW w:w="0" w:type="auto"/>
            <w:tcBorders>
              <w:top w:val="nil"/>
              <w:left w:val="nil"/>
              <w:bottom w:val="nil"/>
              <w:right w:val="nil"/>
            </w:tcBorders>
            <w:shd w:val="clear" w:color="auto" w:fill="D9D9D9" w:themeFill="background1" w:themeFillShade="D9"/>
            <w:noWrap/>
            <w:vAlign w:val="bottom"/>
            <w:hideMark/>
          </w:tcPr>
          <w:p w14:paraId="53DEE208"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$203,833 </w:t>
            </w:r>
          </w:p>
        </w:tc>
        <w:tc>
          <w:tcPr>
            <w:tcW w:w="0" w:type="auto"/>
            <w:tcBorders>
              <w:top w:val="nil"/>
              <w:left w:val="nil"/>
              <w:bottom w:val="nil"/>
              <w:right w:val="nil"/>
            </w:tcBorders>
            <w:shd w:val="clear" w:color="auto" w:fill="D9D9D9" w:themeFill="background1" w:themeFillShade="D9"/>
            <w:noWrap/>
            <w:vAlign w:val="bottom"/>
            <w:hideMark/>
          </w:tcPr>
          <w:p w14:paraId="28923A8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$159,833 </w:t>
            </w:r>
          </w:p>
        </w:tc>
        <w:tc>
          <w:tcPr>
            <w:tcW w:w="0" w:type="auto"/>
            <w:tcBorders>
              <w:top w:val="nil"/>
              <w:left w:val="nil"/>
              <w:bottom w:val="nil"/>
              <w:right w:val="nil"/>
            </w:tcBorders>
            <w:shd w:val="clear" w:color="auto" w:fill="D9D9D9" w:themeFill="background1" w:themeFillShade="D9"/>
            <w:noWrap/>
            <w:vAlign w:val="bottom"/>
            <w:hideMark/>
          </w:tcPr>
          <w:p w14:paraId="0CDC1CEC"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$18,756 </w:t>
            </w:r>
          </w:p>
        </w:tc>
        <w:tc>
          <w:tcPr>
            <w:tcW w:w="0" w:type="auto"/>
            <w:tcBorders>
              <w:top w:val="nil"/>
              <w:left w:val="nil"/>
              <w:bottom w:val="nil"/>
              <w:right w:val="nil"/>
            </w:tcBorders>
            <w:shd w:val="clear" w:color="auto" w:fill="D9D9D9" w:themeFill="background1" w:themeFillShade="D9"/>
            <w:noWrap/>
            <w:vAlign w:val="bottom"/>
            <w:hideMark/>
          </w:tcPr>
          <w:p w14:paraId="734E2EF9"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9.4%</w:t>
            </w:r>
          </w:p>
        </w:tc>
      </w:tr>
      <w:tr w:rsidR="00FF1C97" w:rsidRPr="0053499C" w14:paraId="06B13EFD" w14:textId="77777777" w:rsidTr="00AE4FBD">
        <w:trPr>
          <w:trHeight w:hRule="exact" w:val="173"/>
        </w:trPr>
        <w:tc>
          <w:tcPr>
            <w:tcW w:w="0" w:type="auto"/>
            <w:tcBorders>
              <w:top w:val="nil"/>
              <w:left w:val="nil"/>
              <w:bottom w:val="nil"/>
              <w:right w:val="nil"/>
            </w:tcBorders>
            <w:noWrap/>
            <w:vAlign w:val="bottom"/>
            <w:hideMark/>
          </w:tcPr>
          <w:p w14:paraId="027AE30D"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16</w:t>
            </w:r>
          </w:p>
        </w:tc>
        <w:tc>
          <w:tcPr>
            <w:tcW w:w="0" w:type="auto"/>
            <w:tcBorders>
              <w:top w:val="nil"/>
              <w:left w:val="nil"/>
              <w:bottom w:val="nil"/>
              <w:right w:val="nil"/>
            </w:tcBorders>
            <w:noWrap/>
            <w:vAlign w:val="bottom"/>
            <w:hideMark/>
          </w:tcPr>
          <w:p w14:paraId="3F65172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$404,474 </w:t>
            </w:r>
          </w:p>
        </w:tc>
        <w:tc>
          <w:tcPr>
            <w:tcW w:w="0" w:type="auto"/>
            <w:tcBorders>
              <w:top w:val="nil"/>
              <w:left w:val="nil"/>
              <w:bottom w:val="nil"/>
              <w:right w:val="nil"/>
            </w:tcBorders>
            <w:noWrap/>
            <w:vAlign w:val="bottom"/>
            <w:hideMark/>
          </w:tcPr>
          <w:p w14:paraId="243529A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$24,268 </w:t>
            </w:r>
          </w:p>
        </w:tc>
        <w:tc>
          <w:tcPr>
            <w:tcW w:w="0" w:type="auto"/>
            <w:tcBorders>
              <w:top w:val="nil"/>
              <w:left w:val="nil"/>
              <w:bottom w:val="nil"/>
              <w:right w:val="nil"/>
            </w:tcBorders>
            <w:noWrap/>
            <w:vAlign w:val="bottom"/>
            <w:hideMark/>
          </w:tcPr>
          <w:p w14:paraId="268CB6C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$380,206 </w:t>
            </w:r>
          </w:p>
        </w:tc>
        <w:tc>
          <w:tcPr>
            <w:tcW w:w="0" w:type="auto"/>
            <w:tcBorders>
              <w:top w:val="nil"/>
              <w:left w:val="nil"/>
              <w:bottom w:val="nil"/>
              <w:right w:val="nil"/>
            </w:tcBorders>
            <w:noWrap/>
            <w:vAlign w:val="bottom"/>
            <w:hideMark/>
          </w:tcPr>
          <w:p w14:paraId="7F4CBD7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$220,206 </w:t>
            </w:r>
          </w:p>
        </w:tc>
        <w:tc>
          <w:tcPr>
            <w:tcW w:w="0" w:type="auto"/>
            <w:tcBorders>
              <w:top w:val="nil"/>
              <w:left w:val="nil"/>
              <w:bottom w:val="nil"/>
              <w:right w:val="nil"/>
            </w:tcBorders>
            <w:noWrap/>
            <w:vAlign w:val="bottom"/>
            <w:hideMark/>
          </w:tcPr>
          <w:p w14:paraId="3E0D81E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$176,206 </w:t>
            </w:r>
          </w:p>
        </w:tc>
        <w:tc>
          <w:tcPr>
            <w:tcW w:w="0" w:type="auto"/>
            <w:tcBorders>
              <w:top w:val="nil"/>
              <w:left w:val="nil"/>
              <w:bottom w:val="nil"/>
              <w:right w:val="nil"/>
            </w:tcBorders>
            <w:noWrap/>
            <w:vAlign w:val="bottom"/>
            <w:hideMark/>
          </w:tcPr>
          <w:p w14:paraId="273C742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$18,774 </w:t>
            </w:r>
          </w:p>
        </w:tc>
        <w:tc>
          <w:tcPr>
            <w:tcW w:w="0" w:type="auto"/>
            <w:tcBorders>
              <w:top w:val="nil"/>
              <w:left w:val="nil"/>
              <w:bottom w:val="nil"/>
              <w:right w:val="nil"/>
            </w:tcBorders>
            <w:noWrap/>
            <w:vAlign w:val="bottom"/>
            <w:hideMark/>
          </w:tcPr>
          <w:p w14:paraId="553FABDE"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9.4%</w:t>
            </w:r>
          </w:p>
        </w:tc>
      </w:tr>
      <w:tr w:rsidR="00FF1C97" w:rsidRPr="0053499C" w14:paraId="137697B0" w14:textId="77777777" w:rsidTr="00AE4FBD">
        <w:trPr>
          <w:trHeight w:hRule="exact" w:val="173"/>
        </w:trPr>
        <w:tc>
          <w:tcPr>
            <w:tcW w:w="0" w:type="auto"/>
            <w:tcBorders>
              <w:top w:val="nil"/>
              <w:left w:val="nil"/>
              <w:bottom w:val="nil"/>
              <w:right w:val="nil"/>
            </w:tcBorders>
            <w:noWrap/>
            <w:vAlign w:val="bottom"/>
            <w:hideMark/>
          </w:tcPr>
          <w:p w14:paraId="58CA337F"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17</w:t>
            </w:r>
          </w:p>
        </w:tc>
        <w:tc>
          <w:tcPr>
            <w:tcW w:w="0" w:type="auto"/>
            <w:tcBorders>
              <w:top w:val="nil"/>
              <w:left w:val="nil"/>
              <w:bottom w:val="nil"/>
              <w:right w:val="nil"/>
            </w:tcBorders>
            <w:noWrap/>
            <w:vAlign w:val="bottom"/>
            <w:hideMark/>
          </w:tcPr>
          <w:p w14:paraId="602662D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$422,675 </w:t>
            </w:r>
          </w:p>
        </w:tc>
        <w:tc>
          <w:tcPr>
            <w:tcW w:w="0" w:type="auto"/>
            <w:tcBorders>
              <w:top w:val="nil"/>
              <w:left w:val="nil"/>
              <w:bottom w:val="nil"/>
              <w:right w:val="nil"/>
            </w:tcBorders>
            <w:noWrap/>
            <w:vAlign w:val="bottom"/>
            <w:hideMark/>
          </w:tcPr>
          <w:p w14:paraId="3BAA5B19"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$25,361 </w:t>
            </w:r>
          </w:p>
        </w:tc>
        <w:tc>
          <w:tcPr>
            <w:tcW w:w="0" w:type="auto"/>
            <w:tcBorders>
              <w:top w:val="nil"/>
              <w:left w:val="nil"/>
              <w:bottom w:val="nil"/>
              <w:right w:val="nil"/>
            </w:tcBorders>
            <w:noWrap/>
            <w:vAlign w:val="bottom"/>
            <w:hideMark/>
          </w:tcPr>
          <w:p w14:paraId="1175A022"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$397,315 </w:t>
            </w:r>
          </w:p>
        </w:tc>
        <w:tc>
          <w:tcPr>
            <w:tcW w:w="0" w:type="auto"/>
            <w:tcBorders>
              <w:top w:val="nil"/>
              <w:left w:val="nil"/>
              <w:bottom w:val="nil"/>
              <w:right w:val="nil"/>
            </w:tcBorders>
            <w:noWrap/>
            <w:vAlign w:val="bottom"/>
            <w:hideMark/>
          </w:tcPr>
          <w:p w14:paraId="688CE7DB"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$237,315 </w:t>
            </w:r>
          </w:p>
        </w:tc>
        <w:tc>
          <w:tcPr>
            <w:tcW w:w="0" w:type="auto"/>
            <w:tcBorders>
              <w:top w:val="nil"/>
              <w:left w:val="nil"/>
              <w:bottom w:val="nil"/>
              <w:right w:val="nil"/>
            </w:tcBorders>
            <w:noWrap/>
            <w:vAlign w:val="bottom"/>
            <w:hideMark/>
          </w:tcPr>
          <w:p w14:paraId="00A79C8C"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$193,315 </w:t>
            </w:r>
          </w:p>
        </w:tc>
        <w:tc>
          <w:tcPr>
            <w:tcW w:w="0" w:type="auto"/>
            <w:tcBorders>
              <w:top w:val="nil"/>
              <w:left w:val="nil"/>
              <w:bottom w:val="nil"/>
              <w:right w:val="nil"/>
            </w:tcBorders>
            <w:noWrap/>
            <w:vAlign w:val="bottom"/>
            <w:hideMark/>
          </w:tcPr>
          <w:p w14:paraId="392D4E1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$18,647 </w:t>
            </w:r>
          </w:p>
        </w:tc>
        <w:tc>
          <w:tcPr>
            <w:tcW w:w="0" w:type="auto"/>
            <w:tcBorders>
              <w:top w:val="nil"/>
              <w:left w:val="nil"/>
              <w:bottom w:val="nil"/>
              <w:right w:val="nil"/>
            </w:tcBorders>
            <w:noWrap/>
            <w:vAlign w:val="bottom"/>
            <w:hideMark/>
          </w:tcPr>
          <w:p w14:paraId="1A1ADBFF"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9.3%</w:t>
            </w:r>
          </w:p>
        </w:tc>
      </w:tr>
      <w:tr w:rsidR="00FF1C97" w:rsidRPr="0053499C" w14:paraId="1A73FBB2" w14:textId="77777777" w:rsidTr="00AE4FBD">
        <w:trPr>
          <w:trHeight w:hRule="exact" w:val="173"/>
        </w:trPr>
        <w:tc>
          <w:tcPr>
            <w:tcW w:w="0" w:type="auto"/>
            <w:tcBorders>
              <w:top w:val="nil"/>
              <w:left w:val="nil"/>
              <w:bottom w:val="nil"/>
              <w:right w:val="nil"/>
            </w:tcBorders>
            <w:noWrap/>
            <w:vAlign w:val="bottom"/>
            <w:hideMark/>
          </w:tcPr>
          <w:p w14:paraId="47A5EA71"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18</w:t>
            </w:r>
          </w:p>
        </w:tc>
        <w:tc>
          <w:tcPr>
            <w:tcW w:w="0" w:type="auto"/>
            <w:tcBorders>
              <w:top w:val="nil"/>
              <w:left w:val="nil"/>
              <w:bottom w:val="nil"/>
              <w:right w:val="nil"/>
            </w:tcBorders>
            <w:noWrap/>
            <w:vAlign w:val="bottom"/>
            <w:hideMark/>
          </w:tcPr>
          <w:p w14:paraId="431FD109"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$441,696 </w:t>
            </w:r>
          </w:p>
        </w:tc>
        <w:tc>
          <w:tcPr>
            <w:tcW w:w="0" w:type="auto"/>
            <w:tcBorders>
              <w:top w:val="nil"/>
              <w:left w:val="nil"/>
              <w:bottom w:val="nil"/>
              <w:right w:val="nil"/>
            </w:tcBorders>
            <w:noWrap/>
            <w:vAlign w:val="bottom"/>
            <w:hideMark/>
          </w:tcPr>
          <w:p w14:paraId="36A313E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$26,502 </w:t>
            </w:r>
          </w:p>
        </w:tc>
        <w:tc>
          <w:tcPr>
            <w:tcW w:w="0" w:type="auto"/>
            <w:tcBorders>
              <w:top w:val="nil"/>
              <w:left w:val="nil"/>
              <w:bottom w:val="nil"/>
              <w:right w:val="nil"/>
            </w:tcBorders>
            <w:noWrap/>
            <w:vAlign w:val="bottom"/>
            <w:hideMark/>
          </w:tcPr>
          <w:p w14:paraId="293F18ED"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$415,194 </w:t>
            </w:r>
          </w:p>
        </w:tc>
        <w:tc>
          <w:tcPr>
            <w:tcW w:w="0" w:type="auto"/>
            <w:tcBorders>
              <w:top w:val="nil"/>
              <w:left w:val="nil"/>
              <w:bottom w:val="nil"/>
              <w:right w:val="nil"/>
            </w:tcBorders>
            <w:noWrap/>
            <w:vAlign w:val="bottom"/>
            <w:hideMark/>
          </w:tcPr>
          <w:p w14:paraId="74AC02AD"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$255,194 </w:t>
            </w:r>
          </w:p>
        </w:tc>
        <w:tc>
          <w:tcPr>
            <w:tcW w:w="0" w:type="auto"/>
            <w:tcBorders>
              <w:top w:val="nil"/>
              <w:left w:val="nil"/>
              <w:bottom w:val="nil"/>
              <w:right w:val="nil"/>
            </w:tcBorders>
            <w:noWrap/>
            <w:vAlign w:val="bottom"/>
            <w:hideMark/>
          </w:tcPr>
          <w:p w14:paraId="05EFAB1A"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$211,194 </w:t>
            </w:r>
          </w:p>
        </w:tc>
        <w:tc>
          <w:tcPr>
            <w:tcW w:w="0" w:type="auto"/>
            <w:tcBorders>
              <w:top w:val="nil"/>
              <w:left w:val="nil"/>
              <w:bottom w:val="nil"/>
              <w:right w:val="nil"/>
            </w:tcBorders>
            <w:noWrap/>
            <w:vAlign w:val="bottom"/>
            <w:hideMark/>
          </w:tcPr>
          <w:p w14:paraId="5683A87C"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$18,391 </w:t>
            </w:r>
          </w:p>
        </w:tc>
        <w:tc>
          <w:tcPr>
            <w:tcW w:w="0" w:type="auto"/>
            <w:tcBorders>
              <w:top w:val="nil"/>
              <w:left w:val="nil"/>
              <w:bottom w:val="nil"/>
              <w:right w:val="nil"/>
            </w:tcBorders>
            <w:noWrap/>
            <w:vAlign w:val="bottom"/>
            <w:hideMark/>
          </w:tcPr>
          <w:p w14:paraId="13E3850D"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9.2%</w:t>
            </w:r>
          </w:p>
        </w:tc>
      </w:tr>
      <w:tr w:rsidR="00FF1C97" w:rsidRPr="0053499C" w14:paraId="7EF44029" w14:textId="77777777" w:rsidTr="00AE4FBD">
        <w:trPr>
          <w:trHeight w:hRule="exact" w:val="173"/>
        </w:trPr>
        <w:tc>
          <w:tcPr>
            <w:tcW w:w="0" w:type="auto"/>
            <w:tcBorders>
              <w:top w:val="nil"/>
              <w:left w:val="nil"/>
              <w:bottom w:val="nil"/>
              <w:right w:val="nil"/>
            </w:tcBorders>
            <w:noWrap/>
            <w:vAlign w:val="bottom"/>
            <w:hideMark/>
          </w:tcPr>
          <w:p w14:paraId="6E8BA970"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19</w:t>
            </w:r>
          </w:p>
        </w:tc>
        <w:tc>
          <w:tcPr>
            <w:tcW w:w="0" w:type="auto"/>
            <w:tcBorders>
              <w:top w:val="nil"/>
              <w:left w:val="nil"/>
              <w:bottom w:val="nil"/>
              <w:right w:val="nil"/>
            </w:tcBorders>
            <w:noWrap/>
            <w:vAlign w:val="bottom"/>
            <w:hideMark/>
          </w:tcPr>
          <w:p w14:paraId="7EF01C5A"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$461,572 </w:t>
            </w:r>
          </w:p>
        </w:tc>
        <w:tc>
          <w:tcPr>
            <w:tcW w:w="0" w:type="auto"/>
            <w:tcBorders>
              <w:top w:val="nil"/>
              <w:left w:val="nil"/>
              <w:bottom w:val="nil"/>
              <w:right w:val="nil"/>
            </w:tcBorders>
            <w:noWrap/>
            <w:vAlign w:val="bottom"/>
            <w:hideMark/>
          </w:tcPr>
          <w:p w14:paraId="5C7CB3D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$27,694 </w:t>
            </w:r>
          </w:p>
        </w:tc>
        <w:tc>
          <w:tcPr>
            <w:tcW w:w="0" w:type="auto"/>
            <w:tcBorders>
              <w:top w:val="nil"/>
              <w:left w:val="nil"/>
              <w:bottom w:val="nil"/>
              <w:right w:val="nil"/>
            </w:tcBorders>
            <w:noWrap/>
            <w:vAlign w:val="bottom"/>
            <w:hideMark/>
          </w:tcPr>
          <w:p w14:paraId="370BFE6C"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$433,878 </w:t>
            </w:r>
          </w:p>
        </w:tc>
        <w:tc>
          <w:tcPr>
            <w:tcW w:w="0" w:type="auto"/>
            <w:tcBorders>
              <w:top w:val="nil"/>
              <w:left w:val="nil"/>
              <w:bottom w:val="nil"/>
              <w:right w:val="nil"/>
            </w:tcBorders>
            <w:noWrap/>
            <w:vAlign w:val="bottom"/>
            <w:hideMark/>
          </w:tcPr>
          <w:p w14:paraId="622C3B5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$273,878 </w:t>
            </w:r>
          </w:p>
        </w:tc>
        <w:tc>
          <w:tcPr>
            <w:tcW w:w="0" w:type="auto"/>
            <w:tcBorders>
              <w:top w:val="nil"/>
              <w:left w:val="nil"/>
              <w:bottom w:val="nil"/>
              <w:right w:val="nil"/>
            </w:tcBorders>
            <w:noWrap/>
            <w:vAlign w:val="bottom"/>
            <w:hideMark/>
          </w:tcPr>
          <w:p w14:paraId="55EE5F9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$229,878 </w:t>
            </w:r>
          </w:p>
        </w:tc>
        <w:tc>
          <w:tcPr>
            <w:tcW w:w="0" w:type="auto"/>
            <w:tcBorders>
              <w:top w:val="nil"/>
              <w:left w:val="nil"/>
              <w:bottom w:val="nil"/>
              <w:right w:val="nil"/>
            </w:tcBorders>
            <w:noWrap/>
            <w:vAlign w:val="bottom"/>
            <w:hideMark/>
          </w:tcPr>
          <w:p w14:paraId="34D5E08C"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$18,019 </w:t>
            </w:r>
          </w:p>
        </w:tc>
        <w:tc>
          <w:tcPr>
            <w:tcW w:w="0" w:type="auto"/>
            <w:tcBorders>
              <w:top w:val="nil"/>
              <w:left w:val="nil"/>
              <w:bottom w:val="nil"/>
              <w:right w:val="nil"/>
            </w:tcBorders>
            <w:noWrap/>
            <w:vAlign w:val="bottom"/>
            <w:hideMark/>
          </w:tcPr>
          <w:p w14:paraId="0C1439A6"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9.0%</w:t>
            </w:r>
          </w:p>
        </w:tc>
      </w:tr>
      <w:tr w:rsidR="00FF1C97" w:rsidRPr="0053499C" w14:paraId="1F9F109C" w14:textId="77777777" w:rsidTr="00AE4FBD">
        <w:trPr>
          <w:trHeight w:hRule="exact" w:val="173"/>
        </w:trPr>
        <w:tc>
          <w:tcPr>
            <w:tcW w:w="0" w:type="auto"/>
            <w:tcBorders>
              <w:top w:val="nil"/>
              <w:left w:val="nil"/>
              <w:bottom w:val="nil"/>
              <w:right w:val="nil"/>
            </w:tcBorders>
            <w:noWrap/>
            <w:vAlign w:val="bottom"/>
            <w:hideMark/>
          </w:tcPr>
          <w:p w14:paraId="7B4E6133"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20</w:t>
            </w:r>
          </w:p>
        </w:tc>
        <w:tc>
          <w:tcPr>
            <w:tcW w:w="0" w:type="auto"/>
            <w:tcBorders>
              <w:top w:val="nil"/>
              <w:left w:val="nil"/>
              <w:bottom w:val="nil"/>
              <w:right w:val="nil"/>
            </w:tcBorders>
            <w:noWrap/>
            <w:vAlign w:val="bottom"/>
            <w:hideMark/>
          </w:tcPr>
          <w:p w14:paraId="08F3C88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$482,343 </w:t>
            </w:r>
          </w:p>
        </w:tc>
        <w:tc>
          <w:tcPr>
            <w:tcW w:w="0" w:type="auto"/>
            <w:tcBorders>
              <w:top w:val="nil"/>
              <w:left w:val="nil"/>
              <w:bottom w:val="nil"/>
              <w:right w:val="nil"/>
            </w:tcBorders>
            <w:noWrap/>
            <w:vAlign w:val="bottom"/>
            <w:hideMark/>
          </w:tcPr>
          <w:p w14:paraId="0B61C02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$28,941 </w:t>
            </w:r>
          </w:p>
        </w:tc>
        <w:tc>
          <w:tcPr>
            <w:tcW w:w="0" w:type="auto"/>
            <w:tcBorders>
              <w:top w:val="nil"/>
              <w:left w:val="nil"/>
              <w:bottom w:val="nil"/>
              <w:right w:val="nil"/>
            </w:tcBorders>
            <w:noWrap/>
            <w:vAlign w:val="bottom"/>
            <w:hideMark/>
          </w:tcPr>
          <w:p w14:paraId="4014BC4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$453,402 </w:t>
            </w:r>
          </w:p>
        </w:tc>
        <w:tc>
          <w:tcPr>
            <w:tcW w:w="0" w:type="auto"/>
            <w:tcBorders>
              <w:top w:val="nil"/>
              <w:left w:val="nil"/>
              <w:bottom w:val="nil"/>
              <w:right w:val="nil"/>
            </w:tcBorders>
            <w:noWrap/>
            <w:vAlign w:val="bottom"/>
            <w:hideMark/>
          </w:tcPr>
          <w:p w14:paraId="7688E20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$293,402 </w:t>
            </w:r>
          </w:p>
        </w:tc>
        <w:tc>
          <w:tcPr>
            <w:tcW w:w="0" w:type="auto"/>
            <w:tcBorders>
              <w:top w:val="nil"/>
              <w:left w:val="nil"/>
              <w:bottom w:val="nil"/>
              <w:right w:val="nil"/>
            </w:tcBorders>
            <w:noWrap/>
            <w:vAlign w:val="bottom"/>
            <w:hideMark/>
          </w:tcPr>
          <w:p w14:paraId="7C53799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$249,402 </w:t>
            </w:r>
          </w:p>
        </w:tc>
        <w:tc>
          <w:tcPr>
            <w:tcW w:w="0" w:type="auto"/>
            <w:tcBorders>
              <w:top w:val="nil"/>
              <w:left w:val="nil"/>
              <w:bottom w:val="nil"/>
              <w:right w:val="nil"/>
            </w:tcBorders>
            <w:noWrap/>
            <w:vAlign w:val="bottom"/>
            <w:hideMark/>
          </w:tcPr>
          <w:p w14:paraId="296C49E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$17,545 </w:t>
            </w:r>
          </w:p>
        </w:tc>
        <w:tc>
          <w:tcPr>
            <w:tcW w:w="0" w:type="auto"/>
            <w:tcBorders>
              <w:top w:val="nil"/>
              <w:left w:val="nil"/>
              <w:bottom w:val="nil"/>
              <w:right w:val="nil"/>
            </w:tcBorders>
            <w:noWrap/>
            <w:vAlign w:val="bottom"/>
            <w:hideMark/>
          </w:tcPr>
          <w:p w14:paraId="3A5D1297"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8.8%</w:t>
            </w:r>
          </w:p>
        </w:tc>
      </w:tr>
      <w:tr w:rsidR="00FF1C97" w:rsidRPr="0053499C" w14:paraId="2A374F2F" w14:textId="77777777" w:rsidTr="00AE4FBD">
        <w:trPr>
          <w:trHeight w:hRule="exact" w:val="173"/>
        </w:trPr>
        <w:tc>
          <w:tcPr>
            <w:tcW w:w="0" w:type="auto"/>
            <w:tcBorders>
              <w:top w:val="nil"/>
              <w:left w:val="nil"/>
              <w:bottom w:val="nil"/>
              <w:right w:val="nil"/>
            </w:tcBorders>
            <w:noWrap/>
            <w:vAlign w:val="bottom"/>
            <w:hideMark/>
          </w:tcPr>
          <w:p w14:paraId="344CFDC6"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21</w:t>
            </w:r>
          </w:p>
        </w:tc>
        <w:tc>
          <w:tcPr>
            <w:tcW w:w="0" w:type="auto"/>
            <w:tcBorders>
              <w:top w:val="nil"/>
              <w:left w:val="nil"/>
              <w:bottom w:val="nil"/>
              <w:right w:val="nil"/>
            </w:tcBorders>
            <w:noWrap/>
            <w:vAlign w:val="bottom"/>
            <w:hideMark/>
          </w:tcPr>
          <w:p w14:paraId="08B06B4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$504,048 </w:t>
            </w:r>
          </w:p>
        </w:tc>
        <w:tc>
          <w:tcPr>
            <w:tcW w:w="0" w:type="auto"/>
            <w:tcBorders>
              <w:top w:val="nil"/>
              <w:left w:val="nil"/>
              <w:bottom w:val="nil"/>
              <w:right w:val="nil"/>
            </w:tcBorders>
            <w:noWrap/>
            <w:vAlign w:val="bottom"/>
            <w:hideMark/>
          </w:tcPr>
          <w:p w14:paraId="730F335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$30,243 </w:t>
            </w:r>
          </w:p>
        </w:tc>
        <w:tc>
          <w:tcPr>
            <w:tcW w:w="0" w:type="auto"/>
            <w:tcBorders>
              <w:top w:val="nil"/>
              <w:left w:val="nil"/>
              <w:bottom w:val="nil"/>
              <w:right w:val="nil"/>
            </w:tcBorders>
            <w:noWrap/>
            <w:vAlign w:val="bottom"/>
            <w:hideMark/>
          </w:tcPr>
          <w:p w14:paraId="293085B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$473,805 </w:t>
            </w:r>
          </w:p>
        </w:tc>
        <w:tc>
          <w:tcPr>
            <w:tcW w:w="0" w:type="auto"/>
            <w:tcBorders>
              <w:top w:val="nil"/>
              <w:left w:val="nil"/>
              <w:bottom w:val="nil"/>
              <w:right w:val="nil"/>
            </w:tcBorders>
            <w:noWrap/>
            <w:vAlign w:val="bottom"/>
            <w:hideMark/>
          </w:tcPr>
          <w:p w14:paraId="458593EB"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$313,805 </w:t>
            </w:r>
          </w:p>
        </w:tc>
        <w:tc>
          <w:tcPr>
            <w:tcW w:w="0" w:type="auto"/>
            <w:tcBorders>
              <w:top w:val="nil"/>
              <w:left w:val="nil"/>
              <w:bottom w:val="nil"/>
              <w:right w:val="nil"/>
            </w:tcBorders>
            <w:noWrap/>
            <w:vAlign w:val="bottom"/>
            <w:hideMark/>
          </w:tcPr>
          <w:p w14:paraId="3088763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$269,805 </w:t>
            </w:r>
          </w:p>
        </w:tc>
        <w:tc>
          <w:tcPr>
            <w:tcW w:w="0" w:type="auto"/>
            <w:tcBorders>
              <w:top w:val="nil"/>
              <w:left w:val="nil"/>
              <w:bottom w:val="nil"/>
              <w:right w:val="nil"/>
            </w:tcBorders>
            <w:noWrap/>
            <w:vAlign w:val="bottom"/>
            <w:hideMark/>
          </w:tcPr>
          <w:p w14:paraId="7E2AE4C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$16,981 </w:t>
            </w:r>
          </w:p>
        </w:tc>
        <w:tc>
          <w:tcPr>
            <w:tcW w:w="0" w:type="auto"/>
            <w:tcBorders>
              <w:top w:val="nil"/>
              <w:left w:val="nil"/>
              <w:bottom w:val="nil"/>
              <w:right w:val="nil"/>
            </w:tcBorders>
            <w:noWrap/>
            <w:vAlign w:val="bottom"/>
            <w:hideMark/>
          </w:tcPr>
          <w:p w14:paraId="4E97A239"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8.5%</w:t>
            </w:r>
          </w:p>
        </w:tc>
      </w:tr>
      <w:tr w:rsidR="00FF1C97" w:rsidRPr="0053499C" w14:paraId="75DA5093" w14:textId="77777777" w:rsidTr="00AE4FBD">
        <w:trPr>
          <w:trHeight w:hRule="exact" w:val="173"/>
        </w:trPr>
        <w:tc>
          <w:tcPr>
            <w:tcW w:w="0" w:type="auto"/>
            <w:tcBorders>
              <w:top w:val="nil"/>
              <w:left w:val="nil"/>
              <w:bottom w:val="nil"/>
              <w:right w:val="nil"/>
            </w:tcBorders>
            <w:noWrap/>
            <w:vAlign w:val="bottom"/>
            <w:hideMark/>
          </w:tcPr>
          <w:p w14:paraId="26E575D3"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22</w:t>
            </w:r>
          </w:p>
        </w:tc>
        <w:tc>
          <w:tcPr>
            <w:tcW w:w="0" w:type="auto"/>
            <w:tcBorders>
              <w:top w:val="nil"/>
              <w:left w:val="nil"/>
              <w:bottom w:val="nil"/>
              <w:right w:val="nil"/>
            </w:tcBorders>
            <w:noWrap/>
            <w:vAlign w:val="bottom"/>
            <w:hideMark/>
          </w:tcPr>
          <w:p w14:paraId="4BE5D88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$526,730 </w:t>
            </w:r>
          </w:p>
        </w:tc>
        <w:tc>
          <w:tcPr>
            <w:tcW w:w="0" w:type="auto"/>
            <w:tcBorders>
              <w:top w:val="nil"/>
              <w:left w:val="nil"/>
              <w:bottom w:val="nil"/>
              <w:right w:val="nil"/>
            </w:tcBorders>
            <w:noWrap/>
            <w:vAlign w:val="bottom"/>
            <w:hideMark/>
          </w:tcPr>
          <w:p w14:paraId="4BB06159"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$31,604 </w:t>
            </w:r>
          </w:p>
        </w:tc>
        <w:tc>
          <w:tcPr>
            <w:tcW w:w="0" w:type="auto"/>
            <w:tcBorders>
              <w:top w:val="nil"/>
              <w:left w:val="nil"/>
              <w:bottom w:val="nil"/>
              <w:right w:val="nil"/>
            </w:tcBorders>
            <w:noWrap/>
            <w:vAlign w:val="bottom"/>
            <w:hideMark/>
          </w:tcPr>
          <w:p w14:paraId="489376E9"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$495,127 </w:t>
            </w:r>
          </w:p>
        </w:tc>
        <w:tc>
          <w:tcPr>
            <w:tcW w:w="0" w:type="auto"/>
            <w:tcBorders>
              <w:top w:val="nil"/>
              <w:left w:val="nil"/>
              <w:bottom w:val="nil"/>
              <w:right w:val="nil"/>
            </w:tcBorders>
            <w:noWrap/>
            <w:vAlign w:val="bottom"/>
            <w:hideMark/>
          </w:tcPr>
          <w:p w14:paraId="5C45B1D8"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$335,127 </w:t>
            </w:r>
          </w:p>
        </w:tc>
        <w:tc>
          <w:tcPr>
            <w:tcW w:w="0" w:type="auto"/>
            <w:tcBorders>
              <w:top w:val="nil"/>
              <w:left w:val="nil"/>
              <w:bottom w:val="nil"/>
              <w:right w:val="nil"/>
            </w:tcBorders>
            <w:noWrap/>
            <w:vAlign w:val="bottom"/>
            <w:hideMark/>
          </w:tcPr>
          <w:p w14:paraId="78C4863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$291,127 </w:t>
            </w:r>
          </w:p>
        </w:tc>
        <w:tc>
          <w:tcPr>
            <w:tcW w:w="0" w:type="auto"/>
            <w:tcBorders>
              <w:top w:val="nil"/>
              <w:left w:val="nil"/>
              <w:bottom w:val="nil"/>
              <w:right w:val="nil"/>
            </w:tcBorders>
            <w:noWrap/>
            <w:vAlign w:val="bottom"/>
            <w:hideMark/>
          </w:tcPr>
          <w:p w14:paraId="265D77D2"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$16,336 </w:t>
            </w:r>
          </w:p>
        </w:tc>
        <w:tc>
          <w:tcPr>
            <w:tcW w:w="0" w:type="auto"/>
            <w:tcBorders>
              <w:top w:val="nil"/>
              <w:left w:val="nil"/>
              <w:bottom w:val="nil"/>
              <w:right w:val="nil"/>
            </w:tcBorders>
            <w:noWrap/>
            <w:vAlign w:val="bottom"/>
            <w:hideMark/>
          </w:tcPr>
          <w:p w14:paraId="6ACA8196"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8.2%</w:t>
            </w:r>
          </w:p>
        </w:tc>
      </w:tr>
      <w:tr w:rsidR="00FF1C97" w:rsidRPr="0053499C" w14:paraId="0671A25A" w14:textId="77777777" w:rsidTr="00AE4FBD">
        <w:trPr>
          <w:trHeight w:hRule="exact" w:val="173"/>
        </w:trPr>
        <w:tc>
          <w:tcPr>
            <w:tcW w:w="0" w:type="auto"/>
            <w:tcBorders>
              <w:top w:val="nil"/>
              <w:left w:val="nil"/>
              <w:bottom w:val="nil"/>
              <w:right w:val="nil"/>
            </w:tcBorders>
            <w:noWrap/>
            <w:vAlign w:val="bottom"/>
            <w:hideMark/>
          </w:tcPr>
          <w:p w14:paraId="5352059F"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23</w:t>
            </w:r>
          </w:p>
        </w:tc>
        <w:tc>
          <w:tcPr>
            <w:tcW w:w="0" w:type="auto"/>
            <w:tcBorders>
              <w:top w:val="nil"/>
              <w:left w:val="nil"/>
              <w:bottom w:val="nil"/>
              <w:right w:val="nil"/>
            </w:tcBorders>
            <w:noWrap/>
            <w:vAlign w:val="bottom"/>
            <w:hideMark/>
          </w:tcPr>
          <w:p w14:paraId="0CAE8619"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$550,433 </w:t>
            </w:r>
          </w:p>
        </w:tc>
        <w:tc>
          <w:tcPr>
            <w:tcW w:w="0" w:type="auto"/>
            <w:tcBorders>
              <w:top w:val="nil"/>
              <w:left w:val="nil"/>
              <w:bottom w:val="nil"/>
              <w:right w:val="nil"/>
            </w:tcBorders>
            <w:noWrap/>
            <w:vAlign w:val="bottom"/>
            <w:hideMark/>
          </w:tcPr>
          <w:p w14:paraId="1E5B1EB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$33,026 </w:t>
            </w:r>
          </w:p>
        </w:tc>
        <w:tc>
          <w:tcPr>
            <w:tcW w:w="0" w:type="auto"/>
            <w:tcBorders>
              <w:top w:val="nil"/>
              <w:left w:val="nil"/>
              <w:bottom w:val="nil"/>
              <w:right w:val="nil"/>
            </w:tcBorders>
            <w:noWrap/>
            <w:vAlign w:val="bottom"/>
            <w:hideMark/>
          </w:tcPr>
          <w:p w14:paraId="28B502DB"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$517,407 </w:t>
            </w:r>
          </w:p>
        </w:tc>
        <w:tc>
          <w:tcPr>
            <w:tcW w:w="0" w:type="auto"/>
            <w:tcBorders>
              <w:top w:val="nil"/>
              <w:left w:val="nil"/>
              <w:bottom w:val="nil"/>
              <w:right w:val="nil"/>
            </w:tcBorders>
            <w:noWrap/>
            <w:vAlign w:val="bottom"/>
            <w:hideMark/>
          </w:tcPr>
          <w:p w14:paraId="433B58E2"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$357,407 </w:t>
            </w:r>
          </w:p>
        </w:tc>
        <w:tc>
          <w:tcPr>
            <w:tcW w:w="0" w:type="auto"/>
            <w:tcBorders>
              <w:top w:val="nil"/>
              <w:left w:val="nil"/>
              <w:bottom w:val="nil"/>
              <w:right w:val="nil"/>
            </w:tcBorders>
            <w:noWrap/>
            <w:vAlign w:val="bottom"/>
            <w:hideMark/>
          </w:tcPr>
          <w:p w14:paraId="56CDC15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$313,407 </w:t>
            </w:r>
          </w:p>
        </w:tc>
        <w:tc>
          <w:tcPr>
            <w:tcW w:w="0" w:type="auto"/>
            <w:tcBorders>
              <w:top w:val="nil"/>
              <w:left w:val="nil"/>
              <w:bottom w:val="nil"/>
              <w:right w:val="nil"/>
            </w:tcBorders>
            <w:noWrap/>
            <w:vAlign w:val="bottom"/>
            <w:hideMark/>
          </w:tcPr>
          <w:p w14:paraId="2E7E6438"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$15,622 </w:t>
            </w:r>
          </w:p>
        </w:tc>
        <w:tc>
          <w:tcPr>
            <w:tcW w:w="0" w:type="auto"/>
            <w:tcBorders>
              <w:top w:val="nil"/>
              <w:left w:val="nil"/>
              <w:bottom w:val="nil"/>
              <w:right w:val="nil"/>
            </w:tcBorders>
            <w:noWrap/>
            <w:vAlign w:val="bottom"/>
            <w:hideMark/>
          </w:tcPr>
          <w:p w14:paraId="41D794BB"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7.8%</w:t>
            </w:r>
          </w:p>
        </w:tc>
      </w:tr>
      <w:tr w:rsidR="00FF1C97" w:rsidRPr="0053499C" w14:paraId="178AAF53" w14:textId="77777777" w:rsidTr="00AE4FBD">
        <w:trPr>
          <w:trHeight w:hRule="exact" w:val="173"/>
        </w:trPr>
        <w:tc>
          <w:tcPr>
            <w:tcW w:w="0" w:type="auto"/>
            <w:tcBorders>
              <w:top w:val="nil"/>
              <w:left w:val="nil"/>
              <w:bottom w:val="nil"/>
              <w:right w:val="nil"/>
            </w:tcBorders>
            <w:noWrap/>
            <w:vAlign w:val="bottom"/>
            <w:hideMark/>
          </w:tcPr>
          <w:p w14:paraId="506E170F"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24</w:t>
            </w:r>
          </w:p>
        </w:tc>
        <w:tc>
          <w:tcPr>
            <w:tcW w:w="0" w:type="auto"/>
            <w:tcBorders>
              <w:top w:val="nil"/>
              <w:left w:val="nil"/>
              <w:bottom w:val="nil"/>
              <w:right w:val="nil"/>
            </w:tcBorders>
            <w:noWrap/>
            <w:vAlign w:val="bottom"/>
            <w:hideMark/>
          </w:tcPr>
          <w:p w14:paraId="2A77756A"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$575,203 </w:t>
            </w:r>
          </w:p>
        </w:tc>
        <w:tc>
          <w:tcPr>
            <w:tcW w:w="0" w:type="auto"/>
            <w:tcBorders>
              <w:top w:val="nil"/>
              <w:left w:val="nil"/>
              <w:bottom w:val="nil"/>
              <w:right w:val="nil"/>
            </w:tcBorders>
            <w:noWrap/>
            <w:vAlign w:val="bottom"/>
            <w:hideMark/>
          </w:tcPr>
          <w:p w14:paraId="43E02A9D"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$34,512 </w:t>
            </w:r>
          </w:p>
        </w:tc>
        <w:tc>
          <w:tcPr>
            <w:tcW w:w="0" w:type="auto"/>
            <w:tcBorders>
              <w:top w:val="nil"/>
              <w:left w:val="nil"/>
              <w:bottom w:val="nil"/>
              <w:right w:val="nil"/>
            </w:tcBorders>
            <w:noWrap/>
            <w:vAlign w:val="bottom"/>
            <w:hideMark/>
          </w:tcPr>
          <w:p w14:paraId="09CFB15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$540,691 </w:t>
            </w:r>
          </w:p>
        </w:tc>
        <w:tc>
          <w:tcPr>
            <w:tcW w:w="0" w:type="auto"/>
            <w:tcBorders>
              <w:top w:val="nil"/>
              <w:left w:val="nil"/>
              <w:bottom w:val="nil"/>
              <w:right w:val="nil"/>
            </w:tcBorders>
            <w:noWrap/>
            <w:vAlign w:val="bottom"/>
            <w:hideMark/>
          </w:tcPr>
          <w:p w14:paraId="7FD3041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$380,691 </w:t>
            </w:r>
          </w:p>
        </w:tc>
        <w:tc>
          <w:tcPr>
            <w:tcW w:w="0" w:type="auto"/>
            <w:tcBorders>
              <w:top w:val="nil"/>
              <w:left w:val="nil"/>
              <w:bottom w:val="nil"/>
              <w:right w:val="nil"/>
            </w:tcBorders>
            <w:noWrap/>
            <w:vAlign w:val="bottom"/>
            <w:hideMark/>
          </w:tcPr>
          <w:p w14:paraId="5D50A3A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$336,691 </w:t>
            </w:r>
          </w:p>
        </w:tc>
        <w:tc>
          <w:tcPr>
            <w:tcW w:w="0" w:type="auto"/>
            <w:tcBorders>
              <w:top w:val="nil"/>
              <w:left w:val="nil"/>
              <w:bottom w:val="nil"/>
              <w:right w:val="nil"/>
            </w:tcBorders>
            <w:noWrap/>
            <w:vAlign w:val="bottom"/>
            <w:hideMark/>
          </w:tcPr>
          <w:p w14:paraId="79A2E11B"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$14,847 </w:t>
            </w:r>
          </w:p>
        </w:tc>
        <w:tc>
          <w:tcPr>
            <w:tcW w:w="0" w:type="auto"/>
            <w:tcBorders>
              <w:top w:val="nil"/>
              <w:left w:val="nil"/>
              <w:bottom w:val="nil"/>
              <w:right w:val="nil"/>
            </w:tcBorders>
            <w:noWrap/>
            <w:vAlign w:val="bottom"/>
            <w:hideMark/>
          </w:tcPr>
          <w:p w14:paraId="78A2C5C9"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7.4%</w:t>
            </w:r>
          </w:p>
        </w:tc>
      </w:tr>
      <w:tr w:rsidR="00FF1C97" w:rsidRPr="0053499C" w14:paraId="5DBA8899" w14:textId="77777777" w:rsidTr="00AE4FBD">
        <w:trPr>
          <w:trHeight w:hRule="exact" w:val="173"/>
        </w:trPr>
        <w:tc>
          <w:tcPr>
            <w:tcW w:w="0" w:type="auto"/>
            <w:tcBorders>
              <w:top w:val="nil"/>
              <w:left w:val="nil"/>
              <w:bottom w:val="nil"/>
              <w:right w:val="nil"/>
            </w:tcBorders>
            <w:noWrap/>
            <w:vAlign w:val="bottom"/>
            <w:hideMark/>
          </w:tcPr>
          <w:p w14:paraId="3E74CE02"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25</w:t>
            </w:r>
          </w:p>
        </w:tc>
        <w:tc>
          <w:tcPr>
            <w:tcW w:w="0" w:type="auto"/>
            <w:tcBorders>
              <w:top w:val="nil"/>
              <w:left w:val="nil"/>
              <w:bottom w:val="nil"/>
              <w:right w:val="nil"/>
            </w:tcBorders>
            <w:noWrap/>
            <w:vAlign w:val="bottom"/>
            <w:hideMark/>
          </w:tcPr>
          <w:p w14:paraId="220FE7D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$601,087 </w:t>
            </w:r>
          </w:p>
        </w:tc>
        <w:tc>
          <w:tcPr>
            <w:tcW w:w="0" w:type="auto"/>
            <w:tcBorders>
              <w:top w:val="nil"/>
              <w:left w:val="nil"/>
              <w:bottom w:val="nil"/>
              <w:right w:val="nil"/>
            </w:tcBorders>
            <w:noWrap/>
            <w:vAlign w:val="bottom"/>
            <w:hideMark/>
          </w:tcPr>
          <w:p w14:paraId="573CDC2B"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$36,065 </w:t>
            </w:r>
          </w:p>
        </w:tc>
        <w:tc>
          <w:tcPr>
            <w:tcW w:w="0" w:type="auto"/>
            <w:tcBorders>
              <w:top w:val="nil"/>
              <w:left w:val="nil"/>
              <w:bottom w:val="nil"/>
              <w:right w:val="nil"/>
            </w:tcBorders>
            <w:noWrap/>
            <w:vAlign w:val="bottom"/>
            <w:hideMark/>
          </w:tcPr>
          <w:p w14:paraId="54D75402"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$565,022 </w:t>
            </w:r>
          </w:p>
        </w:tc>
        <w:tc>
          <w:tcPr>
            <w:tcW w:w="0" w:type="auto"/>
            <w:tcBorders>
              <w:top w:val="nil"/>
              <w:left w:val="nil"/>
              <w:bottom w:val="nil"/>
              <w:right w:val="nil"/>
            </w:tcBorders>
            <w:noWrap/>
            <w:vAlign w:val="bottom"/>
            <w:hideMark/>
          </w:tcPr>
          <w:p w14:paraId="63BEAA4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$405,022 </w:t>
            </w:r>
          </w:p>
        </w:tc>
        <w:tc>
          <w:tcPr>
            <w:tcW w:w="0" w:type="auto"/>
            <w:tcBorders>
              <w:top w:val="nil"/>
              <w:left w:val="nil"/>
              <w:bottom w:val="nil"/>
              <w:right w:val="nil"/>
            </w:tcBorders>
            <w:noWrap/>
            <w:vAlign w:val="bottom"/>
            <w:hideMark/>
          </w:tcPr>
          <w:p w14:paraId="2496CED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$361,022 </w:t>
            </w:r>
          </w:p>
        </w:tc>
        <w:tc>
          <w:tcPr>
            <w:tcW w:w="0" w:type="auto"/>
            <w:tcBorders>
              <w:top w:val="nil"/>
              <w:left w:val="nil"/>
              <w:bottom w:val="nil"/>
              <w:right w:val="nil"/>
            </w:tcBorders>
            <w:noWrap/>
            <w:vAlign w:val="bottom"/>
            <w:hideMark/>
          </w:tcPr>
          <w:p w14:paraId="488ADE29"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$14,019 </w:t>
            </w:r>
          </w:p>
        </w:tc>
        <w:tc>
          <w:tcPr>
            <w:tcW w:w="0" w:type="auto"/>
            <w:tcBorders>
              <w:top w:val="nil"/>
              <w:left w:val="nil"/>
              <w:bottom w:val="nil"/>
              <w:right w:val="nil"/>
            </w:tcBorders>
            <w:noWrap/>
            <w:vAlign w:val="bottom"/>
            <w:hideMark/>
          </w:tcPr>
          <w:p w14:paraId="127997A0"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7.0%</w:t>
            </w:r>
          </w:p>
        </w:tc>
      </w:tr>
      <w:tr w:rsidR="00FF1C97" w:rsidRPr="0053499C" w14:paraId="0DDD744F" w14:textId="77777777" w:rsidTr="00AE4FBD">
        <w:trPr>
          <w:trHeight w:hRule="exact" w:val="173"/>
        </w:trPr>
        <w:tc>
          <w:tcPr>
            <w:tcW w:w="0" w:type="auto"/>
            <w:tcBorders>
              <w:top w:val="nil"/>
              <w:left w:val="nil"/>
              <w:bottom w:val="nil"/>
              <w:right w:val="nil"/>
            </w:tcBorders>
            <w:noWrap/>
            <w:vAlign w:val="bottom"/>
            <w:hideMark/>
          </w:tcPr>
          <w:p w14:paraId="58174D9E"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26</w:t>
            </w:r>
          </w:p>
        </w:tc>
        <w:tc>
          <w:tcPr>
            <w:tcW w:w="0" w:type="auto"/>
            <w:tcBorders>
              <w:top w:val="nil"/>
              <w:left w:val="nil"/>
              <w:bottom w:val="nil"/>
              <w:right w:val="nil"/>
            </w:tcBorders>
            <w:noWrap/>
            <w:vAlign w:val="bottom"/>
            <w:hideMark/>
          </w:tcPr>
          <w:p w14:paraId="11097FCB"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$628,136 </w:t>
            </w:r>
          </w:p>
        </w:tc>
        <w:tc>
          <w:tcPr>
            <w:tcW w:w="0" w:type="auto"/>
            <w:tcBorders>
              <w:top w:val="nil"/>
              <w:left w:val="nil"/>
              <w:bottom w:val="nil"/>
              <w:right w:val="nil"/>
            </w:tcBorders>
            <w:noWrap/>
            <w:vAlign w:val="bottom"/>
            <w:hideMark/>
          </w:tcPr>
          <w:p w14:paraId="3478369C"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$37,688 </w:t>
            </w:r>
          </w:p>
        </w:tc>
        <w:tc>
          <w:tcPr>
            <w:tcW w:w="0" w:type="auto"/>
            <w:tcBorders>
              <w:top w:val="nil"/>
              <w:left w:val="nil"/>
              <w:bottom w:val="nil"/>
              <w:right w:val="nil"/>
            </w:tcBorders>
            <w:noWrap/>
            <w:vAlign w:val="bottom"/>
            <w:hideMark/>
          </w:tcPr>
          <w:p w14:paraId="02D3CA6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$590,448 </w:t>
            </w:r>
          </w:p>
        </w:tc>
        <w:tc>
          <w:tcPr>
            <w:tcW w:w="0" w:type="auto"/>
            <w:tcBorders>
              <w:top w:val="nil"/>
              <w:left w:val="nil"/>
              <w:bottom w:val="nil"/>
              <w:right w:val="nil"/>
            </w:tcBorders>
            <w:noWrap/>
            <w:vAlign w:val="bottom"/>
            <w:hideMark/>
          </w:tcPr>
          <w:p w14:paraId="1209839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$430,448 </w:t>
            </w:r>
          </w:p>
        </w:tc>
        <w:tc>
          <w:tcPr>
            <w:tcW w:w="0" w:type="auto"/>
            <w:tcBorders>
              <w:top w:val="nil"/>
              <w:left w:val="nil"/>
              <w:bottom w:val="nil"/>
              <w:right w:val="nil"/>
            </w:tcBorders>
            <w:noWrap/>
            <w:vAlign w:val="bottom"/>
            <w:hideMark/>
          </w:tcPr>
          <w:p w14:paraId="12097F4A"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$386,448 </w:t>
            </w:r>
          </w:p>
        </w:tc>
        <w:tc>
          <w:tcPr>
            <w:tcW w:w="0" w:type="auto"/>
            <w:tcBorders>
              <w:top w:val="nil"/>
              <w:left w:val="nil"/>
              <w:bottom w:val="nil"/>
              <w:right w:val="nil"/>
            </w:tcBorders>
            <w:noWrap/>
            <w:vAlign w:val="bottom"/>
            <w:hideMark/>
          </w:tcPr>
          <w:p w14:paraId="1164FF0B"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$13,146 </w:t>
            </w:r>
          </w:p>
        </w:tc>
        <w:tc>
          <w:tcPr>
            <w:tcW w:w="0" w:type="auto"/>
            <w:tcBorders>
              <w:top w:val="nil"/>
              <w:left w:val="nil"/>
              <w:bottom w:val="nil"/>
              <w:right w:val="nil"/>
            </w:tcBorders>
            <w:noWrap/>
            <w:vAlign w:val="bottom"/>
            <w:hideMark/>
          </w:tcPr>
          <w:p w14:paraId="6A991592"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6.6%</w:t>
            </w:r>
          </w:p>
        </w:tc>
      </w:tr>
      <w:tr w:rsidR="00FF1C97" w:rsidRPr="0053499C" w14:paraId="00132C87" w14:textId="77777777" w:rsidTr="00AE4FBD">
        <w:trPr>
          <w:trHeight w:hRule="exact" w:val="173"/>
        </w:trPr>
        <w:tc>
          <w:tcPr>
            <w:tcW w:w="0" w:type="auto"/>
            <w:tcBorders>
              <w:top w:val="nil"/>
              <w:left w:val="nil"/>
              <w:bottom w:val="nil"/>
              <w:right w:val="nil"/>
            </w:tcBorders>
            <w:noWrap/>
            <w:vAlign w:val="bottom"/>
            <w:hideMark/>
          </w:tcPr>
          <w:p w14:paraId="03C3AE41"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27</w:t>
            </w:r>
          </w:p>
        </w:tc>
        <w:tc>
          <w:tcPr>
            <w:tcW w:w="0" w:type="auto"/>
            <w:tcBorders>
              <w:top w:val="nil"/>
              <w:left w:val="nil"/>
              <w:bottom w:val="nil"/>
              <w:right w:val="nil"/>
            </w:tcBorders>
            <w:noWrap/>
            <w:vAlign w:val="bottom"/>
            <w:hideMark/>
          </w:tcPr>
          <w:p w14:paraId="0500A5E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$656,402 </w:t>
            </w:r>
          </w:p>
        </w:tc>
        <w:tc>
          <w:tcPr>
            <w:tcW w:w="0" w:type="auto"/>
            <w:tcBorders>
              <w:top w:val="nil"/>
              <w:left w:val="nil"/>
              <w:bottom w:val="nil"/>
              <w:right w:val="nil"/>
            </w:tcBorders>
            <w:noWrap/>
            <w:vAlign w:val="bottom"/>
            <w:hideMark/>
          </w:tcPr>
          <w:p w14:paraId="04E8F11A"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$39,384 </w:t>
            </w:r>
          </w:p>
        </w:tc>
        <w:tc>
          <w:tcPr>
            <w:tcW w:w="0" w:type="auto"/>
            <w:tcBorders>
              <w:top w:val="nil"/>
              <w:left w:val="nil"/>
              <w:bottom w:val="nil"/>
              <w:right w:val="nil"/>
            </w:tcBorders>
            <w:noWrap/>
            <w:vAlign w:val="bottom"/>
            <w:hideMark/>
          </w:tcPr>
          <w:p w14:paraId="77761AA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$617,018 </w:t>
            </w:r>
          </w:p>
        </w:tc>
        <w:tc>
          <w:tcPr>
            <w:tcW w:w="0" w:type="auto"/>
            <w:tcBorders>
              <w:top w:val="nil"/>
              <w:left w:val="nil"/>
              <w:bottom w:val="nil"/>
              <w:right w:val="nil"/>
            </w:tcBorders>
            <w:noWrap/>
            <w:vAlign w:val="bottom"/>
            <w:hideMark/>
          </w:tcPr>
          <w:p w14:paraId="08EA73C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$457,018 </w:t>
            </w:r>
          </w:p>
        </w:tc>
        <w:tc>
          <w:tcPr>
            <w:tcW w:w="0" w:type="auto"/>
            <w:tcBorders>
              <w:top w:val="nil"/>
              <w:left w:val="nil"/>
              <w:bottom w:val="nil"/>
              <w:right w:val="nil"/>
            </w:tcBorders>
            <w:noWrap/>
            <w:vAlign w:val="bottom"/>
            <w:hideMark/>
          </w:tcPr>
          <w:p w14:paraId="2569839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$413,018 </w:t>
            </w:r>
          </w:p>
        </w:tc>
        <w:tc>
          <w:tcPr>
            <w:tcW w:w="0" w:type="auto"/>
            <w:tcBorders>
              <w:top w:val="nil"/>
              <w:left w:val="nil"/>
              <w:bottom w:val="nil"/>
              <w:right w:val="nil"/>
            </w:tcBorders>
            <w:noWrap/>
            <w:vAlign w:val="bottom"/>
            <w:hideMark/>
          </w:tcPr>
          <w:p w14:paraId="5BE95ACB"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$12,234 </w:t>
            </w:r>
          </w:p>
        </w:tc>
        <w:tc>
          <w:tcPr>
            <w:tcW w:w="0" w:type="auto"/>
            <w:tcBorders>
              <w:top w:val="nil"/>
              <w:left w:val="nil"/>
              <w:bottom w:val="nil"/>
              <w:right w:val="nil"/>
            </w:tcBorders>
            <w:noWrap/>
            <w:vAlign w:val="bottom"/>
            <w:hideMark/>
          </w:tcPr>
          <w:p w14:paraId="224D0706"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6.1%</w:t>
            </w:r>
          </w:p>
        </w:tc>
      </w:tr>
      <w:tr w:rsidR="00FF1C97" w:rsidRPr="0053499C" w14:paraId="445D54AF" w14:textId="77777777" w:rsidTr="00AE4FBD">
        <w:trPr>
          <w:trHeight w:hRule="exact" w:val="173"/>
        </w:trPr>
        <w:tc>
          <w:tcPr>
            <w:tcW w:w="0" w:type="auto"/>
            <w:tcBorders>
              <w:top w:val="nil"/>
              <w:left w:val="nil"/>
              <w:bottom w:val="nil"/>
              <w:right w:val="nil"/>
            </w:tcBorders>
            <w:noWrap/>
            <w:vAlign w:val="bottom"/>
            <w:hideMark/>
          </w:tcPr>
          <w:p w14:paraId="7A9FE51F"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28</w:t>
            </w:r>
          </w:p>
        </w:tc>
        <w:tc>
          <w:tcPr>
            <w:tcW w:w="0" w:type="auto"/>
            <w:tcBorders>
              <w:top w:val="nil"/>
              <w:left w:val="nil"/>
              <w:bottom w:val="nil"/>
              <w:right w:val="nil"/>
            </w:tcBorders>
            <w:noWrap/>
            <w:vAlign w:val="bottom"/>
            <w:hideMark/>
          </w:tcPr>
          <w:p w14:paraId="6325CB4D"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$685,940 </w:t>
            </w:r>
          </w:p>
        </w:tc>
        <w:tc>
          <w:tcPr>
            <w:tcW w:w="0" w:type="auto"/>
            <w:tcBorders>
              <w:top w:val="nil"/>
              <w:left w:val="nil"/>
              <w:bottom w:val="nil"/>
              <w:right w:val="nil"/>
            </w:tcBorders>
            <w:noWrap/>
            <w:vAlign w:val="bottom"/>
            <w:hideMark/>
          </w:tcPr>
          <w:p w14:paraId="3BF525C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$41,156 </w:t>
            </w:r>
          </w:p>
        </w:tc>
        <w:tc>
          <w:tcPr>
            <w:tcW w:w="0" w:type="auto"/>
            <w:tcBorders>
              <w:top w:val="nil"/>
              <w:left w:val="nil"/>
              <w:bottom w:val="nil"/>
              <w:right w:val="nil"/>
            </w:tcBorders>
            <w:noWrap/>
            <w:vAlign w:val="bottom"/>
            <w:hideMark/>
          </w:tcPr>
          <w:p w14:paraId="46B8521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$644,784 </w:t>
            </w:r>
          </w:p>
        </w:tc>
        <w:tc>
          <w:tcPr>
            <w:tcW w:w="0" w:type="auto"/>
            <w:tcBorders>
              <w:top w:val="nil"/>
              <w:left w:val="nil"/>
              <w:bottom w:val="nil"/>
              <w:right w:val="nil"/>
            </w:tcBorders>
            <w:noWrap/>
            <w:vAlign w:val="bottom"/>
            <w:hideMark/>
          </w:tcPr>
          <w:p w14:paraId="2830FDD1"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$484,784 </w:t>
            </w:r>
          </w:p>
        </w:tc>
        <w:tc>
          <w:tcPr>
            <w:tcW w:w="0" w:type="auto"/>
            <w:tcBorders>
              <w:top w:val="nil"/>
              <w:left w:val="nil"/>
              <w:bottom w:val="nil"/>
              <w:right w:val="nil"/>
            </w:tcBorders>
            <w:noWrap/>
            <w:vAlign w:val="bottom"/>
            <w:hideMark/>
          </w:tcPr>
          <w:p w14:paraId="7A85F1C5"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$440,784 </w:t>
            </w:r>
          </w:p>
        </w:tc>
        <w:tc>
          <w:tcPr>
            <w:tcW w:w="0" w:type="auto"/>
            <w:tcBorders>
              <w:top w:val="nil"/>
              <w:left w:val="nil"/>
              <w:bottom w:val="nil"/>
              <w:right w:val="nil"/>
            </w:tcBorders>
            <w:noWrap/>
            <w:vAlign w:val="bottom"/>
            <w:hideMark/>
          </w:tcPr>
          <w:p w14:paraId="7F99114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$11,290 </w:t>
            </w:r>
          </w:p>
        </w:tc>
        <w:tc>
          <w:tcPr>
            <w:tcW w:w="0" w:type="auto"/>
            <w:tcBorders>
              <w:top w:val="nil"/>
              <w:left w:val="nil"/>
              <w:bottom w:val="nil"/>
              <w:right w:val="nil"/>
            </w:tcBorders>
            <w:noWrap/>
            <w:vAlign w:val="bottom"/>
            <w:hideMark/>
          </w:tcPr>
          <w:p w14:paraId="2E3863E7"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5.6%</w:t>
            </w:r>
          </w:p>
        </w:tc>
      </w:tr>
      <w:tr w:rsidR="00FF1C97" w:rsidRPr="0053499C" w14:paraId="46BB3A85" w14:textId="77777777" w:rsidTr="00AE4FBD">
        <w:trPr>
          <w:trHeight w:hRule="exact" w:val="173"/>
        </w:trPr>
        <w:tc>
          <w:tcPr>
            <w:tcW w:w="0" w:type="auto"/>
            <w:tcBorders>
              <w:top w:val="nil"/>
              <w:left w:val="nil"/>
              <w:bottom w:val="nil"/>
              <w:right w:val="nil"/>
            </w:tcBorders>
            <w:noWrap/>
            <w:vAlign w:val="bottom"/>
            <w:hideMark/>
          </w:tcPr>
          <w:p w14:paraId="4B868727"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29</w:t>
            </w:r>
          </w:p>
        </w:tc>
        <w:tc>
          <w:tcPr>
            <w:tcW w:w="0" w:type="auto"/>
            <w:tcBorders>
              <w:top w:val="nil"/>
              <w:left w:val="nil"/>
              <w:bottom w:val="nil"/>
              <w:right w:val="nil"/>
            </w:tcBorders>
            <w:noWrap/>
            <w:vAlign w:val="bottom"/>
            <w:hideMark/>
          </w:tcPr>
          <w:p w14:paraId="02FBCB3F"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$716,807 </w:t>
            </w:r>
          </w:p>
        </w:tc>
        <w:tc>
          <w:tcPr>
            <w:tcW w:w="0" w:type="auto"/>
            <w:tcBorders>
              <w:top w:val="nil"/>
              <w:left w:val="nil"/>
              <w:bottom w:val="nil"/>
              <w:right w:val="nil"/>
            </w:tcBorders>
            <w:noWrap/>
            <w:vAlign w:val="bottom"/>
            <w:hideMark/>
          </w:tcPr>
          <w:p w14:paraId="10B0EED4"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$43,008 </w:t>
            </w:r>
          </w:p>
        </w:tc>
        <w:tc>
          <w:tcPr>
            <w:tcW w:w="0" w:type="auto"/>
            <w:tcBorders>
              <w:top w:val="nil"/>
              <w:left w:val="nil"/>
              <w:bottom w:val="nil"/>
              <w:right w:val="nil"/>
            </w:tcBorders>
            <w:noWrap/>
            <w:vAlign w:val="bottom"/>
            <w:hideMark/>
          </w:tcPr>
          <w:p w14:paraId="6EC704AC"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$673,799 </w:t>
            </w:r>
          </w:p>
        </w:tc>
        <w:tc>
          <w:tcPr>
            <w:tcW w:w="0" w:type="auto"/>
            <w:tcBorders>
              <w:top w:val="nil"/>
              <w:left w:val="nil"/>
              <w:bottom w:val="nil"/>
              <w:right w:val="nil"/>
            </w:tcBorders>
            <w:noWrap/>
            <w:vAlign w:val="bottom"/>
            <w:hideMark/>
          </w:tcPr>
          <w:p w14:paraId="640B1A2A"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$513,799 </w:t>
            </w:r>
          </w:p>
        </w:tc>
        <w:tc>
          <w:tcPr>
            <w:tcW w:w="0" w:type="auto"/>
            <w:tcBorders>
              <w:top w:val="nil"/>
              <w:left w:val="nil"/>
              <w:bottom w:val="nil"/>
              <w:right w:val="nil"/>
            </w:tcBorders>
            <w:noWrap/>
            <w:vAlign w:val="bottom"/>
            <w:hideMark/>
          </w:tcPr>
          <w:p w14:paraId="18F7BBD0"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$469,799 </w:t>
            </w:r>
          </w:p>
        </w:tc>
        <w:tc>
          <w:tcPr>
            <w:tcW w:w="0" w:type="auto"/>
            <w:tcBorders>
              <w:top w:val="nil"/>
              <w:left w:val="nil"/>
              <w:bottom w:val="nil"/>
              <w:right w:val="nil"/>
            </w:tcBorders>
            <w:noWrap/>
            <w:vAlign w:val="bottom"/>
            <w:hideMark/>
          </w:tcPr>
          <w:p w14:paraId="72ECEC62"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$10,319 </w:t>
            </w:r>
          </w:p>
        </w:tc>
        <w:tc>
          <w:tcPr>
            <w:tcW w:w="0" w:type="auto"/>
            <w:tcBorders>
              <w:top w:val="nil"/>
              <w:left w:val="nil"/>
              <w:bottom w:val="nil"/>
              <w:right w:val="nil"/>
            </w:tcBorders>
            <w:noWrap/>
            <w:vAlign w:val="bottom"/>
            <w:hideMark/>
          </w:tcPr>
          <w:p w14:paraId="063552EE"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5.2%</w:t>
            </w:r>
          </w:p>
        </w:tc>
      </w:tr>
      <w:tr w:rsidR="00FF1C97" w:rsidRPr="0053499C" w14:paraId="32E7E310" w14:textId="77777777" w:rsidTr="00AE4FBD">
        <w:trPr>
          <w:trHeight w:hRule="exact" w:val="173"/>
        </w:trPr>
        <w:tc>
          <w:tcPr>
            <w:tcW w:w="0" w:type="auto"/>
            <w:tcBorders>
              <w:top w:val="nil"/>
              <w:left w:val="nil"/>
              <w:bottom w:val="nil"/>
              <w:right w:val="nil"/>
            </w:tcBorders>
            <w:noWrap/>
            <w:vAlign w:val="bottom"/>
            <w:hideMark/>
          </w:tcPr>
          <w:p w14:paraId="17C0D3CA"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30</w:t>
            </w:r>
          </w:p>
        </w:tc>
        <w:tc>
          <w:tcPr>
            <w:tcW w:w="0" w:type="auto"/>
            <w:tcBorders>
              <w:top w:val="nil"/>
              <w:left w:val="nil"/>
              <w:bottom w:val="nil"/>
              <w:right w:val="nil"/>
            </w:tcBorders>
            <w:noWrap/>
            <w:vAlign w:val="bottom"/>
            <w:hideMark/>
          </w:tcPr>
          <w:p w14:paraId="5B89AD32"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$749,064 </w:t>
            </w:r>
          </w:p>
        </w:tc>
        <w:tc>
          <w:tcPr>
            <w:tcW w:w="0" w:type="auto"/>
            <w:tcBorders>
              <w:top w:val="nil"/>
              <w:left w:val="nil"/>
              <w:bottom w:val="nil"/>
              <w:right w:val="nil"/>
            </w:tcBorders>
            <w:noWrap/>
            <w:vAlign w:val="bottom"/>
            <w:hideMark/>
          </w:tcPr>
          <w:p w14:paraId="4BC63593"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$44,944 </w:t>
            </w:r>
          </w:p>
        </w:tc>
        <w:tc>
          <w:tcPr>
            <w:tcW w:w="0" w:type="auto"/>
            <w:tcBorders>
              <w:top w:val="nil"/>
              <w:left w:val="nil"/>
              <w:bottom w:val="nil"/>
              <w:right w:val="nil"/>
            </w:tcBorders>
            <w:noWrap/>
            <w:vAlign w:val="bottom"/>
            <w:hideMark/>
          </w:tcPr>
          <w:p w14:paraId="0E021D26"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$704,120 </w:t>
            </w:r>
          </w:p>
        </w:tc>
        <w:tc>
          <w:tcPr>
            <w:tcW w:w="0" w:type="auto"/>
            <w:tcBorders>
              <w:top w:val="nil"/>
              <w:left w:val="nil"/>
              <w:bottom w:val="nil"/>
              <w:right w:val="nil"/>
            </w:tcBorders>
            <w:noWrap/>
            <w:vAlign w:val="bottom"/>
            <w:hideMark/>
          </w:tcPr>
          <w:p w14:paraId="0224FEFE"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$544,120 </w:t>
            </w:r>
          </w:p>
        </w:tc>
        <w:tc>
          <w:tcPr>
            <w:tcW w:w="0" w:type="auto"/>
            <w:tcBorders>
              <w:top w:val="nil"/>
              <w:left w:val="nil"/>
              <w:bottom w:val="nil"/>
              <w:right w:val="nil"/>
            </w:tcBorders>
            <w:noWrap/>
            <w:vAlign w:val="bottom"/>
            <w:hideMark/>
          </w:tcPr>
          <w:p w14:paraId="605714FD"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$500,120 </w:t>
            </w:r>
          </w:p>
        </w:tc>
        <w:tc>
          <w:tcPr>
            <w:tcW w:w="0" w:type="auto"/>
            <w:tcBorders>
              <w:top w:val="nil"/>
              <w:left w:val="nil"/>
              <w:bottom w:val="nil"/>
              <w:right w:val="nil"/>
            </w:tcBorders>
            <w:noWrap/>
            <w:vAlign w:val="bottom"/>
            <w:hideMark/>
          </w:tcPr>
          <w:p w14:paraId="07CD0907" w14:textId="77777777" w:rsidR="00FF1C97" w:rsidRPr="0053499C" w:rsidRDefault="00FF1C97" w:rsidP="00FF1C97">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$9,327 </w:t>
            </w:r>
          </w:p>
        </w:tc>
        <w:tc>
          <w:tcPr>
            <w:tcW w:w="0" w:type="auto"/>
            <w:tcBorders>
              <w:top w:val="nil"/>
              <w:left w:val="nil"/>
              <w:bottom w:val="nil"/>
              <w:right w:val="nil"/>
            </w:tcBorders>
            <w:noWrap/>
            <w:vAlign w:val="bottom"/>
            <w:hideMark/>
          </w:tcPr>
          <w:p w14:paraId="5FE0173A" w14:textId="77777777" w:rsidR="00FF1C97" w:rsidRPr="0053499C" w:rsidRDefault="00FF1C97" w:rsidP="00FF1C97">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4.7%</w:t>
            </w:r>
          </w:p>
        </w:tc>
      </w:tr>
    </w:tbl>
    <w:p w14:paraId="04FEB23C" w14:textId="77777777" w:rsidR="00AE4FBD" w:rsidRPr="00124B71" w:rsidRDefault="00AE4FBD" w:rsidP="00AE4FBD">
      <w:pPr>
        <w:ind w:firstLine="0"/>
        <w:rPr>
          <w:rFonts w:cs="Times New Roman"/>
        </w:rPr>
      </w:pPr>
    </w:p>
    <w:p w14:paraId="3A085DF9" w14:textId="77777777" w:rsidR="00AE4FBD" w:rsidRPr="00124B71" w:rsidRDefault="00AE4FBD">
      <w:pPr>
        <w:spacing w:after="240" w:line="480" w:lineRule="auto"/>
        <w:jc w:val="left"/>
        <w:rPr>
          <w:rFonts w:cs="Times New Roman"/>
        </w:rPr>
      </w:pPr>
      <w:r w:rsidRPr="00124B71">
        <w:rPr>
          <w:rFonts w:cs="Times New Roman"/>
        </w:rPr>
        <w:br w:type="page"/>
      </w:r>
    </w:p>
    <w:p w14:paraId="6E09D971" w14:textId="77777777" w:rsidR="00AE4FBD" w:rsidRPr="00124B71" w:rsidRDefault="00AE4FBD" w:rsidP="00AE4FBD">
      <w:pPr>
        <w:rPr>
          <w:rFonts w:cs="Times New Roman"/>
        </w:rPr>
      </w:pPr>
      <w:r w:rsidRPr="00124B71">
        <w:rPr>
          <w:rFonts w:cs="Times New Roman"/>
        </w:rPr>
        <w:lastRenderedPageBreak/>
        <w:t>Larger discount rates eliminate the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premium on residential real estate. The money tied up in a 20% downpayment on residential real estate appreciating at 4.5% provides a rate of return less than 12%; therefore when the gains from appreciation are discounted at 12%, the net present value</w:t>
      </w:r>
      <w:r w:rsidR="001858B5">
        <w:rPr>
          <w:rFonts w:cs="Times New Roman"/>
        </w:rPr>
        <w:fldChar w:fldCharType="begin"/>
      </w:r>
      <w:r w:rsidR="00180E6F">
        <w:instrText xml:space="preserve"> XE "</w:instrText>
      </w:r>
      <w:r w:rsidR="00180E6F" w:rsidRPr="00A51C37">
        <w:rPr>
          <w:rFonts w:cs="Times New Roman"/>
        </w:rPr>
        <w:instrText>net present value</w:instrText>
      </w:r>
      <w:r w:rsidR="00180E6F">
        <w:instrText xml:space="preserve">" </w:instrText>
      </w:r>
      <w:r w:rsidR="001858B5">
        <w:rPr>
          <w:rFonts w:cs="Times New Roman"/>
        </w:rPr>
        <w:fldChar w:fldCharType="end"/>
      </w:r>
      <w:r w:rsidRPr="00124B71">
        <w:rPr>
          <w:rFonts w:cs="Times New Roman"/>
        </w:rPr>
        <w:t xml:space="preserve"> never goes positive. When investors demand returns equal to or greater than 12%, there is no investment value</w:t>
      </w:r>
      <w:r w:rsidR="001858B5">
        <w:rPr>
          <w:rFonts w:cs="Times New Roman"/>
        </w:rPr>
        <w:fldChar w:fldCharType="begin"/>
      </w:r>
      <w:r w:rsidR="00FF74AC">
        <w:instrText xml:space="preserve"> XE "</w:instrText>
      </w:r>
      <w:r w:rsidR="00FF74AC" w:rsidRPr="000E370D">
        <w:rPr>
          <w:rFonts w:cs="Times New Roman"/>
        </w:rPr>
        <w:instrText>investment value</w:instrText>
      </w:r>
      <w:r w:rsidR="00FF74AC">
        <w:instrText xml:space="preserve">" </w:instrText>
      </w:r>
      <w:r w:rsidR="001858B5">
        <w:rPr>
          <w:rFonts w:cs="Times New Roman"/>
        </w:rPr>
        <w:fldChar w:fldCharType="end"/>
      </w:r>
      <w:r w:rsidRPr="00124B71">
        <w:rPr>
          <w:rFonts w:cs="Times New Roman"/>
        </w:rPr>
        <w:t xml:space="preserve"> from appreciation in residential real estate.</w:t>
      </w:r>
    </w:p>
    <w:p w14:paraId="0AE7C8E7" w14:textId="77777777" w:rsidR="0084584B" w:rsidRPr="00124B71" w:rsidRDefault="0084584B" w:rsidP="0084584B">
      <w:pPr>
        <w:rPr>
          <w:rFonts w:cs="Times New Roman"/>
        </w:rPr>
      </w:pPr>
    </w:p>
    <w:p w14:paraId="7912FB57" w14:textId="420A4497" w:rsidR="00AE6074" w:rsidRDefault="00AE6074" w:rsidP="00AE6074">
      <w:pPr>
        <w:pStyle w:val="Caption"/>
      </w:pPr>
      <w:bookmarkStart w:id="68" w:name="_Toc194759341"/>
      <w:bookmarkStart w:id="69" w:name="_Toc238867430"/>
      <w:r>
        <w:t xml:space="preserve">Table </w:t>
      </w:r>
      <w:fldSimple w:instr=" SEQ Table \* ARABIC ">
        <w:r w:rsidR="00493733">
          <w:rPr>
            <w:noProof/>
          </w:rPr>
          <w:t>4</w:t>
        </w:r>
      </w:fldSimple>
      <w:r w:rsidR="00317936">
        <w:t xml:space="preserve">: </w:t>
      </w:r>
      <w:r>
        <w:t>Appreciation Premium and Holding Period</w:t>
      </w:r>
      <w:r w:rsidRPr="00AE6074">
        <w:t xml:space="preserve"> </w:t>
      </w:r>
      <w:r>
        <w:t>using a 12% Discount Rate</w:t>
      </w:r>
      <w:bookmarkEnd w:id="68"/>
      <w:bookmarkEnd w:id="69"/>
    </w:p>
    <w:tbl>
      <w:tblPr>
        <w:tblW w:w="7020" w:type="dxa"/>
        <w:tblInd w:w="-162" w:type="dxa"/>
        <w:tblLayout w:type="fixed"/>
        <w:tblLook w:val="04A0" w:firstRow="1" w:lastRow="0" w:firstColumn="1" w:lastColumn="0" w:noHBand="0" w:noVBand="1"/>
      </w:tblPr>
      <w:tblGrid>
        <w:gridCol w:w="630"/>
        <w:gridCol w:w="900"/>
        <w:gridCol w:w="812"/>
        <w:gridCol w:w="896"/>
        <w:gridCol w:w="456"/>
        <w:gridCol w:w="536"/>
        <w:gridCol w:w="990"/>
        <w:gridCol w:w="979"/>
        <w:gridCol w:w="821"/>
      </w:tblGrid>
      <w:tr w:rsidR="00AE6074" w:rsidRPr="0053499C" w14:paraId="266227D9" w14:textId="77777777" w:rsidTr="004757E2">
        <w:trPr>
          <w:gridAfter w:val="4"/>
          <w:wAfter w:w="3326" w:type="dxa"/>
          <w:trHeight w:hRule="exact" w:val="173"/>
        </w:trPr>
        <w:tc>
          <w:tcPr>
            <w:tcW w:w="1530" w:type="dxa"/>
            <w:gridSpan w:val="2"/>
            <w:noWrap/>
            <w:vAlign w:val="bottom"/>
            <w:hideMark/>
          </w:tcPr>
          <w:p w14:paraId="6841260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$200,000 </w:t>
            </w:r>
          </w:p>
        </w:tc>
        <w:tc>
          <w:tcPr>
            <w:tcW w:w="2164" w:type="dxa"/>
            <w:gridSpan w:val="3"/>
            <w:noWrap/>
            <w:vAlign w:val="bottom"/>
            <w:hideMark/>
          </w:tcPr>
          <w:p w14:paraId="265BAF55" w14:textId="77777777" w:rsidR="00AE6074" w:rsidRPr="0053499C" w:rsidRDefault="00AE6074" w:rsidP="005854E3">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House Price</w:t>
            </w:r>
          </w:p>
        </w:tc>
      </w:tr>
      <w:tr w:rsidR="00AE6074" w:rsidRPr="0053499C" w14:paraId="76E3F71F" w14:textId="77777777" w:rsidTr="004757E2">
        <w:trPr>
          <w:gridAfter w:val="4"/>
          <w:wAfter w:w="3326" w:type="dxa"/>
          <w:trHeight w:hRule="exact" w:val="173"/>
        </w:trPr>
        <w:tc>
          <w:tcPr>
            <w:tcW w:w="1530" w:type="dxa"/>
            <w:gridSpan w:val="2"/>
            <w:noWrap/>
            <w:vAlign w:val="bottom"/>
            <w:hideMark/>
          </w:tcPr>
          <w:p w14:paraId="1E9F6CC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$40,000 </w:t>
            </w:r>
          </w:p>
        </w:tc>
        <w:tc>
          <w:tcPr>
            <w:tcW w:w="2164" w:type="dxa"/>
            <w:gridSpan w:val="3"/>
            <w:noWrap/>
            <w:vAlign w:val="bottom"/>
            <w:hideMark/>
          </w:tcPr>
          <w:p w14:paraId="651BCF13" w14:textId="77777777" w:rsidR="00AE6074" w:rsidRPr="0053499C" w:rsidRDefault="00AE6074" w:rsidP="005854E3">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Downpayment</w:t>
            </w:r>
          </w:p>
        </w:tc>
      </w:tr>
      <w:tr w:rsidR="00AE6074" w:rsidRPr="0053499C" w14:paraId="74DFD75A" w14:textId="77777777" w:rsidTr="004757E2">
        <w:trPr>
          <w:gridAfter w:val="4"/>
          <w:wAfter w:w="3326" w:type="dxa"/>
          <w:trHeight w:hRule="exact" w:val="173"/>
        </w:trPr>
        <w:tc>
          <w:tcPr>
            <w:tcW w:w="1530" w:type="dxa"/>
            <w:gridSpan w:val="2"/>
            <w:noWrap/>
            <w:vAlign w:val="bottom"/>
            <w:hideMark/>
          </w:tcPr>
          <w:p w14:paraId="228C5DB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$4,000 </w:t>
            </w:r>
          </w:p>
        </w:tc>
        <w:tc>
          <w:tcPr>
            <w:tcW w:w="2164" w:type="dxa"/>
            <w:gridSpan w:val="3"/>
            <w:noWrap/>
            <w:vAlign w:val="bottom"/>
            <w:hideMark/>
          </w:tcPr>
          <w:p w14:paraId="7DF32BAF" w14:textId="77777777" w:rsidR="00AE6074" w:rsidRPr="0053499C" w:rsidRDefault="00AE6074" w:rsidP="005854E3">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Closing Costs at 2%</w:t>
            </w:r>
          </w:p>
        </w:tc>
      </w:tr>
      <w:tr w:rsidR="00AE6074" w:rsidRPr="0053499C" w14:paraId="4145DB81" w14:textId="77777777" w:rsidTr="004757E2">
        <w:trPr>
          <w:gridAfter w:val="4"/>
          <w:wAfter w:w="3326" w:type="dxa"/>
          <w:trHeight w:hRule="exact" w:val="173"/>
        </w:trPr>
        <w:tc>
          <w:tcPr>
            <w:tcW w:w="1530" w:type="dxa"/>
            <w:gridSpan w:val="2"/>
            <w:noWrap/>
            <w:vAlign w:val="bottom"/>
            <w:hideMark/>
          </w:tcPr>
          <w:p w14:paraId="4A557E6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4.5%</w:t>
            </w:r>
          </w:p>
        </w:tc>
        <w:tc>
          <w:tcPr>
            <w:tcW w:w="2164" w:type="dxa"/>
            <w:gridSpan w:val="3"/>
            <w:noWrap/>
            <w:vAlign w:val="bottom"/>
            <w:hideMark/>
          </w:tcPr>
          <w:p w14:paraId="4CDFD046" w14:textId="77777777" w:rsidR="00AE6074" w:rsidRPr="0053499C" w:rsidRDefault="00AE6074" w:rsidP="000E6437">
            <w:pPr>
              <w:keepNext/>
              <w:keepLines/>
              <w:ind w:firstLine="0"/>
              <w:jc w:val="left"/>
              <w:rPr>
                <w:rFonts w:eastAsia="Times New Roman" w:cs="Times New Roman"/>
                <w:color w:val="000000"/>
                <w:sz w:val="18"/>
                <w:szCs w:val="18"/>
                <w:lang w:bidi="ar-SA"/>
              </w:rPr>
            </w:pPr>
            <w:r w:rsidRPr="0053499C">
              <w:rPr>
                <w:rFonts w:eastAsia="Times New Roman" w:cs="Times New Roman"/>
                <w:color w:val="000000"/>
                <w:sz w:val="18"/>
                <w:szCs w:val="18"/>
                <w:lang w:bidi="ar-SA"/>
              </w:rPr>
              <w:t>Rate of Appreciation</w:t>
            </w:r>
          </w:p>
        </w:tc>
      </w:tr>
      <w:tr w:rsidR="00AE6074" w:rsidRPr="0053499C" w14:paraId="0D4A781E" w14:textId="77777777" w:rsidTr="004757E2">
        <w:trPr>
          <w:gridAfter w:val="4"/>
          <w:wAfter w:w="3326" w:type="dxa"/>
          <w:trHeight w:hRule="exact" w:val="173"/>
        </w:trPr>
        <w:tc>
          <w:tcPr>
            <w:tcW w:w="1530" w:type="dxa"/>
            <w:gridSpan w:val="2"/>
            <w:noWrap/>
            <w:vAlign w:val="bottom"/>
            <w:hideMark/>
          </w:tcPr>
          <w:p w14:paraId="3002C80B"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12.0%</w:t>
            </w:r>
          </w:p>
        </w:tc>
        <w:tc>
          <w:tcPr>
            <w:tcW w:w="2164" w:type="dxa"/>
            <w:gridSpan w:val="3"/>
            <w:noWrap/>
            <w:vAlign w:val="bottom"/>
            <w:hideMark/>
          </w:tcPr>
          <w:p w14:paraId="75C12236" w14:textId="77777777" w:rsidR="00AE6074" w:rsidRPr="0053499C" w:rsidRDefault="00AE6074" w:rsidP="005854E3">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Discount Rate</w:t>
            </w:r>
          </w:p>
        </w:tc>
      </w:tr>
      <w:tr w:rsidR="00AE6074" w:rsidRPr="0053499C" w14:paraId="6CF43F9F" w14:textId="77777777" w:rsidTr="004757E2">
        <w:trPr>
          <w:gridAfter w:val="4"/>
          <w:wAfter w:w="3326" w:type="dxa"/>
          <w:trHeight w:hRule="exact" w:val="173"/>
        </w:trPr>
        <w:tc>
          <w:tcPr>
            <w:tcW w:w="1530" w:type="dxa"/>
            <w:gridSpan w:val="2"/>
            <w:noWrap/>
            <w:vAlign w:val="bottom"/>
            <w:hideMark/>
          </w:tcPr>
          <w:p w14:paraId="7CEECC2B" w14:textId="77777777" w:rsidR="00AE6074" w:rsidRPr="0053499C" w:rsidRDefault="00AE6074" w:rsidP="005854E3">
            <w:pPr>
              <w:keepNext/>
              <w:keepLines/>
              <w:ind w:firstLine="0"/>
              <w:jc w:val="right"/>
              <w:rPr>
                <w:rFonts w:eastAsia="Times New Roman" w:cs="Times New Roman"/>
                <w:color w:val="000000"/>
                <w:sz w:val="18"/>
                <w:szCs w:val="18"/>
                <w:lang w:bidi="ar-SA"/>
              </w:rPr>
            </w:pPr>
          </w:p>
        </w:tc>
        <w:tc>
          <w:tcPr>
            <w:tcW w:w="2164" w:type="dxa"/>
            <w:gridSpan w:val="3"/>
            <w:noWrap/>
            <w:vAlign w:val="bottom"/>
            <w:hideMark/>
          </w:tcPr>
          <w:p w14:paraId="701B9371" w14:textId="77777777" w:rsidR="00AE6074" w:rsidRPr="0053499C" w:rsidRDefault="00AE6074" w:rsidP="005854E3">
            <w:pPr>
              <w:keepNext/>
              <w:keepLines/>
              <w:ind w:firstLine="0"/>
              <w:rPr>
                <w:rFonts w:eastAsia="Times New Roman" w:cs="Times New Roman"/>
                <w:color w:val="000000"/>
                <w:sz w:val="18"/>
                <w:szCs w:val="18"/>
                <w:lang w:bidi="ar-SA"/>
              </w:rPr>
            </w:pPr>
          </w:p>
        </w:tc>
      </w:tr>
      <w:tr w:rsidR="00AE6074" w:rsidRPr="0053499C" w14:paraId="22D5223A" w14:textId="77777777" w:rsidTr="00131E40">
        <w:tc>
          <w:tcPr>
            <w:tcW w:w="630" w:type="dxa"/>
            <w:tcBorders>
              <w:top w:val="single" w:sz="4" w:space="0" w:color="auto"/>
              <w:bottom w:val="double" w:sz="4" w:space="0" w:color="auto"/>
            </w:tcBorders>
            <w:vAlign w:val="bottom"/>
            <w:hideMark/>
          </w:tcPr>
          <w:p w14:paraId="7139B46A"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Year</w:t>
            </w:r>
          </w:p>
        </w:tc>
        <w:tc>
          <w:tcPr>
            <w:tcW w:w="900" w:type="dxa"/>
            <w:tcBorders>
              <w:top w:val="single" w:sz="4" w:space="0" w:color="auto"/>
              <w:bottom w:val="double" w:sz="4" w:space="0" w:color="auto"/>
            </w:tcBorders>
            <w:vAlign w:val="bottom"/>
            <w:hideMark/>
          </w:tcPr>
          <w:p w14:paraId="4DCB37E0"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Resale Value</w:t>
            </w:r>
          </w:p>
        </w:tc>
        <w:tc>
          <w:tcPr>
            <w:tcW w:w="812" w:type="dxa"/>
            <w:tcBorders>
              <w:top w:val="single" w:sz="4" w:space="0" w:color="auto"/>
              <w:bottom w:val="double" w:sz="4" w:space="0" w:color="auto"/>
            </w:tcBorders>
            <w:vAlign w:val="bottom"/>
            <w:hideMark/>
          </w:tcPr>
          <w:p w14:paraId="082B5F79"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Sales Fees at 6%</w:t>
            </w:r>
          </w:p>
        </w:tc>
        <w:tc>
          <w:tcPr>
            <w:tcW w:w="896" w:type="dxa"/>
            <w:tcBorders>
              <w:top w:val="single" w:sz="4" w:space="0" w:color="auto"/>
              <w:bottom w:val="double" w:sz="4" w:space="0" w:color="auto"/>
            </w:tcBorders>
            <w:vAlign w:val="bottom"/>
            <w:hideMark/>
          </w:tcPr>
          <w:p w14:paraId="02FA694C"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Revenue From Sale</w:t>
            </w:r>
          </w:p>
        </w:tc>
        <w:tc>
          <w:tcPr>
            <w:tcW w:w="992" w:type="dxa"/>
            <w:gridSpan w:val="2"/>
            <w:tcBorders>
              <w:top w:val="single" w:sz="4" w:space="0" w:color="auto"/>
              <w:bottom w:val="double" w:sz="4" w:space="0" w:color="auto"/>
            </w:tcBorders>
            <w:vAlign w:val="bottom"/>
            <w:hideMark/>
          </w:tcPr>
          <w:p w14:paraId="5BA62EE5"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Cash Back at Closing</w:t>
            </w:r>
          </w:p>
        </w:tc>
        <w:tc>
          <w:tcPr>
            <w:tcW w:w="990" w:type="dxa"/>
            <w:tcBorders>
              <w:top w:val="single" w:sz="4" w:space="0" w:color="auto"/>
              <w:bottom w:val="double" w:sz="4" w:space="0" w:color="auto"/>
            </w:tcBorders>
            <w:vAlign w:val="bottom"/>
            <w:hideMark/>
          </w:tcPr>
          <w:p w14:paraId="1162006E"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Profit or (Loss)</w:t>
            </w:r>
          </w:p>
        </w:tc>
        <w:tc>
          <w:tcPr>
            <w:tcW w:w="979" w:type="dxa"/>
            <w:tcBorders>
              <w:top w:val="single" w:sz="4" w:space="0" w:color="auto"/>
              <w:bottom w:val="double" w:sz="4" w:space="0" w:color="auto"/>
            </w:tcBorders>
            <w:vAlign w:val="bottom"/>
            <w:hideMark/>
          </w:tcPr>
          <w:p w14:paraId="77B74264"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Net Present Value</w:t>
            </w:r>
          </w:p>
        </w:tc>
        <w:tc>
          <w:tcPr>
            <w:tcW w:w="821" w:type="dxa"/>
            <w:tcBorders>
              <w:top w:val="single" w:sz="4" w:space="0" w:color="auto"/>
              <w:bottom w:val="double" w:sz="4" w:space="0" w:color="auto"/>
            </w:tcBorders>
            <w:vAlign w:val="bottom"/>
            <w:hideMark/>
          </w:tcPr>
          <w:p w14:paraId="4C7AECA4"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 of Home Value</w:t>
            </w:r>
          </w:p>
        </w:tc>
      </w:tr>
      <w:tr w:rsidR="00AE6074" w:rsidRPr="0053499C" w14:paraId="7FD83FA6" w14:textId="77777777" w:rsidTr="00131E40">
        <w:trPr>
          <w:trHeight w:val="288"/>
        </w:trPr>
        <w:tc>
          <w:tcPr>
            <w:tcW w:w="630" w:type="dxa"/>
            <w:tcBorders>
              <w:top w:val="double" w:sz="4" w:space="0" w:color="auto"/>
            </w:tcBorders>
            <w:noWrap/>
            <w:vAlign w:val="bottom"/>
            <w:hideMark/>
          </w:tcPr>
          <w:p w14:paraId="658ECBF5"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w:t>
            </w:r>
          </w:p>
        </w:tc>
        <w:tc>
          <w:tcPr>
            <w:tcW w:w="900" w:type="dxa"/>
            <w:tcBorders>
              <w:top w:val="double" w:sz="4" w:space="0" w:color="auto"/>
            </w:tcBorders>
            <w:noWrap/>
            <w:vAlign w:val="bottom"/>
            <w:hideMark/>
          </w:tcPr>
          <w:p w14:paraId="32335B6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$200,000 </w:t>
            </w:r>
          </w:p>
        </w:tc>
        <w:tc>
          <w:tcPr>
            <w:tcW w:w="812" w:type="dxa"/>
            <w:tcBorders>
              <w:top w:val="double" w:sz="4" w:space="0" w:color="auto"/>
            </w:tcBorders>
            <w:noWrap/>
            <w:vAlign w:val="bottom"/>
            <w:hideMark/>
          </w:tcPr>
          <w:p w14:paraId="77458F39"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$12,000 </w:t>
            </w:r>
          </w:p>
        </w:tc>
        <w:tc>
          <w:tcPr>
            <w:tcW w:w="896" w:type="dxa"/>
            <w:tcBorders>
              <w:top w:val="double" w:sz="4" w:space="0" w:color="auto"/>
            </w:tcBorders>
            <w:noWrap/>
            <w:vAlign w:val="bottom"/>
            <w:hideMark/>
          </w:tcPr>
          <w:p w14:paraId="429468A1"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$188,000 </w:t>
            </w:r>
          </w:p>
        </w:tc>
        <w:tc>
          <w:tcPr>
            <w:tcW w:w="992" w:type="dxa"/>
            <w:gridSpan w:val="2"/>
            <w:tcBorders>
              <w:top w:val="double" w:sz="4" w:space="0" w:color="auto"/>
            </w:tcBorders>
            <w:noWrap/>
            <w:vAlign w:val="bottom"/>
            <w:hideMark/>
          </w:tcPr>
          <w:p w14:paraId="527ECA1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$28,000 </w:t>
            </w:r>
          </w:p>
        </w:tc>
        <w:tc>
          <w:tcPr>
            <w:tcW w:w="990" w:type="dxa"/>
            <w:tcBorders>
              <w:top w:val="double" w:sz="4" w:space="0" w:color="auto"/>
            </w:tcBorders>
            <w:noWrap/>
            <w:vAlign w:val="bottom"/>
            <w:hideMark/>
          </w:tcPr>
          <w:p w14:paraId="651CD4B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($16,000)</w:t>
            </w:r>
          </w:p>
        </w:tc>
        <w:tc>
          <w:tcPr>
            <w:tcW w:w="979" w:type="dxa"/>
            <w:tcBorders>
              <w:top w:val="double" w:sz="4" w:space="0" w:color="auto"/>
            </w:tcBorders>
            <w:noWrap/>
            <w:vAlign w:val="bottom"/>
            <w:hideMark/>
          </w:tcPr>
          <w:p w14:paraId="1E1A297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($16,000)</w:t>
            </w:r>
          </w:p>
        </w:tc>
        <w:tc>
          <w:tcPr>
            <w:tcW w:w="821" w:type="dxa"/>
            <w:tcBorders>
              <w:top w:val="double" w:sz="4" w:space="0" w:color="auto"/>
            </w:tcBorders>
            <w:noWrap/>
            <w:vAlign w:val="bottom"/>
            <w:hideMark/>
          </w:tcPr>
          <w:p w14:paraId="6CB53C53"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-8.0%</w:t>
            </w:r>
          </w:p>
        </w:tc>
      </w:tr>
      <w:tr w:rsidR="00AE6074" w:rsidRPr="0053499C" w14:paraId="2AE68CD3" w14:textId="77777777" w:rsidTr="004757E2">
        <w:trPr>
          <w:trHeight w:hRule="exact" w:val="173"/>
        </w:trPr>
        <w:tc>
          <w:tcPr>
            <w:tcW w:w="630" w:type="dxa"/>
            <w:noWrap/>
            <w:vAlign w:val="bottom"/>
            <w:hideMark/>
          </w:tcPr>
          <w:p w14:paraId="260EBB1E"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w:t>
            </w:r>
          </w:p>
        </w:tc>
        <w:tc>
          <w:tcPr>
            <w:tcW w:w="900" w:type="dxa"/>
            <w:noWrap/>
            <w:vAlign w:val="bottom"/>
            <w:hideMark/>
          </w:tcPr>
          <w:p w14:paraId="1E2D3276"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$209,000 </w:t>
            </w:r>
          </w:p>
        </w:tc>
        <w:tc>
          <w:tcPr>
            <w:tcW w:w="812" w:type="dxa"/>
            <w:noWrap/>
            <w:vAlign w:val="bottom"/>
            <w:hideMark/>
          </w:tcPr>
          <w:p w14:paraId="46F5940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$12,540 </w:t>
            </w:r>
          </w:p>
        </w:tc>
        <w:tc>
          <w:tcPr>
            <w:tcW w:w="896" w:type="dxa"/>
            <w:noWrap/>
            <w:vAlign w:val="bottom"/>
            <w:hideMark/>
          </w:tcPr>
          <w:p w14:paraId="563DF05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$196,460 </w:t>
            </w:r>
          </w:p>
        </w:tc>
        <w:tc>
          <w:tcPr>
            <w:tcW w:w="992" w:type="dxa"/>
            <w:gridSpan w:val="2"/>
            <w:noWrap/>
            <w:vAlign w:val="bottom"/>
            <w:hideMark/>
          </w:tcPr>
          <w:p w14:paraId="213950B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$36,460 </w:t>
            </w:r>
          </w:p>
        </w:tc>
        <w:tc>
          <w:tcPr>
            <w:tcW w:w="990" w:type="dxa"/>
            <w:noWrap/>
            <w:vAlign w:val="bottom"/>
            <w:hideMark/>
          </w:tcPr>
          <w:p w14:paraId="2ED9FE3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($7,540)</w:t>
            </w:r>
          </w:p>
        </w:tc>
        <w:tc>
          <w:tcPr>
            <w:tcW w:w="979" w:type="dxa"/>
            <w:noWrap/>
            <w:vAlign w:val="bottom"/>
            <w:hideMark/>
          </w:tcPr>
          <w:p w14:paraId="7BF9F18B"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($10,220)</w:t>
            </w:r>
          </w:p>
        </w:tc>
        <w:tc>
          <w:tcPr>
            <w:tcW w:w="821" w:type="dxa"/>
            <w:noWrap/>
            <w:vAlign w:val="bottom"/>
            <w:hideMark/>
          </w:tcPr>
          <w:p w14:paraId="3EB46DD6"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-5.1%</w:t>
            </w:r>
          </w:p>
        </w:tc>
      </w:tr>
      <w:tr w:rsidR="00AE6074" w:rsidRPr="0053499C" w14:paraId="3D9F3D18" w14:textId="77777777" w:rsidTr="004757E2">
        <w:trPr>
          <w:trHeight w:hRule="exact" w:val="173"/>
        </w:trPr>
        <w:tc>
          <w:tcPr>
            <w:tcW w:w="630" w:type="dxa"/>
            <w:noWrap/>
            <w:vAlign w:val="bottom"/>
            <w:hideMark/>
          </w:tcPr>
          <w:p w14:paraId="69B54B93"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w:t>
            </w:r>
          </w:p>
        </w:tc>
        <w:tc>
          <w:tcPr>
            <w:tcW w:w="900" w:type="dxa"/>
            <w:noWrap/>
            <w:vAlign w:val="bottom"/>
            <w:hideMark/>
          </w:tcPr>
          <w:p w14:paraId="6B2126D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$218,405 </w:t>
            </w:r>
          </w:p>
        </w:tc>
        <w:tc>
          <w:tcPr>
            <w:tcW w:w="812" w:type="dxa"/>
            <w:noWrap/>
            <w:vAlign w:val="bottom"/>
            <w:hideMark/>
          </w:tcPr>
          <w:p w14:paraId="71DBB0D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$13,104 </w:t>
            </w:r>
          </w:p>
        </w:tc>
        <w:tc>
          <w:tcPr>
            <w:tcW w:w="896" w:type="dxa"/>
            <w:noWrap/>
            <w:vAlign w:val="bottom"/>
            <w:hideMark/>
          </w:tcPr>
          <w:p w14:paraId="141B09E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$205,301 </w:t>
            </w:r>
          </w:p>
        </w:tc>
        <w:tc>
          <w:tcPr>
            <w:tcW w:w="992" w:type="dxa"/>
            <w:gridSpan w:val="2"/>
            <w:noWrap/>
            <w:vAlign w:val="bottom"/>
            <w:hideMark/>
          </w:tcPr>
          <w:p w14:paraId="6C58DEB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$45,301 </w:t>
            </w:r>
          </w:p>
        </w:tc>
        <w:tc>
          <w:tcPr>
            <w:tcW w:w="990" w:type="dxa"/>
            <w:noWrap/>
            <w:vAlign w:val="bottom"/>
            <w:hideMark/>
          </w:tcPr>
          <w:p w14:paraId="28657BA9"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$1,301 </w:t>
            </w:r>
          </w:p>
        </w:tc>
        <w:tc>
          <w:tcPr>
            <w:tcW w:w="979" w:type="dxa"/>
            <w:noWrap/>
            <w:vAlign w:val="bottom"/>
            <w:hideMark/>
          </w:tcPr>
          <w:p w14:paraId="5845C00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($7,042)</w:t>
            </w:r>
          </w:p>
        </w:tc>
        <w:tc>
          <w:tcPr>
            <w:tcW w:w="821" w:type="dxa"/>
            <w:noWrap/>
            <w:vAlign w:val="bottom"/>
            <w:hideMark/>
          </w:tcPr>
          <w:p w14:paraId="06E5EC19"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-3.5%</w:t>
            </w:r>
          </w:p>
        </w:tc>
      </w:tr>
      <w:tr w:rsidR="00AE6074" w:rsidRPr="0053499C" w14:paraId="7C84C087" w14:textId="77777777" w:rsidTr="004757E2">
        <w:trPr>
          <w:trHeight w:hRule="exact" w:val="173"/>
        </w:trPr>
        <w:tc>
          <w:tcPr>
            <w:tcW w:w="630" w:type="dxa"/>
            <w:noWrap/>
            <w:vAlign w:val="bottom"/>
            <w:hideMark/>
          </w:tcPr>
          <w:p w14:paraId="20F79C89"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w:t>
            </w:r>
          </w:p>
        </w:tc>
        <w:tc>
          <w:tcPr>
            <w:tcW w:w="900" w:type="dxa"/>
            <w:noWrap/>
            <w:vAlign w:val="bottom"/>
            <w:hideMark/>
          </w:tcPr>
          <w:p w14:paraId="563CECF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$228,233 </w:t>
            </w:r>
          </w:p>
        </w:tc>
        <w:tc>
          <w:tcPr>
            <w:tcW w:w="812" w:type="dxa"/>
            <w:noWrap/>
            <w:vAlign w:val="bottom"/>
            <w:hideMark/>
          </w:tcPr>
          <w:p w14:paraId="7A5AA3B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$13,694 </w:t>
            </w:r>
          </w:p>
        </w:tc>
        <w:tc>
          <w:tcPr>
            <w:tcW w:w="896" w:type="dxa"/>
            <w:noWrap/>
            <w:vAlign w:val="bottom"/>
            <w:hideMark/>
          </w:tcPr>
          <w:p w14:paraId="02481008"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$214,539 </w:t>
            </w:r>
          </w:p>
        </w:tc>
        <w:tc>
          <w:tcPr>
            <w:tcW w:w="992" w:type="dxa"/>
            <w:gridSpan w:val="2"/>
            <w:noWrap/>
            <w:vAlign w:val="bottom"/>
            <w:hideMark/>
          </w:tcPr>
          <w:p w14:paraId="219BC751"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$54,539 </w:t>
            </w:r>
          </w:p>
        </w:tc>
        <w:tc>
          <w:tcPr>
            <w:tcW w:w="990" w:type="dxa"/>
            <w:noWrap/>
            <w:vAlign w:val="bottom"/>
            <w:hideMark/>
          </w:tcPr>
          <w:p w14:paraId="703A420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$10,539 </w:t>
            </w:r>
          </w:p>
        </w:tc>
        <w:tc>
          <w:tcPr>
            <w:tcW w:w="979" w:type="dxa"/>
            <w:noWrap/>
            <w:vAlign w:val="bottom"/>
            <w:hideMark/>
          </w:tcPr>
          <w:p w14:paraId="0604AC1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($4,625)</w:t>
            </w:r>
          </w:p>
        </w:tc>
        <w:tc>
          <w:tcPr>
            <w:tcW w:w="821" w:type="dxa"/>
            <w:noWrap/>
            <w:vAlign w:val="bottom"/>
            <w:hideMark/>
          </w:tcPr>
          <w:p w14:paraId="7C4BA1A2"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-2.3%</w:t>
            </w:r>
          </w:p>
        </w:tc>
      </w:tr>
      <w:tr w:rsidR="00AE6074" w:rsidRPr="0053499C" w14:paraId="1A298218" w14:textId="77777777" w:rsidTr="004757E2">
        <w:trPr>
          <w:trHeight w:hRule="exact" w:val="173"/>
        </w:trPr>
        <w:tc>
          <w:tcPr>
            <w:tcW w:w="630" w:type="dxa"/>
            <w:noWrap/>
            <w:vAlign w:val="bottom"/>
            <w:hideMark/>
          </w:tcPr>
          <w:p w14:paraId="0BDB04D7"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4</w:t>
            </w:r>
          </w:p>
        </w:tc>
        <w:tc>
          <w:tcPr>
            <w:tcW w:w="900" w:type="dxa"/>
            <w:noWrap/>
            <w:vAlign w:val="bottom"/>
            <w:hideMark/>
          </w:tcPr>
          <w:p w14:paraId="6C556114"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$238,504 </w:t>
            </w:r>
          </w:p>
        </w:tc>
        <w:tc>
          <w:tcPr>
            <w:tcW w:w="812" w:type="dxa"/>
            <w:noWrap/>
            <w:vAlign w:val="bottom"/>
            <w:hideMark/>
          </w:tcPr>
          <w:p w14:paraId="227A2637"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$14,310 </w:t>
            </w:r>
          </w:p>
        </w:tc>
        <w:tc>
          <w:tcPr>
            <w:tcW w:w="896" w:type="dxa"/>
            <w:noWrap/>
            <w:vAlign w:val="bottom"/>
            <w:hideMark/>
          </w:tcPr>
          <w:p w14:paraId="4318DFAD"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$224,193 </w:t>
            </w:r>
          </w:p>
        </w:tc>
        <w:tc>
          <w:tcPr>
            <w:tcW w:w="992" w:type="dxa"/>
            <w:gridSpan w:val="2"/>
            <w:noWrap/>
            <w:vAlign w:val="bottom"/>
            <w:hideMark/>
          </w:tcPr>
          <w:p w14:paraId="2C49C591"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$64,193 </w:t>
            </w:r>
          </w:p>
        </w:tc>
        <w:tc>
          <w:tcPr>
            <w:tcW w:w="990" w:type="dxa"/>
            <w:noWrap/>
            <w:vAlign w:val="bottom"/>
            <w:hideMark/>
          </w:tcPr>
          <w:p w14:paraId="252D1DB9"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$20,193 </w:t>
            </w:r>
          </w:p>
        </w:tc>
        <w:tc>
          <w:tcPr>
            <w:tcW w:w="979" w:type="dxa"/>
            <w:noWrap/>
            <w:vAlign w:val="bottom"/>
            <w:hideMark/>
          </w:tcPr>
          <w:p w14:paraId="4EDA1813"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($2,861)</w:t>
            </w:r>
          </w:p>
        </w:tc>
        <w:tc>
          <w:tcPr>
            <w:tcW w:w="821" w:type="dxa"/>
            <w:noWrap/>
            <w:vAlign w:val="bottom"/>
            <w:hideMark/>
          </w:tcPr>
          <w:p w14:paraId="1FDA70E3"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-1.4%</w:t>
            </w:r>
          </w:p>
        </w:tc>
      </w:tr>
      <w:tr w:rsidR="00AE6074" w:rsidRPr="0053499C" w14:paraId="01CDEF46" w14:textId="77777777" w:rsidTr="004757E2">
        <w:trPr>
          <w:trHeight w:hRule="exact" w:val="173"/>
        </w:trPr>
        <w:tc>
          <w:tcPr>
            <w:tcW w:w="630" w:type="dxa"/>
            <w:noWrap/>
            <w:vAlign w:val="bottom"/>
            <w:hideMark/>
          </w:tcPr>
          <w:p w14:paraId="45708D16"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5</w:t>
            </w:r>
          </w:p>
        </w:tc>
        <w:tc>
          <w:tcPr>
            <w:tcW w:w="900" w:type="dxa"/>
            <w:noWrap/>
            <w:vAlign w:val="bottom"/>
            <w:hideMark/>
          </w:tcPr>
          <w:p w14:paraId="09E171F1"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$249,236 </w:t>
            </w:r>
          </w:p>
        </w:tc>
        <w:tc>
          <w:tcPr>
            <w:tcW w:w="812" w:type="dxa"/>
            <w:noWrap/>
            <w:vAlign w:val="bottom"/>
            <w:hideMark/>
          </w:tcPr>
          <w:p w14:paraId="28DCE213"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$14,954 </w:t>
            </w:r>
          </w:p>
        </w:tc>
        <w:tc>
          <w:tcPr>
            <w:tcW w:w="896" w:type="dxa"/>
            <w:noWrap/>
            <w:vAlign w:val="bottom"/>
            <w:hideMark/>
          </w:tcPr>
          <w:p w14:paraId="3CD9BD3B"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$234,282 </w:t>
            </w:r>
          </w:p>
        </w:tc>
        <w:tc>
          <w:tcPr>
            <w:tcW w:w="992" w:type="dxa"/>
            <w:gridSpan w:val="2"/>
            <w:noWrap/>
            <w:vAlign w:val="bottom"/>
            <w:hideMark/>
          </w:tcPr>
          <w:p w14:paraId="083D6178"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$74,282 </w:t>
            </w:r>
          </w:p>
        </w:tc>
        <w:tc>
          <w:tcPr>
            <w:tcW w:w="990" w:type="dxa"/>
            <w:noWrap/>
            <w:vAlign w:val="bottom"/>
            <w:hideMark/>
          </w:tcPr>
          <w:p w14:paraId="35D0F4B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$30,282 </w:t>
            </w:r>
          </w:p>
        </w:tc>
        <w:tc>
          <w:tcPr>
            <w:tcW w:w="979" w:type="dxa"/>
            <w:noWrap/>
            <w:vAlign w:val="bottom"/>
            <w:hideMark/>
          </w:tcPr>
          <w:p w14:paraId="2C47D157"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($1,652)</w:t>
            </w:r>
          </w:p>
        </w:tc>
        <w:tc>
          <w:tcPr>
            <w:tcW w:w="821" w:type="dxa"/>
            <w:noWrap/>
            <w:vAlign w:val="bottom"/>
            <w:hideMark/>
          </w:tcPr>
          <w:p w14:paraId="5A36C26E"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-0.8%</w:t>
            </w:r>
          </w:p>
        </w:tc>
      </w:tr>
      <w:tr w:rsidR="00AE6074" w:rsidRPr="0053499C" w14:paraId="1E0B6ADE" w14:textId="77777777" w:rsidTr="004757E2">
        <w:trPr>
          <w:trHeight w:hRule="exact" w:val="173"/>
        </w:trPr>
        <w:tc>
          <w:tcPr>
            <w:tcW w:w="630" w:type="dxa"/>
            <w:noWrap/>
            <w:vAlign w:val="bottom"/>
            <w:hideMark/>
          </w:tcPr>
          <w:p w14:paraId="546106D4"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6</w:t>
            </w:r>
          </w:p>
        </w:tc>
        <w:tc>
          <w:tcPr>
            <w:tcW w:w="900" w:type="dxa"/>
            <w:noWrap/>
            <w:vAlign w:val="bottom"/>
            <w:hideMark/>
          </w:tcPr>
          <w:p w14:paraId="294FC7E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$260,452 </w:t>
            </w:r>
          </w:p>
        </w:tc>
        <w:tc>
          <w:tcPr>
            <w:tcW w:w="812" w:type="dxa"/>
            <w:noWrap/>
            <w:vAlign w:val="bottom"/>
            <w:hideMark/>
          </w:tcPr>
          <w:p w14:paraId="74B51EC4"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$15,627 </w:t>
            </w:r>
          </w:p>
        </w:tc>
        <w:tc>
          <w:tcPr>
            <w:tcW w:w="896" w:type="dxa"/>
            <w:noWrap/>
            <w:vAlign w:val="bottom"/>
            <w:hideMark/>
          </w:tcPr>
          <w:p w14:paraId="636A3F56"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$244,825 </w:t>
            </w:r>
          </w:p>
        </w:tc>
        <w:tc>
          <w:tcPr>
            <w:tcW w:w="992" w:type="dxa"/>
            <w:gridSpan w:val="2"/>
            <w:noWrap/>
            <w:vAlign w:val="bottom"/>
            <w:hideMark/>
          </w:tcPr>
          <w:p w14:paraId="7E0CA2ED"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$84,825 </w:t>
            </w:r>
          </w:p>
        </w:tc>
        <w:tc>
          <w:tcPr>
            <w:tcW w:w="990" w:type="dxa"/>
            <w:noWrap/>
            <w:vAlign w:val="bottom"/>
            <w:hideMark/>
          </w:tcPr>
          <w:p w14:paraId="45D35263"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$40,825 </w:t>
            </w:r>
          </w:p>
        </w:tc>
        <w:tc>
          <w:tcPr>
            <w:tcW w:w="979" w:type="dxa"/>
            <w:noWrap/>
            <w:vAlign w:val="bottom"/>
            <w:hideMark/>
          </w:tcPr>
          <w:p w14:paraId="570C763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($915)</w:t>
            </w:r>
          </w:p>
        </w:tc>
        <w:tc>
          <w:tcPr>
            <w:tcW w:w="821" w:type="dxa"/>
            <w:noWrap/>
            <w:vAlign w:val="bottom"/>
            <w:hideMark/>
          </w:tcPr>
          <w:p w14:paraId="141FABB8"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-0.5%</w:t>
            </w:r>
          </w:p>
        </w:tc>
      </w:tr>
      <w:tr w:rsidR="00AE6074" w:rsidRPr="0053499C" w14:paraId="156698E6" w14:textId="77777777" w:rsidTr="004757E2">
        <w:trPr>
          <w:trHeight w:hRule="exact" w:val="173"/>
        </w:trPr>
        <w:tc>
          <w:tcPr>
            <w:tcW w:w="630" w:type="dxa"/>
            <w:shd w:val="clear" w:color="auto" w:fill="D9D9D9" w:themeFill="background1" w:themeFillShade="D9"/>
            <w:noWrap/>
            <w:vAlign w:val="bottom"/>
            <w:hideMark/>
          </w:tcPr>
          <w:p w14:paraId="370F82E4"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w:t>
            </w:r>
          </w:p>
        </w:tc>
        <w:tc>
          <w:tcPr>
            <w:tcW w:w="900" w:type="dxa"/>
            <w:shd w:val="clear" w:color="auto" w:fill="D9D9D9" w:themeFill="background1" w:themeFillShade="D9"/>
            <w:noWrap/>
            <w:vAlign w:val="bottom"/>
            <w:hideMark/>
          </w:tcPr>
          <w:p w14:paraId="691D402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$272,172 </w:t>
            </w:r>
          </w:p>
        </w:tc>
        <w:tc>
          <w:tcPr>
            <w:tcW w:w="812" w:type="dxa"/>
            <w:shd w:val="clear" w:color="auto" w:fill="D9D9D9" w:themeFill="background1" w:themeFillShade="D9"/>
            <w:noWrap/>
            <w:vAlign w:val="bottom"/>
            <w:hideMark/>
          </w:tcPr>
          <w:p w14:paraId="2233753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$16,330 </w:t>
            </w:r>
          </w:p>
        </w:tc>
        <w:tc>
          <w:tcPr>
            <w:tcW w:w="896" w:type="dxa"/>
            <w:shd w:val="clear" w:color="auto" w:fill="D9D9D9" w:themeFill="background1" w:themeFillShade="D9"/>
            <w:noWrap/>
            <w:vAlign w:val="bottom"/>
            <w:hideMark/>
          </w:tcPr>
          <w:p w14:paraId="2B2445F3"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$255,842 </w:t>
            </w:r>
          </w:p>
        </w:tc>
        <w:tc>
          <w:tcPr>
            <w:tcW w:w="992" w:type="dxa"/>
            <w:gridSpan w:val="2"/>
            <w:shd w:val="clear" w:color="auto" w:fill="D9D9D9" w:themeFill="background1" w:themeFillShade="D9"/>
            <w:noWrap/>
            <w:vAlign w:val="bottom"/>
            <w:hideMark/>
          </w:tcPr>
          <w:p w14:paraId="299C50F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$95,842 </w:t>
            </w:r>
          </w:p>
        </w:tc>
        <w:tc>
          <w:tcPr>
            <w:tcW w:w="990" w:type="dxa"/>
            <w:shd w:val="clear" w:color="auto" w:fill="D9D9D9" w:themeFill="background1" w:themeFillShade="D9"/>
            <w:noWrap/>
            <w:vAlign w:val="bottom"/>
            <w:hideMark/>
          </w:tcPr>
          <w:p w14:paraId="6CDC18A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$51,842 </w:t>
            </w:r>
          </w:p>
        </w:tc>
        <w:tc>
          <w:tcPr>
            <w:tcW w:w="979" w:type="dxa"/>
            <w:shd w:val="clear" w:color="auto" w:fill="D9D9D9" w:themeFill="background1" w:themeFillShade="D9"/>
            <w:noWrap/>
            <w:vAlign w:val="bottom"/>
            <w:hideMark/>
          </w:tcPr>
          <w:p w14:paraId="52ABC771"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($577)</w:t>
            </w:r>
          </w:p>
        </w:tc>
        <w:tc>
          <w:tcPr>
            <w:tcW w:w="821" w:type="dxa"/>
            <w:shd w:val="clear" w:color="auto" w:fill="D9D9D9" w:themeFill="background1" w:themeFillShade="D9"/>
            <w:noWrap/>
            <w:vAlign w:val="bottom"/>
            <w:hideMark/>
          </w:tcPr>
          <w:p w14:paraId="230F1A09"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-0.3%</w:t>
            </w:r>
          </w:p>
        </w:tc>
      </w:tr>
      <w:tr w:rsidR="00AE6074" w:rsidRPr="0053499C" w14:paraId="2FECA4C3" w14:textId="77777777" w:rsidTr="004757E2">
        <w:trPr>
          <w:trHeight w:hRule="exact" w:val="173"/>
        </w:trPr>
        <w:tc>
          <w:tcPr>
            <w:tcW w:w="630" w:type="dxa"/>
            <w:noWrap/>
            <w:vAlign w:val="bottom"/>
            <w:hideMark/>
          </w:tcPr>
          <w:p w14:paraId="1C0469ED"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w:t>
            </w:r>
          </w:p>
        </w:tc>
        <w:tc>
          <w:tcPr>
            <w:tcW w:w="900" w:type="dxa"/>
            <w:noWrap/>
            <w:vAlign w:val="bottom"/>
            <w:hideMark/>
          </w:tcPr>
          <w:p w14:paraId="70606FAD"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$284,420 </w:t>
            </w:r>
          </w:p>
        </w:tc>
        <w:tc>
          <w:tcPr>
            <w:tcW w:w="812" w:type="dxa"/>
            <w:noWrap/>
            <w:vAlign w:val="bottom"/>
            <w:hideMark/>
          </w:tcPr>
          <w:p w14:paraId="3EA94419"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$17,065 </w:t>
            </w:r>
          </w:p>
        </w:tc>
        <w:tc>
          <w:tcPr>
            <w:tcW w:w="896" w:type="dxa"/>
            <w:noWrap/>
            <w:vAlign w:val="bottom"/>
            <w:hideMark/>
          </w:tcPr>
          <w:p w14:paraId="7EA63D7B"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$267,355 </w:t>
            </w:r>
          </w:p>
        </w:tc>
        <w:tc>
          <w:tcPr>
            <w:tcW w:w="992" w:type="dxa"/>
            <w:gridSpan w:val="2"/>
            <w:noWrap/>
            <w:vAlign w:val="bottom"/>
            <w:hideMark/>
          </w:tcPr>
          <w:p w14:paraId="4A91A60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$107,355 </w:t>
            </w:r>
          </w:p>
        </w:tc>
        <w:tc>
          <w:tcPr>
            <w:tcW w:w="990" w:type="dxa"/>
            <w:noWrap/>
            <w:vAlign w:val="bottom"/>
            <w:hideMark/>
          </w:tcPr>
          <w:p w14:paraId="509BF8B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$63,355 </w:t>
            </w:r>
          </w:p>
        </w:tc>
        <w:tc>
          <w:tcPr>
            <w:tcW w:w="979" w:type="dxa"/>
            <w:noWrap/>
            <w:vAlign w:val="bottom"/>
            <w:hideMark/>
          </w:tcPr>
          <w:p w14:paraId="0AA09271"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($572)</w:t>
            </w:r>
          </w:p>
        </w:tc>
        <w:tc>
          <w:tcPr>
            <w:tcW w:w="821" w:type="dxa"/>
            <w:noWrap/>
            <w:vAlign w:val="bottom"/>
            <w:hideMark/>
          </w:tcPr>
          <w:p w14:paraId="4D1EC15B"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-0.3%</w:t>
            </w:r>
          </w:p>
        </w:tc>
      </w:tr>
      <w:tr w:rsidR="00AE6074" w:rsidRPr="0053499C" w14:paraId="10799503" w14:textId="77777777" w:rsidTr="004757E2">
        <w:trPr>
          <w:trHeight w:hRule="exact" w:val="173"/>
        </w:trPr>
        <w:tc>
          <w:tcPr>
            <w:tcW w:w="630" w:type="dxa"/>
            <w:noWrap/>
            <w:vAlign w:val="bottom"/>
            <w:hideMark/>
          </w:tcPr>
          <w:p w14:paraId="2479AB7A"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w:t>
            </w:r>
          </w:p>
        </w:tc>
        <w:tc>
          <w:tcPr>
            <w:tcW w:w="900" w:type="dxa"/>
            <w:noWrap/>
            <w:vAlign w:val="bottom"/>
            <w:hideMark/>
          </w:tcPr>
          <w:p w14:paraId="6AB42A9B"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$297,219 </w:t>
            </w:r>
          </w:p>
        </w:tc>
        <w:tc>
          <w:tcPr>
            <w:tcW w:w="812" w:type="dxa"/>
            <w:noWrap/>
            <w:vAlign w:val="bottom"/>
            <w:hideMark/>
          </w:tcPr>
          <w:p w14:paraId="1CD35A7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$17,833 </w:t>
            </w:r>
          </w:p>
        </w:tc>
        <w:tc>
          <w:tcPr>
            <w:tcW w:w="896" w:type="dxa"/>
            <w:noWrap/>
            <w:vAlign w:val="bottom"/>
            <w:hideMark/>
          </w:tcPr>
          <w:p w14:paraId="734379F9"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$279,386 </w:t>
            </w:r>
          </w:p>
        </w:tc>
        <w:tc>
          <w:tcPr>
            <w:tcW w:w="992" w:type="dxa"/>
            <w:gridSpan w:val="2"/>
            <w:noWrap/>
            <w:vAlign w:val="bottom"/>
            <w:hideMark/>
          </w:tcPr>
          <w:p w14:paraId="7EAB3C5D"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$119,386 </w:t>
            </w:r>
          </w:p>
        </w:tc>
        <w:tc>
          <w:tcPr>
            <w:tcW w:w="990" w:type="dxa"/>
            <w:noWrap/>
            <w:vAlign w:val="bottom"/>
            <w:hideMark/>
          </w:tcPr>
          <w:p w14:paraId="0A37C62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$75,386 </w:t>
            </w:r>
          </w:p>
        </w:tc>
        <w:tc>
          <w:tcPr>
            <w:tcW w:w="979" w:type="dxa"/>
            <w:noWrap/>
            <w:vAlign w:val="bottom"/>
            <w:hideMark/>
          </w:tcPr>
          <w:p w14:paraId="18BA991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($847)</w:t>
            </w:r>
          </w:p>
        </w:tc>
        <w:tc>
          <w:tcPr>
            <w:tcW w:w="821" w:type="dxa"/>
            <w:noWrap/>
            <w:vAlign w:val="bottom"/>
            <w:hideMark/>
          </w:tcPr>
          <w:p w14:paraId="498F1085"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-0.4%</w:t>
            </w:r>
          </w:p>
        </w:tc>
      </w:tr>
      <w:tr w:rsidR="00AE6074" w:rsidRPr="0053499C" w14:paraId="197DD43E" w14:textId="77777777" w:rsidTr="004757E2">
        <w:trPr>
          <w:trHeight w:hRule="exact" w:val="173"/>
        </w:trPr>
        <w:tc>
          <w:tcPr>
            <w:tcW w:w="630" w:type="dxa"/>
            <w:noWrap/>
            <w:vAlign w:val="bottom"/>
            <w:hideMark/>
          </w:tcPr>
          <w:p w14:paraId="23564DA3"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10</w:t>
            </w:r>
          </w:p>
        </w:tc>
        <w:tc>
          <w:tcPr>
            <w:tcW w:w="900" w:type="dxa"/>
            <w:noWrap/>
            <w:vAlign w:val="bottom"/>
            <w:hideMark/>
          </w:tcPr>
          <w:p w14:paraId="40ED2CD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$310,594 </w:t>
            </w:r>
          </w:p>
        </w:tc>
        <w:tc>
          <w:tcPr>
            <w:tcW w:w="812" w:type="dxa"/>
            <w:noWrap/>
            <w:vAlign w:val="bottom"/>
            <w:hideMark/>
          </w:tcPr>
          <w:p w14:paraId="65DF4BDD"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$18,636 </w:t>
            </w:r>
          </w:p>
        </w:tc>
        <w:tc>
          <w:tcPr>
            <w:tcW w:w="896" w:type="dxa"/>
            <w:noWrap/>
            <w:vAlign w:val="bottom"/>
            <w:hideMark/>
          </w:tcPr>
          <w:p w14:paraId="426E49DB"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$291,958 </w:t>
            </w:r>
          </w:p>
        </w:tc>
        <w:tc>
          <w:tcPr>
            <w:tcW w:w="992" w:type="dxa"/>
            <w:gridSpan w:val="2"/>
            <w:noWrap/>
            <w:vAlign w:val="bottom"/>
            <w:hideMark/>
          </w:tcPr>
          <w:p w14:paraId="1C1437F8"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$131,958 </w:t>
            </w:r>
          </w:p>
        </w:tc>
        <w:tc>
          <w:tcPr>
            <w:tcW w:w="990" w:type="dxa"/>
            <w:noWrap/>
            <w:vAlign w:val="bottom"/>
            <w:hideMark/>
          </w:tcPr>
          <w:p w14:paraId="4EB3DDA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$87,958 </w:t>
            </w:r>
          </w:p>
        </w:tc>
        <w:tc>
          <w:tcPr>
            <w:tcW w:w="979" w:type="dxa"/>
            <w:noWrap/>
            <w:vAlign w:val="bottom"/>
            <w:hideMark/>
          </w:tcPr>
          <w:p w14:paraId="654BA1E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($1,351)</w:t>
            </w:r>
          </w:p>
        </w:tc>
        <w:tc>
          <w:tcPr>
            <w:tcW w:w="821" w:type="dxa"/>
            <w:noWrap/>
            <w:vAlign w:val="bottom"/>
            <w:hideMark/>
          </w:tcPr>
          <w:p w14:paraId="218F8213"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-0.7%</w:t>
            </w:r>
          </w:p>
        </w:tc>
      </w:tr>
      <w:tr w:rsidR="00AE6074" w:rsidRPr="0053499C" w14:paraId="20138DFE" w14:textId="77777777" w:rsidTr="004757E2">
        <w:trPr>
          <w:trHeight w:hRule="exact" w:val="173"/>
        </w:trPr>
        <w:tc>
          <w:tcPr>
            <w:tcW w:w="630" w:type="dxa"/>
            <w:noWrap/>
            <w:vAlign w:val="bottom"/>
            <w:hideMark/>
          </w:tcPr>
          <w:p w14:paraId="0B4410FD"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11</w:t>
            </w:r>
          </w:p>
        </w:tc>
        <w:tc>
          <w:tcPr>
            <w:tcW w:w="900" w:type="dxa"/>
            <w:noWrap/>
            <w:vAlign w:val="bottom"/>
            <w:hideMark/>
          </w:tcPr>
          <w:p w14:paraId="4D4C71C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$324,571 </w:t>
            </w:r>
          </w:p>
        </w:tc>
        <w:tc>
          <w:tcPr>
            <w:tcW w:w="812" w:type="dxa"/>
            <w:noWrap/>
            <w:vAlign w:val="bottom"/>
            <w:hideMark/>
          </w:tcPr>
          <w:p w14:paraId="08B6D903"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$19,474 </w:t>
            </w:r>
          </w:p>
        </w:tc>
        <w:tc>
          <w:tcPr>
            <w:tcW w:w="896" w:type="dxa"/>
            <w:noWrap/>
            <w:vAlign w:val="bottom"/>
            <w:hideMark/>
          </w:tcPr>
          <w:p w14:paraId="69AFEE27"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$305,096 </w:t>
            </w:r>
          </w:p>
        </w:tc>
        <w:tc>
          <w:tcPr>
            <w:tcW w:w="992" w:type="dxa"/>
            <w:gridSpan w:val="2"/>
            <w:noWrap/>
            <w:vAlign w:val="bottom"/>
            <w:hideMark/>
          </w:tcPr>
          <w:p w14:paraId="1D50328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$145,096 </w:t>
            </w:r>
          </w:p>
        </w:tc>
        <w:tc>
          <w:tcPr>
            <w:tcW w:w="990" w:type="dxa"/>
            <w:noWrap/>
            <w:vAlign w:val="bottom"/>
            <w:hideMark/>
          </w:tcPr>
          <w:p w14:paraId="28AE144B"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$101,096 </w:t>
            </w:r>
          </w:p>
        </w:tc>
        <w:tc>
          <w:tcPr>
            <w:tcW w:w="979" w:type="dxa"/>
            <w:noWrap/>
            <w:vAlign w:val="bottom"/>
            <w:hideMark/>
          </w:tcPr>
          <w:p w14:paraId="394D5923"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($2,043)</w:t>
            </w:r>
          </w:p>
        </w:tc>
        <w:tc>
          <w:tcPr>
            <w:tcW w:w="821" w:type="dxa"/>
            <w:noWrap/>
            <w:vAlign w:val="bottom"/>
            <w:hideMark/>
          </w:tcPr>
          <w:p w14:paraId="67617006"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-1.0%</w:t>
            </w:r>
          </w:p>
        </w:tc>
      </w:tr>
      <w:tr w:rsidR="00AE6074" w:rsidRPr="0053499C" w14:paraId="5A857D48" w14:textId="77777777" w:rsidTr="004757E2">
        <w:trPr>
          <w:trHeight w:hRule="exact" w:val="173"/>
        </w:trPr>
        <w:tc>
          <w:tcPr>
            <w:tcW w:w="630" w:type="dxa"/>
            <w:noWrap/>
            <w:vAlign w:val="bottom"/>
            <w:hideMark/>
          </w:tcPr>
          <w:p w14:paraId="293B0DC2"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12</w:t>
            </w:r>
          </w:p>
        </w:tc>
        <w:tc>
          <w:tcPr>
            <w:tcW w:w="900" w:type="dxa"/>
            <w:noWrap/>
            <w:vAlign w:val="bottom"/>
            <w:hideMark/>
          </w:tcPr>
          <w:p w14:paraId="598BA61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$339,176 </w:t>
            </w:r>
          </w:p>
        </w:tc>
        <w:tc>
          <w:tcPr>
            <w:tcW w:w="812" w:type="dxa"/>
            <w:noWrap/>
            <w:vAlign w:val="bottom"/>
            <w:hideMark/>
          </w:tcPr>
          <w:p w14:paraId="5D6EA4C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$20,351 </w:t>
            </w:r>
          </w:p>
        </w:tc>
        <w:tc>
          <w:tcPr>
            <w:tcW w:w="896" w:type="dxa"/>
            <w:noWrap/>
            <w:vAlign w:val="bottom"/>
            <w:hideMark/>
          </w:tcPr>
          <w:p w14:paraId="78B5496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$318,826 </w:t>
            </w:r>
          </w:p>
        </w:tc>
        <w:tc>
          <w:tcPr>
            <w:tcW w:w="992" w:type="dxa"/>
            <w:gridSpan w:val="2"/>
            <w:noWrap/>
            <w:vAlign w:val="bottom"/>
            <w:hideMark/>
          </w:tcPr>
          <w:p w14:paraId="5DCCE03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$158,826 </w:t>
            </w:r>
          </w:p>
        </w:tc>
        <w:tc>
          <w:tcPr>
            <w:tcW w:w="990" w:type="dxa"/>
            <w:noWrap/>
            <w:vAlign w:val="bottom"/>
            <w:hideMark/>
          </w:tcPr>
          <w:p w14:paraId="17C2468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$114,826 </w:t>
            </w:r>
          </w:p>
        </w:tc>
        <w:tc>
          <w:tcPr>
            <w:tcW w:w="979" w:type="dxa"/>
            <w:noWrap/>
            <w:vAlign w:val="bottom"/>
            <w:hideMark/>
          </w:tcPr>
          <w:p w14:paraId="13181A0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($2,887)</w:t>
            </w:r>
          </w:p>
        </w:tc>
        <w:tc>
          <w:tcPr>
            <w:tcW w:w="821" w:type="dxa"/>
            <w:noWrap/>
            <w:vAlign w:val="bottom"/>
            <w:hideMark/>
          </w:tcPr>
          <w:p w14:paraId="1EAC7EB4"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-1.4%</w:t>
            </w:r>
          </w:p>
        </w:tc>
      </w:tr>
      <w:tr w:rsidR="00AE6074" w:rsidRPr="0053499C" w14:paraId="0B6FFB41" w14:textId="77777777" w:rsidTr="004757E2">
        <w:trPr>
          <w:trHeight w:hRule="exact" w:val="173"/>
        </w:trPr>
        <w:tc>
          <w:tcPr>
            <w:tcW w:w="630" w:type="dxa"/>
            <w:noWrap/>
            <w:vAlign w:val="bottom"/>
            <w:hideMark/>
          </w:tcPr>
          <w:p w14:paraId="4E240E58"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13</w:t>
            </w:r>
          </w:p>
        </w:tc>
        <w:tc>
          <w:tcPr>
            <w:tcW w:w="900" w:type="dxa"/>
            <w:noWrap/>
            <w:vAlign w:val="bottom"/>
            <w:hideMark/>
          </w:tcPr>
          <w:p w14:paraId="584721FB"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$354,439 </w:t>
            </w:r>
          </w:p>
        </w:tc>
        <w:tc>
          <w:tcPr>
            <w:tcW w:w="812" w:type="dxa"/>
            <w:noWrap/>
            <w:vAlign w:val="bottom"/>
            <w:hideMark/>
          </w:tcPr>
          <w:p w14:paraId="3BEF761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$21,266 </w:t>
            </w:r>
          </w:p>
        </w:tc>
        <w:tc>
          <w:tcPr>
            <w:tcW w:w="896" w:type="dxa"/>
            <w:noWrap/>
            <w:vAlign w:val="bottom"/>
            <w:hideMark/>
          </w:tcPr>
          <w:p w14:paraId="6C93583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$333,173 </w:t>
            </w:r>
          </w:p>
        </w:tc>
        <w:tc>
          <w:tcPr>
            <w:tcW w:w="992" w:type="dxa"/>
            <w:gridSpan w:val="2"/>
            <w:noWrap/>
            <w:vAlign w:val="bottom"/>
            <w:hideMark/>
          </w:tcPr>
          <w:p w14:paraId="6BACA88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$173,173 </w:t>
            </w:r>
          </w:p>
        </w:tc>
        <w:tc>
          <w:tcPr>
            <w:tcW w:w="990" w:type="dxa"/>
            <w:noWrap/>
            <w:vAlign w:val="bottom"/>
            <w:hideMark/>
          </w:tcPr>
          <w:p w14:paraId="59C9F578"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$129,173 </w:t>
            </w:r>
          </w:p>
        </w:tc>
        <w:tc>
          <w:tcPr>
            <w:tcW w:w="979" w:type="dxa"/>
            <w:noWrap/>
            <w:vAlign w:val="bottom"/>
            <w:hideMark/>
          </w:tcPr>
          <w:p w14:paraId="33DADFE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($3,851)</w:t>
            </w:r>
          </w:p>
        </w:tc>
        <w:tc>
          <w:tcPr>
            <w:tcW w:w="821" w:type="dxa"/>
            <w:noWrap/>
            <w:vAlign w:val="bottom"/>
            <w:hideMark/>
          </w:tcPr>
          <w:p w14:paraId="6ECB61B3"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-1.9%</w:t>
            </w:r>
          </w:p>
        </w:tc>
      </w:tr>
      <w:tr w:rsidR="00AE6074" w:rsidRPr="0053499C" w14:paraId="3283DA5F" w14:textId="77777777" w:rsidTr="004757E2">
        <w:trPr>
          <w:trHeight w:hRule="exact" w:val="173"/>
        </w:trPr>
        <w:tc>
          <w:tcPr>
            <w:tcW w:w="630" w:type="dxa"/>
            <w:noWrap/>
            <w:vAlign w:val="bottom"/>
            <w:hideMark/>
          </w:tcPr>
          <w:p w14:paraId="62069D64"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14</w:t>
            </w:r>
          </w:p>
        </w:tc>
        <w:tc>
          <w:tcPr>
            <w:tcW w:w="900" w:type="dxa"/>
            <w:noWrap/>
            <w:vAlign w:val="bottom"/>
            <w:hideMark/>
          </w:tcPr>
          <w:p w14:paraId="32D0E8A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$370,389 </w:t>
            </w:r>
          </w:p>
        </w:tc>
        <w:tc>
          <w:tcPr>
            <w:tcW w:w="812" w:type="dxa"/>
            <w:noWrap/>
            <w:vAlign w:val="bottom"/>
            <w:hideMark/>
          </w:tcPr>
          <w:p w14:paraId="137B55D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$22,223 </w:t>
            </w:r>
          </w:p>
        </w:tc>
        <w:tc>
          <w:tcPr>
            <w:tcW w:w="896" w:type="dxa"/>
            <w:noWrap/>
            <w:vAlign w:val="bottom"/>
            <w:hideMark/>
          </w:tcPr>
          <w:p w14:paraId="7D9A0CB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$348,166 </w:t>
            </w:r>
          </w:p>
        </w:tc>
        <w:tc>
          <w:tcPr>
            <w:tcW w:w="992" w:type="dxa"/>
            <w:gridSpan w:val="2"/>
            <w:noWrap/>
            <w:vAlign w:val="bottom"/>
            <w:hideMark/>
          </w:tcPr>
          <w:p w14:paraId="19E7F93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$188,166 </w:t>
            </w:r>
          </w:p>
        </w:tc>
        <w:tc>
          <w:tcPr>
            <w:tcW w:w="990" w:type="dxa"/>
            <w:noWrap/>
            <w:vAlign w:val="bottom"/>
            <w:hideMark/>
          </w:tcPr>
          <w:p w14:paraId="734FA5BD"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$144,166 </w:t>
            </w:r>
          </w:p>
        </w:tc>
        <w:tc>
          <w:tcPr>
            <w:tcW w:w="979" w:type="dxa"/>
            <w:noWrap/>
            <w:vAlign w:val="bottom"/>
            <w:hideMark/>
          </w:tcPr>
          <w:p w14:paraId="519634CD"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($4,909)</w:t>
            </w:r>
          </w:p>
        </w:tc>
        <w:tc>
          <w:tcPr>
            <w:tcW w:w="821" w:type="dxa"/>
            <w:noWrap/>
            <w:vAlign w:val="bottom"/>
            <w:hideMark/>
          </w:tcPr>
          <w:p w14:paraId="0A7480F5"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-2.5%</w:t>
            </w:r>
          </w:p>
        </w:tc>
      </w:tr>
      <w:tr w:rsidR="00AE6074" w:rsidRPr="0053499C" w14:paraId="63FD70B9" w14:textId="77777777" w:rsidTr="004757E2">
        <w:trPr>
          <w:trHeight w:hRule="exact" w:val="173"/>
        </w:trPr>
        <w:tc>
          <w:tcPr>
            <w:tcW w:w="630" w:type="dxa"/>
            <w:noWrap/>
            <w:vAlign w:val="bottom"/>
            <w:hideMark/>
          </w:tcPr>
          <w:p w14:paraId="075D3E2A"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15</w:t>
            </w:r>
          </w:p>
        </w:tc>
        <w:tc>
          <w:tcPr>
            <w:tcW w:w="900" w:type="dxa"/>
            <w:noWrap/>
            <w:vAlign w:val="bottom"/>
            <w:hideMark/>
          </w:tcPr>
          <w:p w14:paraId="1F2687F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$387,056 </w:t>
            </w:r>
          </w:p>
        </w:tc>
        <w:tc>
          <w:tcPr>
            <w:tcW w:w="812" w:type="dxa"/>
            <w:noWrap/>
            <w:vAlign w:val="bottom"/>
            <w:hideMark/>
          </w:tcPr>
          <w:p w14:paraId="243A8C69"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$23,223 </w:t>
            </w:r>
          </w:p>
        </w:tc>
        <w:tc>
          <w:tcPr>
            <w:tcW w:w="896" w:type="dxa"/>
            <w:noWrap/>
            <w:vAlign w:val="bottom"/>
            <w:hideMark/>
          </w:tcPr>
          <w:p w14:paraId="752959C7"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$363,833 </w:t>
            </w:r>
          </w:p>
        </w:tc>
        <w:tc>
          <w:tcPr>
            <w:tcW w:w="992" w:type="dxa"/>
            <w:gridSpan w:val="2"/>
            <w:noWrap/>
            <w:vAlign w:val="bottom"/>
            <w:hideMark/>
          </w:tcPr>
          <w:p w14:paraId="4E662BF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$203,833 </w:t>
            </w:r>
          </w:p>
        </w:tc>
        <w:tc>
          <w:tcPr>
            <w:tcW w:w="990" w:type="dxa"/>
            <w:noWrap/>
            <w:vAlign w:val="bottom"/>
            <w:hideMark/>
          </w:tcPr>
          <w:p w14:paraId="40B27D2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$159,833 </w:t>
            </w:r>
          </w:p>
        </w:tc>
        <w:tc>
          <w:tcPr>
            <w:tcW w:w="979" w:type="dxa"/>
            <w:noWrap/>
            <w:vAlign w:val="bottom"/>
            <w:hideMark/>
          </w:tcPr>
          <w:p w14:paraId="1A7703E7"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($6,036)</w:t>
            </w:r>
          </w:p>
        </w:tc>
        <w:tc>
          <w:tcPr>
            <w:tcW w:w="821" w:type="dxa"/>
            <w:noWrap/>
            <w:vAlign w:val="bottom"/>
            <w:hideMark/>
          </w:tcPr>
          <w:p w14:paraId="62DD6F23"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-3.0%</w:t>
            </w:r>
          </w:p>
        </w:tc>
      </w:tr>
      <w:tr w:rsidR="00AE6074" w:rsidRPr="0053499C" w14:paraId="0A9045D2" w14:textId="77777777" w:rsidTr="004757E2">
        <w:trPr>
          <w:trHeight w:hRule="exact" w:val="173"/>
        </w:trPr>
        <w:tc>
          <w:tcPr>
            <w:tcW w:w="630" w:type="dxa"/>
            <w:noWrap/>
            <w:vAlign w:val="bottom"/>
            <w:hideMark/>
          </w:tcPr>
          <w:p w14:paraId="0CDA4F56"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16</w:t>
            </w:r>
          </w:p>
        </w:tc>
        <w:tc>
          <w:tcPr>
            <w:tcW w:w="900" w:type="dxa"/>
            <w:noWrap/>
            <w:vAlign w:val="bottom"/>
            <w:hideMark/>
          </w:tcPr>
          <w:p w14:paraId="2E225FD3"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$404,474 </w:t>
            </w:r>
          </w:p>
        </w:tc>
        <w:tc>
          <w:tcPr>
            <w:tcW w:w="812" w:type="dxa"/>
            <w:noWrap/>
            <w:vAlign w:val="bottom"/>
            <w:hideMark/>
          </w:tcPr>
          <w:p w14:paraId="77C2E35D"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$24,268 </w:t>
            </w:r>
          </w:p>
        </w:tc>
        <w:tc>
          <w:tcPr>
            <w:tcW w:w="896" w:type="dxa"/>
            <w:noWrap/>
            <w:vAlign w:val="bottom"/>
            <w:hideMark/>
          </w:tcPr>
          <w:p w14:paraId="0A994C17"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$380,206 </w:t>
            </w:r>
          </w:p>
        </w:tc>
        <w:tc>
          <w:tcPr>
            <w:tcW w:w="992" w:type="dxa"/>
            <w:gridSpan w:val="2"/>
            <w:noWrap/>
            <w:vAlign w:val="bottom"/>
            <w:hideMark/>
          </w:tcPr>
          <w:p w14:paraId="3608D803"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$220,206 </w:t>
            </w:r>
          </w:p>
        </w:tc>
        <w:tc>
          <w:tcPr>
            <w:tcW w:w="990" w:type="dxa"/>
            <w:noWrap/>
            <w:vAlign w:val="bottom"/>
            <w:hideMark/>
          </w:tcPr>
          <w:p w14:paraId="0C53B3C6"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$176,206 </w:t>
            </w:r>
          </w:p>
        </w:tc>
        <w:tc>
          <w:tcPr>
            <w:tcW w:w="979" w:type="dxa"/>
            <w:noWrap/>
            <w:vAlign w:val="bottom"/>
            <w:hideMark/>
          </w:tcPr>
          <w:p w14:paraId="02246DC1"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($7,214)</w:t>
            </w:r>
          </w:p>
        </w:tc>
        <w:tc>
          <w:tcPr>
            <w:tcW w:w="821" w:type="dxa"/>
            <w:noWrap/>
            <w:vAlign w:val="bottom"/>
            <w:hideMark/>
          </w:tcPr>
          <w:p w14:paraId="4A9328C7"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-3.6%</w:t>
            </w:r>
          </w:p>
        </w:tc>
      </w:tr>
      <w:tr w:rsidR="00AE6074" w:rsidRPr="0053499C" w14:paraId="247A0D69" w14:textId="77777777" w:rsidTr="004757E2">
        <w:trPr>
          <w:trHeight w:hRule="exact" w:val="173"/>
        </w:trPr>
        <w:tc>
          <w:tcPr>
            <w:tcW w:w="630" w:type="dxa"/>
            <w:noWrap/>
            <w:vAlign w:val="bottom"/>
            <w:hideMark/>
          </w:tcPr>
          <w:p w14:paraId="5BD34681"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17</w:t>
            </w:r>
          </w:p>
        </w:tc>
        <w:tc>
          <w:tcPr>
            <w:tcW w:w="900" w:type="dxa"/>
            <w:noWrap/>
            <w:vAlign w:val="bottom"/>
            <w:hideMark/>
          </w:tcPr>
          <w:p w14:paraId="5344AC1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$422,675 </w:t>
            </w:r>
          </w:p>
        </w:tc>
        <w:tc>
          <w:tcPr>
            <w:tcW w:w="812" w:type="dxa"/>
            <w:noWrap/>
            <w:vAlign w:val="bottom"/>
            <w:hideMark/>
          </w:tcPr>
          <w:p w14:paraId="0C89BC8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$25,361 </w:t>
            </w:r>
          </w:p>
        </w:tc>
        <w:tc>
          <w:tcPr>
            <w:tcW w:w="896" w:type="dxa"/>
            <w:noWrap/>
            <w:vAlign w:val="bottom"/>
            <w:hideMark/>
          </w:tcPr>
          <w:p w14:paraId="1B1345C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$397,315 </w:t>
            </w:r>
          </w:p>
        </w:tc>
        <w:tc>
          <w:tcPr>
            <w:tcW w:w="992" w:type="dxa"/>
            <w:gridSpan w:val="2"/>
            <w:noWrap/>
            <w:vAlign w:val="bottom"/>
            <w:hideMark/>
          </w:tcPr>
          <w:p w14:paraId="4D6924AF"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$237,315 </w:t>
            </w:r>
          </w:p>
        </w:tc>
        <w:tc>
          <w:tcPr>
            <w:tcW w:w="990" w:type="dxa"/>
            <w:noWrap/>
            <w:vAlign w:val="bottom"/>
            <w:hideMark/>
          </w:tcPr>
          <w:p w14:paraId="55B1204B"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$193,315 </w:t>
            </w:r>
          </w:p>
        </w:tc>
        <w:tc>
          <w:tcPr>
            <w:tcW w:w="979" w:type="dxa"/>
            <w:noWrap/>
            <w:vAlign w:val="bottom"/>
            <w:hideMark/>
          </w:tcPr>
          <w:p w14:paraId="0730CB78"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($8,425)</w:t>
            </w:r>
          </w:p>
        </w:tc>
        <w:tc>
          <w:tcPr>
            <w:tcW w:w="821" w:type="dxa"/>
            <w:noWrap/>
            <w:vAlign w:val="bottom"/>
            <w:hideMark/>
          </w:tcPr>
          <w:p w14:paraId="75FA757C"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-4.2%</w:t>
            </w:r>
          </w:p>
        </w:tc>
      </w:tr>
      <w:tr w:rsidR="00AE6074" w:rsidRPr="0053499C" w14:paraId="70BDD79F" w14:textId="77777777" w:rsidTr="004757E2">
        <w:trPr>
          <w:trHeight w:hRule="exact" w:val="173"/>
        </w:trPr>
        <w:tc>
          <w:tcPr>
            <w:tcW w:w="630" w:type="dxa"/>
            <w:noWrap/>
            <w:vAlign w:val="bottom"/>
            <w:hideMark/>
          </w:tcPr>
          <w:p w14:paraId="79613641"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18</w:t>
            </w:r>
          </w:p>
        </w:tc>
        <w:tc>
          <w:tcPr>
            <w:tcW w:w="900" w:type="dxa"/>
            <w:noWrap/>
            <w:vAlign w:val="bottom"/>
            <w:hideMark/>
          </w:tcPr>
          <w:p w14:paraId="216B55E6"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$441,696 </w:t>
            </w:r>
          </w:p>
        </w:tc>
        <w:tc>
          <w:tcPr>
            <w:tcW w:w="812" w:type="dxa"/>
            <w:noWrap/>
            <w:vAlign w:val="bottom"/>
            <w:hideMark/>
          </w:tcPr>
          <w:p w14:paraId="2DCB1CD1"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$26,502 </w:t>
            </w:r>
          </w:p>
        </w:tc>
        <w:tc>
          <w:tcPr>
            <w:tcW w:w="896" w:type="dxa"/>
            <w:noWrap/>
            <w:vAlign w:val="bottom"/>
            <w:hideMark/>
          </w:tcPr>
          <w:p w14:paraId="641D439B"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$415,194 </w:t>
            </w:r>
          </w:p>
        </w:tc>
        <w:tc>
          <w:tcPr>
            <w:tcW w:w="992" w:type="dxa"/>
            <w:gridSpan w:val="2"/>
            <w:noWrap/>
            <w:vAlign w:val="bottom"/>
            <w:hideMark/>
          </w:tcPr>
          <w:p w14:paraId="51B78EA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$255,194 </w:t>
            </w:r>
          </w:p>
        </w:tc>
        <w:tc>
          <w:tcPr>
            <w:tcW w:w="990" w:type="dxa"/>
            <w:noWrap/>
            <w:vAlign w:val="bottom"/>
            <w:hideMark/>
          </w:tcPr>
          <w:p w14:paraId="09E8E52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$211,194 </w:t>
            </w:r>
          </w:p>
        </w:tc>
        <w:tc>
          <w:tcPr>
            <w:tcW w:w="979" w:type="dxa"/>
            <w:noWrap/>
            <w:vAlign w:val="bottom"/>
            <w:hideMark/>
          </w:tcPr>
          <w:p w14:paraId="46ACCBE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($9,656)</w:t>
            </w:r>
          </w:p>
        </w:tc>
        <w:tc>
          <w:tcPr>
            <w:tcW w:w="821" w:type="dxa"/>
            <w:noWrap/>
            <w:vAlign w:val="bottom"/>
            <w:hideMark/>
          </w:tcPr>
          <w:p w14:paraId="6E168373"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-4.8%</w:t>
            </w:r>
          </w:p>
        </w:tc>
      </w:tr>
      <w:tr w:rsidR="00AE6074" w:rsidRPr="0053499C" w14:paraId="32C4796F" w14:textId="77777777" w:rsidTr="004757E2">
        <w:trPr>
          <w:trHeight w:hRule="exact" w:val="173"/>
        </w:trPr>
        <w:tc>
          <w:tcPr>
            <w:tcW w:w="630" w:type="dxa"/>
            <w:noWrap/>
            <w:vAlign w:val="bottom"/>
            <w:hideMark/>
          </w:tcPr>
          <w:p w14:paraId="3E05F0EA"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19</w:t>
            </w:r>
          </w:p>
        </w:tc>
        <w:tc>
          <w:tcPr>
            <w:tcW w:w="900" w:type="dxa"/>
            <w:noWrap/>
            <w:vAlign w:val="bottom"/>
            <w:hideMark/>
          </w:tcPr>
          <w:p w14:paraId="04F8081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$461,572 </w:t>
            </w:r>
          </w:p>
        </w:tc>
        <w:tc>
          <w:tcPr>
            <w:tcW w:w="812" w:type="dxa"/>
            <w:noWrap/>
            <w:vAlign w:val="bottom"/>
            <w:hideMark/>
          </w:tcPr>
          <w:p w14:paraId="3A5C28D6"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$27,694 </w:t>
            </w:r>
          </w:p>
        </w:tc>
        <w:tc>
          <w:tcPr>
            <w:tcW w:w="896" w:type="dxa"/>
            <w:noWrap/>
            <w:vAlign w:val="bottom"/>
            <w:hideMark/>
          </w:tcPr>
          <w:p w14:paraId="7C976D9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$433,878 </w:t>
            </w:r>
          </w:p>
        </w:tc>
        <w:tc>
          <w:tcPr>
            <w:tcW w:w="992" w:type="dxa"/>
            <w:gridSpan w:val="2"/>
            <w:noWrap/>
            <w:vAlign w:val="bottom"/>
            <w:hideMark/>
          </w:tcPr>
          <w:p w14:paraId="5853F72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$273,878 </w:t>
            </w:r>
          </w:p>
        </w:tc>
        <w:tc>
          <w:tcPr>
            <w:tcW w:w="990" w:type="dxa"/>
            <w:noWrap/>
            <w:vAlign w:val="bottom"/>
            <w:hideMark/>
          </w:tcPr>
          <w:p w14:paraId="283D369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$229,878 </w:t>
            </w:r>
          </w:p>
        </w:tc>
        <w:tc>
          <w:tcPr>
            <w:tcW w:w="979" w:type="dxa"/>
            <w:noWrap/>
            <w:vAlign w:val="bottom"/>
            <w:hideMark/>
          </w:tcPr>
          <w:p w14:paraId="4F64D54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($10,894)</w:t>
            </w:r>
          </w:p>
        </w:tc>
        <w:tc>
          <w:tcPr>
            <w:tcW w:w="821" w:type="dxa"/>
            <w:noWrap/>
            <w:vAlign w:val="bottom"/>
            <w:hideMark/>
          </w:tcPr>
          <w:p w14:paraId="6A5750D2"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-5.4%</w:t>
            </w:r>
          </w:p>
        </w:tc>
      </w:tr>
      <w:tr w:rsidR="00AE6074" w:rsidRPr="0053499C" w14:paraId="44E5F1D9" w14:textId="77777777" w:rsidTr="004757E2">
        <w:trPr>
          <w:trHeight w:hRule="exact" w:val="173"/>
        </w:trPr>
        <w:tc>
          <w:tcPr>
            <w:tcW w:w="630" w:type="dxa"/>
            <w:noWrap/>
            <w:vAlign w:val="bottom"/>
            <w:hideMark/>
          </w:tcPr>
          <w:p w14:paraId="36735571"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20</w:t>
            </w:r>
          </w:p>
        </w:tc>
        <w:tc>
          <w:tcPr>
            <w:tcW w:w="900" w:type="dxa"/>
            <w:noWrap/>
            <w:vAlign w:val="bottom"/>
            <w:hideMark/>
          </w:tcPr>
          <w:p w14:paraId="01A199C9"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$482,343 </w:t>
            </w:r>
          </w:p>
        </w:tc>
        <w:tc>
          <w:tcPr>
            <w:tcW w:w="812" w:type="dxa"/>
            <w:noWrap/>
            <w:vAlign w:val="bottom"/>
            <w:hideMark/>
          </w:tcPr>
          <w:p w14:paraId="2F955D4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$28,941 </w:t>
            </w:r>
          </w:p>
        </w:tc>
        <w:tc>
          <w:tcPr>
            <w:tcW w:w="896" w:type="dxa"/>
            <w:noWrap/>
            <w:vAlign w:val="bottom"/>
            <w:hideMark/>
          </w:tcPr>
          <w:p w14:paraId="10295667"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$453,402 </w:t>
            </w:r>
          </w:p>
        </w:tc>
        <w:tc>
          <w:tcPr>
            <w:tcW w:w="992" w:type="dxa"/>
            <w:gridSpan w:val="2"/>
            <w:noWrap/>
            <w:vAlign w:val="bottom"/>
            <w:hideMark/>
          </w:tcPr>
          <w:p w14:paraId="1CE45CF6"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$293,402 </w:t>
            </w:r>
          </w:p>
        </w:tc>
        <w:tc>
          <w:tcPr>
            <w:tcW w:w="990" w:type="dxa"/>
            <w:noWrap/>
            <w:vAlign w:val="bottom"/>
            <w:hideMark/>
          </w:tcPr>
          <w:p w14:paraId="7FCF19A6"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$249,402 </w:t>
            </w:r>
          </w:p>
        </w:tc>
        <w:tc>
          <w:tcPr>
            <w:tcW w:w="979" w:type="dxa"/>
            <w:noWrap/>
            <w:vAlign w:val="bottom"/>
            <w:hideMark/>
          </w:tcPr>
          <w:p w14:paraId="4717FA6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($12,129)</w:t>
            </w:r>
          </w:p>
        </w:tc>
        <w:tc>
          <w:tcPr>
            <w:tcW w:w="821" w:type="dxa"/>
            <w:noWrap/>
            <w:vAlign w:val="bottom"/>
            <w:hideMark/>
          </w:tcPr>
          <w:p w14:paraId="7DEE9563"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-6.1%</w:t>
            </w:r>
          </w:p>
        </w:tc>
      </w:tr>
      <w:tr w:rsidR="00AE6074" w:rsidRPr="0053499C" w14:paraId="7D4CD6EA" w14:textId="77777777" w:rsidTr="004757E2">
        <w:trPr>
          <w:trHeight w:hRule="exact" w:val="173"/>
        </w:trPr>
        <w:tc>
          <w:tcPr>
            <w:tcW w:w="630" w:type="dxa"/>
            <w:noWrap/>
            <w:vAlign w:val="bottom"/>
            <w:hideMark/>
          </w:tcPr>
          <w:p w14:paraId="447BE77A"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21</w:t>
            </w:r>
          </w:p>
        </w:tc>
        <w:tc>
          <w:tcPr>
            <w:tcW w:w="900" w:type="dxa"/>
            <w:noWrap/>
            <w:vAlign w:val="bottom"/>
            <w:hideMark/>
          </w:tcPr>
          <w:p w14:paraId="606BFE66"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$504,048 </w:t>
            </w:r>
          </w:p>
        </w:tc>
        <w:tc>
          <w:tcPr>
            <w:tcW w:w="812" w:type="dxa"/>
            <w:noWrap/>
            <w:vAlign w:val="bottom"/>
            <w:hideMark/>
          </w:tcPr>
          <w:p w14:paraId="2A0B690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$30,243 </w:t>
            </w:r>
          </w:p>
        </w:tc>
        <w:tc>
          <w:tcPr>
            <w:tcW w:w="896" w:type="dxa"/>
            <w:noWrap/>
            <w:vAlign w:val="bottom"/>
            <w:hideMark/>
          </w:tcPr>
          <w:p w14:paraId="12C9AA9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$473,805 </w:t>
            </w:r>
          </w:p>
        </w:tc>
        <w:tc>
          <w:tcPr>
            <w:tcW w:w="992" w:type="dxa"/>
            <w:gridSpan w:val="2"/>
            <w:noWrap/>
            <w:vAlign w:val="bottom"/>
            <w:hideMark/>
          </w:tcPr>
          <w:p w14:paraId="5DA2CD74"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$313,805 </w:t>
            </w:r>
          </w:p>
        </w:tc>
        <w:tc>
          <w:tcPr>
            <w:tcW w:w="990" w:type="dxa"/>
            <w:noWrap/>
            <w:vAlign w:val="bottom"/>
            <w:hideMark/>
          </w:tcPr>
          <w:p w14:paraId="49B0D07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$269,805 </w:t>
            </w:r>
          </w:p>
        </w:tc>
        <w:tc>
          <w:tcPr>
            <w:tcW w:w="979" w:type="dxa"/>
            <w:noWrap/>
            <w:vAlign w:val="bottom"/>
            <w:hideMark/>
          </w:tcPr>
          <w:p w14:paraId="1F3AC36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($13,352)</w:t>
            </w:r>
          </w:p>
        </w:tc>
        <w:tc>
          <w:tcPr>
            <w:tcW w:w="821" w:type="dxa"/>
            <w:noWrap/>
            <w:vAlign w:val="bottom"/>
            <w:hideMark/>
          </w:tcPr>
          <w:p w14:paraId="2C66C2D3"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-6.7%</w:t>
            </w:r>
          </w:p>
        </w:tc>
      </w:tr>
      <w:tr w:rsidR="00AE6074" w:rsidRPr="0053499C" w14:paraId="5F40749E" w14:textId="77777777" w:rsidTr="004757E2">
        <w:trPr>
          <w:trHeight w:hRule="exact" w:val="173"/>
        </w:trPr>
        <w:tc>
          <w:tcPr>
            <w:tcW w:w="630" w:type="dxa"/>
            <w:noWrap/>
            <w:vAlign w:val="bottom"/>
            <w:hideMark/>
          </w:tcPr>
          <w:p w14:paraId="07DDCD0A"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22</w:t>
            </w:r>
          </w:p>
        </w:tc>
        <w:tc>
          <w:tcPr>
            <w:tcW w:w="900" w:type="dxa"/>
            <w:noWrap/>
            <w:vAlign w:val="bottom"/>
            <w:hideMark/>
          </w:tcPr>
          <w:p w14:paraId="630FC00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$526,730 </w:t>
            </w:r>
          </w:p>
        </w:tc>
        <w:tc>
          <w:tcPr>
            <w:tcW w:w="812" w:type="dxa"/>
            <w:noWrap/>
            <w:vAlign w:val="bottom"/>
            <w:hideMark/>
          </w:tcPr>
          <w:p w14:paraId="6E471D71"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$31,604 </w:t>
            </w:r>
          </w:p>
        </w:tc>
        <w:tc>
          <w:tcPr>
            <w:tcW w:w="896" w:type="dxa"/>
            <w:noWrap/>
            <w:vAlign w:val="bottom"/>
            <w:hideMark/>
          </w:tcPr>
          <w:p w14:paraId="394161C6"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$495,127 </w:t>
            </w:r>
          </w:p>
        </w:tc>
        <w:tc>
          <w:tcPr>
            <w:tcW w:w="992" w:type="dxa"/>
            <w:gridSpan w:val="2"/>
            <w:noWrap/>
            <w:vAlign w:val="bottom"/>
            <w:hideMark/>
          </w:tcPr>
          <w:p w14:paraId="1C50CE29"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$335,127 </w:t>
            </w:r>
          </w:p>
        </w:tc>
        <w:tc>
          <w:tcPr>
            <w:tcW w:w="990" w:type="dxa"/>
            <w:noWrap/>
            <w:vAlign w:val="bottom"/>
            <w:hideMark/>
          </w:tcPr>
          <w:p w14:paraId="6301BD94"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$291,127 </w:t>
            </w:r>
          </w:p>
        </w:tc>
        <w:tc>
          <w:tcPr>
            <w:tcW w:w="979" w:type="dxa"/>
            <w:noWrap/>
            <w:vAlign w:val="bottom"/>
            <w:hideMark/>
          </w:tcPr>
          <w:p w14:paraId="54D2C9E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($14,557)</w:t>
            </w:r>
          </w:p>
        </w:tc>
        <w:tc>
          <w:tcPr>
            <w:tcW w:w="821" w:type="dxa"/>
            <w:noWrap/>
            <w:vAlign w:val="bottom"/>
            <w:hideMark/>
          </w:tcPr>
          <w:p w14:paraId="35999045"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-7.3%</w:t>
            </w:r>
          </w:p>
        </w:tc>
      </w:tr>
      <w:tr w:rsidR="00AE6074" w:rsidRPr="0053499C" w14:paraId="645007FD" w14:textId="77777777" w:rsidTr="004757E2">
        <w:trPr>
          <w:trHeight w:hRule="exact" w:val="173"/>
        </w:trPr>
        <w:tc>
          <w:tcPr>
            <w:tcW w:w="630" w:type="dxa"/>
            <w:noWrap/>
            <w:vAlign w:val="bottom"/>
            <w:hideMark/>
          </w:tcPr>
          <w:p w14:paraId="46C6AB2A"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23</w:t>
            </w:r>
          </w:p>
        </w:tc>
        <w:tc>
          <w:tcPr>
            <w:tcW w:w="900" w:type="dxa"/>
            <w:noWrap/>
            <w:vAlign w:val="bottom"/>
            <w:hideMark/>
          </w:tcPr>
          <w:p w14:paraId="4EA134F6"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$550,433 </w:t>
            </w:r>
          </w:p>
        </w:tc>
        <w:tc>
          <w:tcPr>
            <w:tcW w:w="812" w:type="dxa"/>
            <w:noWrap/>
            <w:vAlign w:val="bottom"/>
            <w:hideMark/>
          </w:tcPr>
          <w:p w14:paraId="19799EE1"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$33,026 </w:t>
            </w:r>
          </w:p>
        </w:tc>
        <w:tc>
          <w:tcPr>
            <w:tcW w:w="896" w:type="dxa"/>
            <w:noWrap/>
            <w:vAlign w:val="bottom"/>
            <w:hideMark/>
          </w:tcPr>
          <w:p w14:paraId="69D0EB96"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$517,407 </w:t>
            </w:r>
          </w:p>
        </w:tc>
        <w:tc>
          <w:tcPr>
            <w:tcW w:w="992" w:type="dxa"/>
            <w:gridSpan w:val="2"/>
            <w:noWrap/>
            <w:vAlign w:val="bottom"/>
            <w:hideMark/>
          </w:tcPr>
          <w:p w14:paraId="0EEACF2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$357,407 </w:t>
            </w:r>
          </w:p>
        </w:tc>
        <w:tc>
          <w:tcPr>
            <w:tcW w:w="990" w:type="dxa"/>
            <w:noWrap/>
            <w:vAlign w:val="bottom"/>
            <w:hideMark/>
          </w:tcPr>
          <w:p w14:paraId="6119059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$313,407 </w:t>
            </w:r>
          </w:p>
        </w:tc>
        <w:tc>
          <w:tcPr>
            <w:tcW w:w="979" w:type="dxa"/>
            <w:noWrap/>
            <w:vAlign w:val="bottom"/>
            <w:hideMark/>
          </w:tcPr>
          <w:p w14:paraId="17F7910D"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($15,739)</w:t>
            </w:r>
          </w:p>
        </w:tc>
        <w:tc>
          <w:tcPr>
            <w:tcW w:w="821" w:type="dxa"/>
            <w:noWrap/>
            <w:vAlign w:val="bottom"/>
            <w:hideMark/>
          </w:tcPr>
          <w:p w14:paraId="0F845F7D"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-7.9%</w:t>
            </w:r>
          </w:p>
        </w:tc>
      </w:tr>
      <w:tr w:rsidR="00AE6074" w:rsidRPr="0053499C" w14:paraId="4D0FD8C3" w14:textId="77777777" w:rsidTr="004757E2">
        <w:trPr>
          <w:trHeight w:hRule="exact" w:val="173"/>
        </w:trPr>
        <w:tc>
          <w:tcPr>
            <w:tcW w:w="630" w:type="dxa"/>
            <w:noWrap/>
            <w:vAlign w:val="bottom"/>
            <w:hideMark/>
          </w:tcPr>
          <w:p w14:paraId="6D4F5CFC"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24</w:t>
            </w:r>
          </w:p>
        </w:tc>
        <w:tc>
          <w:tcPr>
            <w:tcW w:w="900" w:type="dxa"/>
            <w:noWrap/>
            <w:vAlign w:val="bottom"/>
            <w:hideMark/>
          </w:tcPr>
          <w:p w14:paraId="18AF14D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$575,203 </w:t>
            </w:r>
          </w:p>
        </w:tc>
        <w:tc>
          <w:tcPr>
            <w:tcW w:w="812" w:type="dxa"/>
            <w:noWrap/>
            <w:vAlign w:val="bottom"/>
            <w:hideMark/>
          </w:tcPr>
          <w:p w14:paraId="0FBFB8D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$34,512 </w:t>
            </w:r>
          </w:p>
        </w:tc>
        <w:tc>
          <w:tcPr>
            <w:tcW w:w="896" w:type="dxa"/>
            <w:noWrap/>
            <w:vAlign w:val="bottom"/>
            <w:hideMark/>
          </w:tcPr>
          <w:p w14:paraId="49234BE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$540,691 </w:t>
            </w:r>
          </w:p>
        </w:tc>
        <w:tc>
          <w:tcPr>
            <w:tcW w:w="992" w:type="dxa"/>
            <w:gridSpan w:val="2"/>
            <w:noWrap/>
            <w:vAlign w:val="bottom"/>
            <w:hideMark/>
          </w:tcPr>
          <w:p w14:paraId="6A22B18E"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$380,691 </w:t>
            </w:r>
          </w:p>
        </w:tc>
        <w:tc>
          <w:tcPr>
            <w:tcW w:w="990" w:type="dxa"/>
            <w:noWrap/>
            <w:vAlign w:val="bottom"/>
            <w:hideMark/>
          </w:tcPr>
          <w:p w14:paraId="500284F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$336,691 </w:t>
            </w:r>
          </w:p>
        </w:tc>
        <w:tc>
          <w:tcPr>
            <w:tcW w:w="979" w:type="dxa"/>
            <w:noWrap/>
            <w:vAlign w:val="bottom"/>
            <w:hideMark/>
          </w:tcPr>
          <w:p w14:paraId="0BB45659"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($16,892)</w:t>
            </w:r>
          </w:p>
        </w:tc>
        <w:tc>
          <w:tcPr>
            <w:tcW w:w="821" w:type="dxa"/>
            <w:noWrap/>
            <w:vAlign w:val="bottom"/>
            <w:hideMark/>
          </w:tcPr>
          <w:p w14:paraId="20613A8C"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-8.4%</w:t>
            </w:r>
          </w:p>
        </w:tc>
      </w:tr>
      <w:tr w:rsidR="00AE6074" w:rsidRPr="0053499C" w14:paraId="782F71CE" w14:textId="77777777" w:rsidTr="004757E2">
        <w:trPr>
          <w:trHeight w:hRule="exact" w:val="173"/>
        </w:trPr>
        <w:tc>
          <w:tcPr>
            <w:tcW w:w="630" w:type="dxa"/>
            <w:noWrap/>
            <w:vAlign w:val="bottom"/>
            <w:hideMark/>
          </w:tcPr>
          <w:p w14:paraId="73FB8AC0"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25</w:t>
            </w:r>
          </w:p>
        </w:tc>
        <w:tc>
          <w:tcPr>
            <w:tcW w:w="900" w:type="dxa"/>
            <w:noWrap/>
            <w:vAlign w:val="bottom"/>
            <w:hideMark/>
          </w:tcPr>
          <w:p w14:paraId="1406E6C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$601,087 </w:t>
            </w:r>
          </w:p>
        </w:tc>
        <w:tc>
          <w:tcPr>
            <w:tcW w:w="812" w:type="dxa"/>
            <w:noWrap/>
            <w:vAlign w:val="bottom"/>
            <w:hideMark/>
          </w:tcPr>
          <w:p w14:paraId="67CF4F74"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$36,065 </w:t>
            </w:r>
          </w:p>
        </w:tc>
        <w:tc>
          <w:tcPr>
            <w:tcW w:w="896" w:type="dxa"/>
            <w:noWrap/>
            <w:vAlign w:val="bottom"/>
            <w:hideMark/>
          </w:tcPr>
          <w:p w14:paraId="17281113"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$565,022 </w:t>
            </w:r>
          </w:p>
        </w:tc>
        <w:tc>
          <w:tcPr>
            <w:tcW w:w="992" w:type="dxa"/>
            <w:gridSpan w:val="2"/>
            <w:noWrap/>
            <w:vAlign w:val="bottom"/>
            <w:hideMark/>
          </w:tcPr>
          <w:p w14:paraId="7723CA0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$405,022 </w:t>
            </w:r>
          </w:p>
        </w:tc>
        <w:tc>
          <w:tcPr>
            <w:tcW w:w="990" w:type="dxa"/>
            <w:noWrap/>
            <w:vAlign w:val="bottom"/>
            <w:hideMark/>
          </w:tcPr>
          <w:p w14:paraId="3309B333"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$361,022 </w:t>
            </w:r>
          </w:p>
        </w:tc>
        <w:tc>
          <w:tcPr>
            <w:tcW w:w="979" w:type="dxa"/>
            <w:noWrap/>
            <w:vAlign w:val="bottom"/>
            <w:hideMark/>
          </w:tcPr>
          <w:p w14:paraId="162C8AC4"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($18,014)</w:t>
            </w:r>
          </w:p>
        </w:tc>
        <w:tc>
          <w:tcPr>
            <w:tcW w:w="821" w:type="dxa"/>
            <w:noWrap/>
            <w:vAlign w:val="bottom"/>
            <w:hideMark/>
          </w:tcPr>
          <w:p w14:paraId="45D42F82"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-9.0%</w:t>
            </w:r>
          </w:p>
        </w:tc>
      </w:tr>
      <w:tr w:rsidR="00AE6074" w:rsidRPr="0053499C" w14:paraId="0DC7EA27" w14:textId="77777777" w:rsidTr="004757E2">
        <w:trPr>
          <w:trHeight w:hRule="exact" w:val="173"/>
        </w:trPr>
        <w:tc>
          <w:tcPr>
            <w:tcW w:w="630" w:type="dxa"/>
            <w:noWrap/>
            <w:vAlign w:val="bottom"/>
            <w:hideMark/>
          </w:tcPr>
          <w:p w14:paraId="4F2DD509"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26</w:t>
            </w:r>
          </w:p>
        </w:tc>
        <w:tc>
          <w:tcPr>
            <w:tcW w:w="900" w:type="dxa"/>
            <w:noWrap/>
            <w:vAlign w:val="bottom"/>
            <w:hideMark/>
          </w:tcPr>
          <w:p w14:paraId="2C52950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$628,136 </w:t>
            </w:r>
          </w:p>
        </w:tc>
        <w:tc>
          <w:tcPr>
            <w:tcW w:w="812" w:type="dxa"/>
            <w:noWrap/>
            <w:vAlign w:val="bottom"/>
            <w:hideMark/>
          </w:tcPr>
          <w:p w14:paraId="772B464A"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$37,688 </w:t>
            </w:r>
          </w:p>
        </w:tc>
        <w:tc>
          <w:tcPr>
            <w:tcW w:w="896" w:type="dxa"/>
            <w:noWrap/>
            <w:vAlign w:val="bottom"/>
            <w:hideMark/>
          </w:tcPr>
          <w:p w14:paraId="5234798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$590,448 </w:t>
            </w:r>
          </w:p>
        </w:tc>
        <w:tc>
          <w:tcPr>
            <w:tcW w:w="992" w:type="dxa"/>
            <w:gridSpan w:val="2"/>
            <w:noWrap/>
            <w:vAlign w:val="bottom"/>
            <w:hideMark/>
          </w:tcPr>
          <w:p w14:paraId="4227C2A8"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$430,448 </w:t>
            </w:r>
          </w:p>
        </w:tc>
        <w:tc>
          <w:tcPr>
            <w:tcW w:w="990" w:type="dxa"/>
            <w:noWrap/>
            <w:vAlign w:val="bottom"/>
            <w:hideMark/>
          </w:tcPr>
          <w:p w14:paraId="0A6375D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$386,448 </w:t>
            </w:r>
          </w:p>
        </w:tc>
        <w:tc>
          <w:tcPr>
            <w:tcW w:w="979" w:type="dxa"/>
            <w:noWrap/>
            <w:vAlign w:val="bottom"/>
            <w:hideMark/>
          </w:tcPr>
          <w:p w14:paraId="24AD2FB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($19,100)</w:t>
            </w:r>
          </w:p>
        </w:tc>
        <w:tc>
          <w:tcPr>
            <w:tcW w:w="821" w:type="dxa"/>
            <w:noWrap/>
            <w:vAlign w:val="bottom"/>
            <w:hideMark/>
          </w:tcPr>
          <w:p w14:paraId="230B910A"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-9.6%</w:t>
            </w:r>
          </w:p>
        </w:tc>
      </w:tr>
      <w:tr w:rsidR="00AE6074" w:rsidRPr="0053499C" w14:paraId="3E40481A" w14:textId="77777777" w:rsidTr="004757E2">
        <w:trPr>
          <w:trHeight w:hRule="exact" w:val="173"/>
        </w:trPr>
        <w:tc>
          <w:tcPr>
            <w:tcW w:w="630" w:type="dxa"/>
            <w:noWrap/>
            <w:vAlign w:val="bottom"/>
            <w:hideMark/>
          </w:tcPr>
          <w:p w14:paraId="496E9284"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27</w:t>
            </w:r>
          </w:p>
        </w:tc>
        <w:tc>
          <w:tcPr>
            <w:tcW w:w="900" w:type="dxa"/>
            <w:noWrap/>
            <w:vAlign w:val="bottom"/>
            <w:hideMark/>
          </w:tcPr>
          <w:p w14:paraId="31F79C35"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$656,402 </w:t>
            </w:r>
          </w:p>
        </w:tc>
        <w:tc>
          <w:tcPr>
            <w:tcW w:w="812" w:type="dxa"/>
            <w:noWrap/>
            <w:vAlign w:val="bottom"/>
            <w:hideMark/>
          </w:tcPr>
          <w:p w14:paraId="0330775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$39,384 </w:t>
            </w:r>
          </w:p>
        </w:tc>
        <w:tc>
          <w:tcPr>
            <w:tcW w:w="896" w:type="dxa"/>
            <w:noWrap/>
            <w:vAlign w:val="bottom"/>
            <w:hideMark/>
          </w:tcPr>
          <w:p w14:paraId="755E450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$617,018 </w:t>
            </w:r>
          </w:p>
        </w:tc>
        <w:tc>
          <w:tcPr>
            <w:tcW w:w="992" w:type="dxa"/>
            <w:gridSpan w:val="2"/>
            <w:noWrap/>
            <w:vAlign w:val="bottom"/>
            <w:hideMark/>
          </w:tcPr>
          <w:p w14:paraId="3C8A0464"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$457,018 </w:t>
            </w:r>
          </w:p>
        </w:tc>
        <w:tc>
          <w:tcPr>
            <w:tcW w:w="990" w:type="dxa"/>
            <w:noWrap/>
            <w:vAlign w:val="bottom"/>
            <w:hideMark/>
          </w:tcPr>
          <w:p w14:paraId="15D7569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$413,018 </w:t>
            </w:r>
          </w:p>
        </w:tc>
        <w:tc>
          <w:tcPr>
            <w:tcW w:w="979" w:type="dxa"/>
            <w:noWrap/>
            <w:vAlign w:val="bottom"/>
            <w:hideMark/>
          </w:tcPr>
          <w:p w14:paraId="01224FD4"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($20,151)</w:t>
            </w:r>
          </w:p>
        </w:tc>
        <w:tc>
          <w:tcPr>
            <w:tcW w:w="821" w:type="dxa"/>
            <w:noWrap/>
            <w:vAlign w:val="bottom"/>
            <w:hideMark/>
          </w:tcPr>
          <w:p w14:paraId="1C5D317D"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-10.1%</w:t>
            </w:r>
          </w:p>
        </w:tc>
      </w:tr>
      <w:tr w:rsidR="00AE6074" w:rsidRPr="0053499C" w14:paraId="644146B6" w14:textId="77777777" w:rsidTr="004757E2">
        <w:trPr>
          <w:trHeight w:hRule="exact" w:val="173"/>
        </w:trPr>
        <w:tc>
          <w:tcPr>
            <w:tcW w:w="630" w:type="dxa"/>
            <w:noWrap/>
            <w:vAlign w:val="bottom"/>
            <w:hideMark/>
          </w:tcPr>
          <w:p w14:paraId="431ADB8F"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28</w:t>
            </w:r>
          </w:p>
        </w:tc>
        <w:tc>
          <w:tcPr>
            <w:tcW w:w="900" w:type="dxa"/>
            <w:noWrap/>
            <w:vAlign w:val="bottom"/>
            <w:hideMark/>
          </w:tcPr>
          <w:p w14:paraId="7865D177"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$685,940 </w:t>
            </w:r>
          </w:p>
        </w:tc>
        <w:tc>
          <w:tcPr>
            <w:tcW w:w="812" w:type="dxa"/>
            <w:noWrap/>
            <w:vAlign w:val="bottom"/>
            <w:hideMark/>
          </w:tcPr>
          <w:p w14:paraId="7521BE3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$41,156 </w:t>
            </w:r>
          </w:p>
        </w:tc>
        <w:tc>
          <w:tcPr>
            <w:tcW w:w="896" w:type="dxa"/>
            <w:noWrap/>
            <w:vAlign w:val="bottom"/>
            <w:hideMark/>
          </w:tcPr>
          <w:p w14:paraId="2A8BF551"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$644,784 </w:t>
            </w:r>
          </w:p>
        </w:tc>
        <w:tc>
          <w:tcPr>
            <w:tcW w:w="992" w:type="dxa"/>
            <w:gridSpan w:val="2"/>
            <w:noWrap/>
            <w:vAlign w:val="bottom"/>
            <w:hideMark/>
          </w:tcPr>
          <w:p w14:paraId="564EDF18"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$484,784 </w:t>
            </w:r>
          </w:p>
        </w:tc>
        <w:tc>
          <w:tcPr>
            <w:tcW w:w="990" w:type="dxa"/>
            <w:noWrap/>
            <w:vAlign w:val="bottom"/>
            <w:hideMark/>
          </w:tcPr>
          <w:p w14:paraId="2AD17E2D"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$440,784 </w:t>
            </w:r>
          </w:p>
        </w:tc>
        <w:tc>
          <w:tcPr>
            <w:tcW w:w="979" w:type="dxa"/>
            <w:noWrap/>
            <w:vAlign w:val="bottom"/>
            <w:hideMark/>
          </w:tcPr>
          <w:p w14:paraId="41E251C0"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($21,163)</w:t>
            </w:r>
          </w:p>
        </w:tc>
        <w:tc>
          <w:tcPr>
            <w:tcW w:w="821" w:type="dxa"/>
            <w:noWrap/>
            <w:vAlign w:val="bottom"/>
            <w:hideMark/>
          </w:tcPr>
          <w:p w14:paraId="2266FE94"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-10.6%</w:t>
            </w:r>
          </w:p>
        </w:tc>
      </w:tr>
      <w:tr w:rsidR="00AE6074" w:rsidRPr="0053499C" w14:paraId="1200C5A0" w14:textId="77777777" w:rsidTr="004757E2">
        <w:trPr>
          <w:trHeight w:hRule="exact" w:val="173"/>
        </w:trPr>
        <w:tc>
          <w:tcPr>
            <w:tcW w:w="630" w:type="dxa"/>
            <w:noWrap/>
            <w:vAlign w:val="bottom"/>
            <w:hideMark/>
          </w:tcPr>
          <w:p w14:paraId="374290E1"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29</w:t>
            </w:r>
          </w:p>
        </w:tc>
        <w:tc>
          <w:tcPr>
            <w:tcW w:w="900" w:type="dxa"/>
            <w:noWrap/>
            <w:vAlign w:val="bottom"/>
            <w:hideMark/>
          </w:tcPr>
          <w:p w14:paraId="0FBCDCA3"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$716,807 </w:t>
            </w:r>
          </w:p>
        </w:tc>
        <w:tc>
          <w:tcPr>
            <w:tcW w:w="812" w:type="dxa"/>
            <w:noWrap/>
            <w:vAlign w:val="bottom"/>
            <w:hideMark/>
          </w:tcPr>
          <w:p w14:paraId="5B6904F9"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$43,008 </w:t>
            </w:r>
          </w:p>
        </w:tc>
        <w:tc>
          <w:tcPr>
            <w:tcW w:w="896" w:type="dxa"/>
            <w:noWrap/>
            <w:vAlign w:val="bottom"/>
            <w:hideMark/>
          </w:tcPr>
          <w:p w14:paraId="66F0A14B"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$673,799 </w:t>
            </w:r>
          </w:p>
        </w:tc>
        <w:tc>
          <w:tcPr>
            <w:tcW w:w="992" w:type="dxa"/>
            <w:gridSpan w:val="2"/>
            <w:noWrap/>
            <w:vAlign w:val="bottom"/>
            <w:hideMark/>
          </w:tcPr>
          <w:p w14:paraId="3868961C"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$513,799 </w:t>
            </w:r>
          </w:p>
        </w:tc>
        <w:tc>
          <w:tcPr>
            <w:tcW w:w="990" w:type="dxa"/>
            <w:noWrap/>
            <w:vAlign w:val="bottom"/>
            <w:hideMark/>
          </w:tcPr>
          <w:p w14:paraId="1F537E2D"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$469,799 </w:t>
            </w:r>
          </w:p>
        </w:tc>
        <w:tc>
          <w:tcPr>
            <w:tcW w:w="979" w:type="dxa"/>
            <w:noWrap/>
            <w:vAlign w:val="bottom"/>
            <w:hideMark/>
          </w:tcPr>
          <w:p w14:paraId="611C3B32" w14:textId="77777777" w:rsidR="00AE6074" w:rsidRPr="0053499C" w:rsidRDefault="00AE6074" w:rsidP="005854E3">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($22,136)</w:t>
            </w:r>
          </w:p>
        </w:tc>
        <w:tc>
          <w:tcPr>
            <w:tcW w:w="821" w:type="dxa"/>
            <w:noWrap/>
            <w:vAlign w:val="bottom"/>
            <w:hideMark/>
          </w:tcPr>
          <w:p w14:paraId="1317C582" w14:textId="77777777" w:rsidR="00AE6074" w:rsidRPr="0053499C" w:rsidRDefault="00AE6074" w:rsidP="005854E3">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-11.1%</w:t>
            </w:r>
          </w:p>
        </w:tc>
      </w:tr>
      <w:tr w:rsidR="00AE6074" w:rsidRPr="0053499C" w14:paraId="12DEE920" w14:textId="77777777" w:rsidTr="004757E2">
        <w:trPr>
          <w:trHeight w:hRule="exact" w:val="173"/>
        </w:trPr>
        <w:tc>
          <w:tcPr>
            <w:tcW w:w="630" w:type="dxa"/>
            <w:noWrap/>
            <w:vAlign w:val="bottom"/>
            <w:hideMark/>
          </w:tcPr>
          <w:p w14:paraId="42AA43D9" w14:textId="77777777" w:rsidR="00AE6074" w:rsidRPr="0053499C" w:rsidRDefault="00AE6074" w:rsidP="004F55FC">
            <w:pPr>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30</w:t>
            </w:r>
          </w:p>
        </w:tc>
        <w:tc>
          <w:tcPr>
            <w:tcW w:w="900" w:type="dxa"/>
            <w:noWrap/>
            <w:vAlign w:val="bottom"/>
            <w:hideMark/>
          </w:tcPr>
          <w:p w14:paraId="18F9A291" w14:textId="77777777" w:rsidR="00AE6074" w:rsidRPr="0053499C" w:rsidRDefault="00AE6074" w:rsidP="004F55FC">
            <w:pPr>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$749,064 </w:t>
            </w:r>
          </w:p>
        </w:tc>
        <w:tc>
          <w:tcPr>
            <w:tcW w:w="812" w:type="dxa"/>
            <w:noWrap/>
            <w:vAlign w:val="bottom"/>
            <w:hideMark/>
          </w:tcPr>
          <w:p w14:paraId="3BDE5A23" w14:textId="77777777" w:rsidR="00AE6074" w:rsidRPr="0053499C" w:rsidRDefault="00AE6074" w:rsidP="004F55FC">
            <w:pPr>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$44,944 </w:t>
            </w:r>
          </w:p>
        </w:tc>
        <w:tc>
          <w:tcPr>
            <w:tcW w:w="896" w:type="dxa"/>
            <w:noWrap/>
            <w:vAlign w:val="bottom"/>
            <w:hideMark/>
          </w:tcPr>
          <w:p w14:paraId="5C34B2CD" w14:textId="77777777" w:rsidR="00AE6074" w:rsidRPr="0053499C" w:rsidRDefault="00AE6074" w:rsidP="004F55FC">
            <w:pPr>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$704,120 </w:t>
            </w:r>
          </w:p>
        </w:tc>
        <w:tc>
          <w:tcPr>
            <w:tcW w:w="992" w:type="dxa"/>
            <w:gridSpan w:val="2"/>
            <w:noWrap/>
            <w:vAlign w:val="bottom"/>
            <w:hideMark/>
          </w:tcPr>
          <w:p w14:paraId="6CBC4440" w14:textId="77777777" w:rsidR="00AE6074" w:rsidRPr="0053499C" w:rsidRDefault="00AE6074" w:rsidP="004F55FC">
            <w:pPr>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$544,120 </w:t>
            </w:r>
          </w:p>
        </w:tc>
        <w:tc>
          <w:tcPr>
            <w:tcW w:w="990" w:type="dxa"/>
            <w:noWrap/>
            <w:vAlign w:val="bottom"/>
            <w:hideMark/>
          </w:tcPr>
          <w:p w14:paraId="0D934D07" w14:textId="77777777" w:rsidR="00AE6074" w:rsidRPr="0053499C" w:rsidRDefault="00AE6074" w:rsidP="004F55FC">
            <w:pPr>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$500,120 </w:t>
            </w:r>
          </w:p>
        </w:tc>
        <w:tc>
          <w:tcPr>
            <w:tcW w:w="979" w:type="dxa"/>
            <w:noWrap/>
            <w:vAlign w:val="bottom"/>
            <w:hideMark/>
          </w:tcPr>
          <w:p w14:paraId="66FED018" w14:textId="77777777" w:rsidR="00AE6074" w:rsidRPr="0053499C" w:rsidRDefault="00AE6074" w:rsidP="004F55FC">
            <w:pPr>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($23,070)</w:t>
            </w:r>
          </w:p>
        </w:tc>
        <w:tc>
          <w:tcPr>
            <w:tcW w:w="821" w:type="dxa"/>
            <w:noWrap/>
            <w:vAlign w:val="bottom"/>
            <w:hideMark/>
          </w:tcPr>
          <w:p w14:paraId="58821EA8" w14:textId="77777777" w:rsidR="00AE6074" w:rsidRPr="0053499C" w:rsidRDefault="00AE6074" w:rsidP="004F55FC">
            <w:pPr>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-11.5%</w:t>
            </w:r>
          </w:p>
        </w:tc>
      </w:tr>
    </w:tbl>
    <w:p w14:paraId="0CA23F27" w14:textId="77777777" w:rsidR="00AE6074" w:rsidRPr="00124B71" w:rsidRDefault="00AE6074" w:rsidP="00AE6074">
      <w:pPr>
        <w:rPr>
          <w:rFonts w:cs="Times New Roman"/>
        </w:rPr>
      </w:pPr>
    </w:p>
    <w:p w14:paraId="475D7C6E" w14:textId="77777777" w:rsidR="00344D84" w:rsidRPr="00124B71" w:rsidRDefault="00344D84" w:rsidP="00344D84">
      <w:pPr>
        <w:rPr>
          <w:rFonts w:cs="Times New Roman"/>
        </w:rPr>
      </w:pPr>
    </w:p>
    <w:p w14:paraId="687B69D1" w14:textId="77777777" w:rsidR="00344D84" w:rsidRPr="00124B71" w:rsidRDefault="00344D84" w:rsidP="00344D84">
      <w:pPr>
        <w:rPr>
          <w:rFonts w:cs="Times New Roman"/>
        </w:rPr>
      </w:pPr>
    </w:p>
    <w:p w14:paraId="6197594E" w14:textId="77777777" w:rsidR="00344D84" w:rsidRPr="00124B71" w:rsidRDefault="00344D84" w:rsidP="00344D84">
      <w:pPr>
        <w:rPr>
          <w:rFonts w:cs="Times New Roman"/>
        </w:rPr>
      </w:pPr>
    </w:p>
    <w:p w14:paraId="0649F223" w14:textId="77777777" w:rsidR="00344D84" w:rsidRPr="00124B71" w:rsidRDefault="00344D84" w:rsidP="00344D84">
      <w:pPr>
        <w:rPr>
          <w:rFonts w:cs="Times New Roman"/>
        </w:rPr>
      </w:pPr>
    </w:p>
    <w:p w14:paraId="5DDAD24C" w14:textId="77777777" w:rsidR="0084584B" w:rsidRDefault="0084584B" w:rsidP="0084584B">
      <w:pPr>
        <w:pStyle w:val="Heading3"/>
      </w:pPr>
      <w:bookmarkStart w:id="70" w:name="_Toc238867308"/>
      <w:r>
        <w:lastRenderedPageBreak/>
        <w:t>Inflation</w:t>
      </w:r>
      <w:r w:rsidR="001858B5">
        <w:fldChar w:fldCharType="begin"/>
      </w:r>
      <w:r w:rsidR="00E84A0F">
        <w:instrText xml:space="preserve"> XE "</w:instrText>
      </w:r>
      <w:r w:rsidR="00E84A0F" w:rsidRPr="00725B11">
        <w:rPr>
          <w:rFonts w:cs="Times New Roman"/>
        </w:rPr>
        <w:instrText>Inflation</w:instrText>
      </w:r>
      <w:r w:rsidR="00E84A0F">
        <w:instrText xml:space="preserve">" </w:instrText>
      </w:r>
      <w:r w:rsidR="001858B5">
        <w:fldChar w:fldCharType="end"/>
      </w:r>
      <w:r>
        <w:t xml:space="preserve"> Premium</w:t>
      </w:r>
      <w:bookmarkEnd w:id="70"/>
    </w:p>
    <w:p w14:paraId="2EC2A68C" w14:textId="6EB793F1" w:rsidR="00391A36" w:rsidRDefault="00391A36" w:rsidP="00391A36">
      <w:pPr>
        <w:pStyle w:val="Caption"/>
      </w:pPr>
      <w:bookmarkStart w:id="71" w:name="_Toc194759342"/>
      <w:bookmarkStart w:id="72" w:name="_Toc238867431"/>
      <w:r>
        <w:t xml:space="preserve">Table </w:t>
      </w:r>
      <w:fldSimple w:instr=" SEQ Table \* ARABIC ">
        <w:r w:rsidR="00493733">
          <w:rPr>
            <w:noProof/>
          </w:rPr>
          <w:t>5</w:t>
        </w:r>
      </w:fldSimple>
      <w:r w:rsidR="00317936">
        <w:t xml:space="preserve">: </w:t>
      </w:r>
      <w:r>
        <w:t>Inflation</w:t>
      </w:r>
      <w:r w:rsidR="001858B5">
        <w:fldChar w:fldCharType="begin"/>
      </w:r>
      <w:r w:rsidR="00E84A0F">
        <w:instrText xml:space="preserve"> XE "</w:instrText>
      </w:r>
      <w:r w:rsidR="00E84A0F" w:rsidRPr="00725B11">
        <w:rPr>
          <w:rFonts w:cs="Times New Roman"/>
        </w:rPr>
        <w:instrText>Inflation</w:instrText>
      </w:r>
      <w:r w:rsidR="00E84A0F">
        <w:instrText xml:space="preserve">" </w:instrText>
      </w:r>
      <w:r w:rsidR="001858B5">
        <w:fldChar w:fldCharType="end"/>
      </w:r>
      <w:r>
        <w:t xml:space="preserve"> Premium from Rental Savings</w:t>
      </w:r>
      <w:bookmarkEnd w:id="71"/>
      <w:bookmarkEnd w:id="72"/>
    </w:p>
    <w:tbl>
      <w:tblPr>
        <w:tblW w:w="6190" w:type="dxa"/>
        <w:tblInd w:w="108" w:type="dxa"/>
        <w:tblLook w:val="04A0" w:firstRow="1" w:lastRow="0" w:firstColumn="1" w:lastColumn="0" w:noHBand="0" w:noVBand="1"/>
      </w:tblPr>
      <w:tblGrid>
        <w:gridCol w:w="810"/>
        <w:gridCol w:w="990"/>
        <w:gridCol w:w="1100"/>
        <w:gridCol w:w="520"/>
        <w:gridCol w:w="355"/>
        <w:gridCol w:w="520"/>
        <w:gridCol w:w="355"/>
        <w:gridCol w:w="520"/>
        <w:gridCol w:w="500"/>
        <w:gridCol w:w="520"/>
      </w:tblGrid>
      <w:tr w:rsidR="00391A36" w:rsidRPr="0053499C" w14:paraId="0A9B19EE" w14:textId="77777777" w:rsidTr="00592859">
        <w:trPr>
          <w:trHeight w:hRule="exact" w:val="173"/>
        </w:trPr>
        <w:tc>
          <w:tcPr>
            <w:tcW w:w="810" w:type="dxa"/>
            <w:tcBorders>
              <w:top w:val="nil"/>
              <w:left w:val="nil"/>
              <w:bottom w:val="nil"/>
              <w:right w:val="nil"/>
            </w:tcBorders>
            <w:noWrap/>
            <w:vAlign w:val="bottom"/>
            <w:hideMark/>
          </w:tcPr>
          <w:p w14:paraId="7C7C02C7" w14:textId="77777777" w:rsidR="00391A36" w:rsidRPr="0053499C" w:rsidRDefault="00391A36" w:rsidP="00391A36">
            <w:pPr>
              <w:keepNext/>
              <w:keepLines/>
              <w:ind w:firstLine="0"/>
              <w:jc w:val="center"/>
              <w:rPr>
                <w:rFonts w:eastAsia="Times New Roman" w:cs="Times New Roman"/>
                <w:color w:val="000000"/>
                <w:sz w:val="18"/>
                <w:szCs w:val="18"/>
                <w:lang w:bidi="ar-SA"/>
              </w:rPr>
            </w:pPr>
          </w:p>
        </w:tc>
        <w:tc>
          <w:tcPr>
            <w:tcW w:w="990" w:type="dxa"/>
            <w:tcBorders>
              <w:top w:val="nil"/>
              <w:left w:val="nil"/>
              <w:bottom w:val="nil"/>
              <w:right w:val="nil"/>
            </w:tcBorders>
            <w:noWrap/>
            <w:vAlign w:val="bottom"/>
            <w:hideMark/>
          </w:tcPr>
          <w:p w14:paraId="3C8375CB" w14:textId="77777777" w:rsidR="00391A36" w:rsidRPr="0053499C" w:rsidRDefault="00391A36" w:rsidP="00131BA8">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 </w:t>
            </w:r>
            <w:r w:rsidR="00131BA8" w:rsidRPr="0053499C">
              <w:rPr>
                <w:rFonts w:eastAsia="Times New Roman" w:cs="Times New Roman"/>
                <w:color w:val="000000"/>
                <w:sz w:val="18"/>
                <w:szCs w:val="18"/>
                <w:lang w:bidi="ar-SA"/>
              </w:rPr>
              <w:t>$</w:t>
            </w:r>
            <w:r w:rsidRPr="0053499C">
              <w:rPr>
                <w:rFonts w:eastAsia="Times New Roman" w:cs="Times New Roman"/>
                <w:color w:val="000000"/>
                <w:sz w:val="18"/>
                <w:szCs w:val="18"/>
                <w:lang w:bidi="ar-SA"/>
              </w:rPr>
              <w:t>200,000</w:t>
            </w:r>
          </w:p>
        </w:tc>
        <w:tc>
          <w:tcPr>
            <w:tcW w:w="1620" w:type="dxa"/>
            <w:gridSpan w:val="2"/>
            <w:tcBorders>
              <w:top w:val="nil"/>
              <w:left w:val="nil"/>
              <w:bottom w:val="nil"/>
              <w:right w:val="nil"/>
            </w:tcBorders>
            <w:noWrap/>
            <w:vAlign w:val="bottom"/>
            <w:hideMark/>
          </w:tcPr>
          <w:p w14:paraId="1A4ABCFF" w14:textId="77777777" w:rsidR="00391A36" w:rsidRPr="0053499C" w:rsidRDefault="00391A36" w:rsidP="00391A36">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House Price</w:t>
            </w:r>
          </w:p>
        </w:tc>
        <w:tc>
          <w:tcPr>
            <w:tcW w:w="875" w:type="dxa"/>
            <w:gridSpan w:val="2"/>
            <w:tcBorders>
              <w:top w:val="nil"/>
              <w:left w:val="nil"/>
              <w:bottom w:val="nil"/>
              <w:right w:val="nil"/>
            </w:tcBorders>
            <w:noWrap/>
            <w:vAlign w:val="bottom"/>
            <w:hideMark/>
          </w:tcPr>
          <w:p w14:paraId="40414AB8" w14:textId="77777777" w:rsidR="00391A36" w:rsidRPr="0053499C" w:rsidRDefault="00391A36" w:rsidP="00391A36">
            <w:pPr>
              <w:keepNext/>
              <w:keepLines/>
              <w:ind w:firstLine="0"/>
              <w:rPr>
                <w:rFonts w:eastAsia="Times New Roman" w:cs="Times New Roman"/>
                <w:color w:val="000000"/>
                <w:sz w:val="18"/>
                <w:szCs w:val="18"/>
                <w:lang w:bidi="ar-SA"/>
              </w:rPr>
            </w:pPr>
          </w:p>
        </w:tc>
        <w:tc>
          <w:tcPr>
            <w:tcW w:w="875" w:type="dxa"/>
            <w:gridSpan w:val="2"/>
            <w:tcBorders>
              <w:top w:val="nil"/>
              <w:left w:val="nil"/>
              <w:bottom w:val="nil"/>
              <w:right w:val="nil"/>
            </w:tcBorders>
            <w:noWrap/>
            <w:vAlign w:val="bottom"/>
            <w:hideMark/>
          </w:tcPr>
          <w:p w14:paraId="23DC44A5" w14:textId="77777777" w:rsidR="00391A36" w:rsidRPr="0053499C" w:rsidRDefault="00391A36" w:rsidP="00391A36">
            <w:pPr>
              <w:keepNext/>
              <w:keepLines/>
              <w:ind w:firstLine="0"/>
              <w:rPr>
                <w:rFonts w:eastAsia="Times New Roman" w:cs="Times New Roman"/>
                <w:color w:val="000000"/>
                <w:sz w:val="18"/>
                <w:szCs w:val="18"/>
                <w:lang w:bidi="ar-SA"/>
              </w:rPr>
            </w:pPr>
          </w:p>
        </w:tc>
        <w:tc>
          <w:tcPr>
            <w:tcW w:w="1020" w:type="dxa"/>
            <w:gridSpan w:val="2"/>
            <w:tcBorders>
              <w:top w:val="nil"/>
              <w:left w:val="nil"/>
              <w:bottom w:val="nil"/>
              <w:right w:val="nil"/>
            </w:tcBorders>
            <w:noWrap/>
            <w:vAlign w:val="bottom"/>
            <w:hideMark/>
          </w:tcPr>
          <w:p w14:paraId="54423293" w14:textId="77777777" w:rsidR="00391A36" w:rsidRPr="0053499C" w:rsidRDefault="00391A36" w:rsidP="00391A36">
            <w:pPr>
              <w:keepNext/>
              <w:keepLines/>
              <w:ind w:firstLine="0"/>
              <w:jc w:val="center"/>
              <w:rPr>
                <w:rFonts w:eastAsia="Times New Roman" w:cs="Times New Roman"/>
                <w:color w:val="000000"/>
                <w:sz w:val="18"/>
                <w:szCs w:val="18"/>
                <w:lang w:bidi="ar-SA"/>
              </w:rPr>
            </w:pPr>
          </w:p>
        </w:tc>
      </w:tr>
      <w:tr w:rsidR="00391A36" w:rsidRPr="0053499C" w14:paraId="2C7EEFC7" w14:textId="77777777" w:rsidTr="00592859">
        <w:trPr>
          <w:trHeight w:hRule="exact" w:val="173"/>
        </w:trPr>
        <w:tc>
          <w:tcPr>
            <w:tcW w:w="810" w:type="dxa"/>
            <w:tcBorders>
              <w:top w:val="nil"/>
              <w:left w:val="nil"/>
              <w:bottom w:val="nil"/>
              <w:right w:val="nil"/>
            </w:tcBorders>
            <w:noWrap/>
            <w:vAlign w:val="bottom"/>
            <w:hideMark/>
          </w:tcPr>
          <w:p w14:paraId="7B3E81D8" w14:textId="77777777" w:rsidR="00391A36" w:rsidRPr="0053499C" w:rsidRDefault="00391A36" w:rsidP="00391A36">
            <w:pPr>
              <w:keepNext/>
              <w:keepLines/>
              <w:ind w:firstLine="0"/>
              <w:jc w:val="center"/>
              <w:rPr>
                <w:rFonts w:eastAsia="Times New Roman" w:cs="Times New Roman"/>
                <w:color w:val="000000"/>
                <w:sz w:val="18"/>
                <w:szCs w:val="18"/>
                <w:lang w:bidi="ar-SA"/>
              </w:rPr>
            </w:pPr>
          </w:p>
        </w:tc>
        <w:tc>
          <w:tcPr>
            <w:tcW w:w="990" w:type="dxa"/>
            <w:tcBorders>
              <w:top w:val="nil"/>
              <w:left w:val="nil"/>
              <w:bottom w:val="nil"/>
              <w:right w:val="nil"/>
            </w:tcBorders>
            <w:noWrap/>
            <w:vAlign w:val="bottom"/>
            <w:hideMark/>
          </w:tcPr>
          <w:p w14:paraId="2808392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160</w:t>
            </w:r>
          </w:p>
        </w:tc>
        <w:tc>
          <w:tcPr>
            <w:tcW w:w="2495" w:type="dxa"/>
            <w:gridSpan w:val="4"/>
            <w:tcBorders>
              <w:top w:val="nil"/>
              <w:left w:val="nil"/>
              <w:bottom w:val="nil"/>
              <w:right w:val="nil"/>
            </w:tcBorders>
            <w:noWrap/>
            <w:vAlign w:val="bottom"/>
            <w:hideMark/>
          </w:tcPr>
          <w:p w14:paraId="5E844BA0" w14:textId="77777777" w:rsidR="00391A36" w:rsidRPr="0053499C" w:rsidRDefault="00391A36" w:rsidP="00391A36">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Price to Rent Ratio</w:t>
            </w:r>
          </w:p>
        </w:tc>
        <w:tc>
          <w:tcPr>
            <w:tcW w:w="875" w:type="dxa"/>
            <w:gridSpan w:val="2"/>
            <w:tcBorders>
              <w:top w:val="nil"/>
              <w:left w:val="nil"/>
              <w:bottom w:val="nil"/>
              <w:right w:val="nil"/>
            </w:tcBorders>
            <w:noWrap/>
            <w:vAlign w:val="bottom"/>
            <w:hideMark/>
          </w:tcPr>
          <w:p w14:paraId="14563283" w14:textId="77777777" w:rsidR="00391A36" w:rsidRPr="0053499C" w:rsidRDefault="00391A36" w:rsidP="00391A36">
            <w:pPr>
              <w:keepNext/>
              <w:keepLines/>
              <w:ind w:firstLine="0"/>
              <w:rPr>
                <w:rFonts w:eastAsia="Times New Roman" w:cs="Times New Roman"/>
                <w:color w:val="000000"/>
                <w:sz w:val="18"/>
                <w:szCs w:val="18"/>
                <w:lang w:bidi="ar-SA"/>
              </w:rPr>
            </w:pPr>
          </w:p>
        </w:tc>
        <w:tc>
          <w:tcPr>
            <w:tcW w:w="1020" w:type="dxa"/>
            <w:gridSpan w:val="2"/>
            <w:tcBorders>
              <w:top w:val="nil"/>
              <w:left w:val="nil"/>
              <w:bottom w:val="nil"/>
              <w:right w:val="nil"/>
            </w:tcBorders>
            <w:noWrap/>
            <w:vAlign w:val="bottom"/>
            <w:hideMark/>
          </w:tcPr>
          <w:p w14:paraId="49DC88F5" w14:textId="77777777" w:rsidR="00391A36" w:rsidRPr="0053499C" w:rsidRDefault="00391A36" w:rsidP="00391A36">
            <w:pPr>
              <w:keepNext/>
              <w:keepLines/>
              <w:ind w:firstLine="0"/>
              <w:jc w:val="center"/>
              <w:rPr>
                <w:rFonts w:eastAsia="Times New Roman" w:cs="Times New Roman"/>
                <w:color w:val="000000"/>
                <w:sz w:val="18"/>
                <w:szCs w:val="18"/>
                <w:lang w:bidi="ar-SA"/>
              </w:rPr>
            </w:pPr>
          </w:p>
        </w:tc>
      </w:tr>
      <w:tr w:rsidR="00391A36" w:rsidRPr="0053499C" w14:paraId="69D202A6" w14:textId="77777777" w:rsidTr="00592859">
        <w:trPr>
          <w:trHeight w:hRule="exact" w:val="173"/>
        </w:trPr>
        <w:tc>
          <w:tcPr>
            <w:tcW w:w="810" w:type="dxa"/>
            <w:tcBorders>
              <w:top w:val="nil"/>
              <w:left w:val="nil"/>
              <w:bottom w:val="nil"/>
              <w:right w:val="nil"/>
            </w:tcBorders>
            <w:noWrap/>
            <w:vAlign w:val="bottom"/>
            <w:hideMark/>
          </w:tcPr>
          <w:p w14:paraId="1CC177CB" w14:textId="77777777" w:rsidR="00391A36" w:rsidRPr="0053499C" w:rsidRDefault="00391A36" w:rsidP="00391A36">
            <w:pPr>
              <w:keepNext/>
              <w:keepLines/>
              <w:ind w:firstLine="0"/>
              <w:jc w:val="center"/>
              <w:rPr>
                <w:rFonts w:eastAsia="Times New Roman" w:cs="Times New Roman"/>
                <w:color w:val="000000"/>
                <w:sz w:val="18"/>
                <w:szCs w:val="18"/>
                <w:lang w:bidi="ar-SA"/>
              </w:rPr>
            </w:pPr>
          </w:p>
        </w:tc>
        <w:tc>
          <w:tcPr>
            <w:tcW w:w="990" w:type="dxa"/>
            <w:tcBorders>
              <w:top w:val="nil"/>
              <w:left w:val="nil"/>
              <w:bottom w:val="nil"/>
              <w:right w:val="nil"/>
            </w:tcBorders>
            <w:noWrap/>
            <w:vAlign w:val="bottom"/>
            <w:hideMark/>
          </w:tcPr>
          <w:p w14:paraId="451D59B3"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3.5%</w:t>
            </w:r>
          </w:p>
        </w:tc>
        <w:tc>
          <w:tcPr>
            <w:tcW w:w="2495" w:type="dxa"/>
            <w:gridSpan w:val="4"/>
            <w:tcBorders>
              <w:top w:val="nil"/>
              <w:left w:val="nil"/>
              <w:bottom w:val="nil"/>
              <w:right w:val="nil"/>
            </w:tcBorders>
            <w:noWrap/>
            <w:vAlign w:val="bottom"/>
            <w:hideMark/>
          </w:tcPr>
          <w:p w14:paraId="1206EF4A" w14:textId="77777777" w:rsidR="00391A36" w:rsidRPr="0053499C" w:rsidRDefault="00391A36" w:rsidP="00391A36">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Rate of Rent Increase</w:t>
            </w:r>
          </w:p>
        </w:tc>
        <w:tc>
          <w:tcPr>
            <w:tcW w:w="875" w:type="dxa"/>
            <w:gridSpan w:val="2"/>
            <w:tcBorders>
              <w:top w:val="nil"/>
              <w:left w:val="nil"/>
              <w:bottom w:val="nil"/>
              <w:right w:val="nil"/>
            </w:tcBorders>
            <w:noWrap/>
            <w:vAlign w:val="bottom"/>
            <w:hideMark/>
          </w:tcPr>
          <w:p w14:paraId="2F169365" w14:textId="77777777" w:rsidR="00391A36" w:rsidRPr="0053499C" w:rsidRDefault="00391A36" w:rsidP="00391A36">
            <w:pPr>
              <w:keepNext/>
              <w:keepLines/>
              <w:ind w:firstLine="0"/>
              <w:rPr>
                <w:rFonts w:eastAsia="Times New Roman" w:cs="Times New Roman"/>
                <w:color w:val="000000"/>
                <w:sz w:val="18"/>
                <w:szCs w:val="18"/>
                <w:lang w:bidi="ar-SA"/>
              </w:rPr>
            </w:pPr>
          </w:p>
        </w:tc>
        <w:tc>
          <w:tcPr>
            <w:tcW w:w="1020" w:type="dxa"/>
            <w:gridSpan w:val="2"/>
            <w:tcBorders>
              <w:top w:val="nil"/>
              <w:left w:val="nil"/>
              <w:bottom w:val="nil"/>
              <w:right w:val="nil"/>
            </w:tcBorders>
            <w:noWrap/>
            <w:vAlign w:val="bottom"/>
            <w:hideMark/>
          </w:tcPr>
          <w:p w14:paraId="1021554C" w14:textId="77777777" w:rsidR="00391A36" w:rsidRPr="0053499C" w:rsidRDefault="00391A36" w:rsidP="00391A36">
            <w:pPr>
              <w:keepNext/>
              <w:keepLines/>
              <w:ind w:firstLine="0"/>
              <w:jc w:val="center"/>
              <w:rPr>
                <w:rFonts w:eastAsia="Times New Roman" w:cs="Times New Roman"/>
                <w:color w:val="000000"/>
                <w:sz w:val="18"/>
                <w:szCs w:val="18"/>
                <w:lang w:bidi="ar-SA"/>
              </w:rPr>
            </w:pPr>
          </w:p>
        </w:tc>
      </w:tr>
      <w:tr w:rsidR="00391A36" w:rsidRPr="0053499C" w14:paraId="3C5A8F5E" w14:textId="77777777" w:rsidTr="00592859">
        <w:trPr>
          <w:trHeight w:hRule="exact" w:val="173"/>
        </w:trPr>
        <w:tc>
          <w:tcPr>
            <w:tcW w:w="810" w:type="dxa"/>
            <w:tcBorders>
              <w:top w:val="nil"/>
              <w:left w:val="nil"/>
              <w:bottom w:val="nil"/>
              <w:right w:val="nil"/>
            </w:tcBorders>
            <w:noWrap/>
            <w:vAlign w:val="bottom"/>
            <w:hideMark/>
          </w:tcPr>
          <w:p w14:paraId="38BC836E" w14:textId="77777777" w:rsidR="00391A36" w:rsidRPr="0053499C" w:rsidRDefault="00391A36" w:rsidP="00391A36">
            <w:pPr>
              <w:keepNext/>
              <w:keepLines/>
              <w:ind w:firstLine="0"/>
              <w:jc w:val="center"/>
              <w:rPr>
                <w:rFonts w:eastAsia="Times New Roman" w:cs="Times New Roman"/>
                <w:color w:val="000000"/>
                <w:sz w:val="18"/>
                <w:szCs w:val="18"/>
                <w:lang w:bidi="ar-SA"/>
              </w:rPr>
            </w:pPr>
          </w:p>
        </w:tc>
        <w:tc>
          <w:tcPr>
            <w:tcW w:w="990" w:type="dxa"/>
            <w:tcBorders>
              <w:top w:val="nil"/>
              <w:left w:val="nil"/>
              <w:bottom w:val="nil"/>
              <w:right w:val="nil"/>
            </w:tcBorders>
            <w:noWrap/>
            <w:vAlign w:val="bottom"/>
            <w:hideMark/>
          </w:tcPr>
          <w:p w14:paraId="330AE6BB"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8.0%</w:t>
            </w:r>
          </w:p>
        </w:tc>
        <w:tc>
          <w:tcPr>
            <w:tcW w:w="1620" w:type="dxa"/>
            <w:gridSpan w:val="2"/>
            <w:tcBorders>
              <w:top w:val="nil"/>
              <w:left w:val="nil"/>
              <w:bottom w:val="nil"/>
              <w:right w:val="nil"/>
            </w:tcBorders>
            <w:noWrap/>
            <w:vAlign w:val="bottom"/>
            <w:hideMark/>
          </w:tcPr>
          <w:p w14:paraId="4442709F" w14:textId="77777777" w:rsidR="00391A36" w:rsidRPr="0053499C" w:rsidRDefault="00391A36" w:rsidP="00391A36">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Discount Rate</w:t>
            </w:r>
          </w:p>
        </w:tc>
        <w:tc>
          <w:tcPr>
            <w:tcW w:w="875" w:type="dxa"/>
            <w:gridSpan w:val="2"/>
            <w:tcBorders>
              <w:top w:val="nil"/>
              <w:left w:val="nil"/>
              <w:bottom w:val="nil"/>
              <w:right w:val="nil"/>
            </w:tcBorders>
            <w:noWrap/>
            <w:vAlign w:val="bottom"/>
            <w:hideMark/>
          </w:tcPr>
          <w:p w14:paraId="43E751B0" w14:textId="77777777" w:rsidR="00391A36" w:rsidRPr="0053499C" w:rsidRDefault="00391A36" w:rsidP="00391A36">
            <w:pPr>
              <w:keepNext/>
              <w:keepLines/>
              <w:ind w:firstLine="0"/>
              <w:rPr>
                <w:rFonts w:eastAsia="Times New Roman" w:cs="Times New Roman"/>
                <w:color w:val="000000"/>
                <w:sz w:val="18"/>
                <w:szCs w:val="18"/>
                <w:lang w:bidi="ar-SA"/>
              </w:rPr>
            </w:pPr>
          </w:p>
        </w:tc>
        <w:tc>
          <w:tcPr>
            <w:tcW w:w="875" w:type="dxa"/>
            <w:gridSpan w:val="2"/>
            <w:tcBorders>
              <w:top w:val="nil"/>
              <w:left w:val="nil"/>
              <w:bottom w:val="nil"/>
              <w:right w:val="nil"/>
            </w:tcBorders>
            <w:noWrap/>
            <w:vAlign w:val="bottom"/>
            <w:hideMark/>
          </w:tcPr>
          <w:p w14:paraId="1C35A32F" w14:textId="77777777" w:rsidR="00391A36" w:rsidRPr="0053499C" w:rsidRDefault="00391A36" w:rsidP="00391A36">
            <w:pPr>
              <w:keepNext/>
              <w:keepLines/>
              <w:ind w:firstLine="0"/>
              <w:rPr>
                <w:rFonts w:eastAsia="Times New Roman" w:cs="Times New Roman"/>
                <w:color w:val="000000"/>
                <w:sz w:val="18"/>
                <w:szCs w:val="18"/>
                <w:lang w:bidi="ar-SA"/>
              </w:rPr>
            </w:pPr>
          </w:p>
        </w:tc>
        <w:tc>
          <w:tcPr>
            <w:tcW w:w="1020" w:type="dxa"/>
            <w:gridSpan w:val="2"/>
            <w:tcBorders>
              <w:top w:val="nil"/>
              <w:left w:val="nil"/>
              <w:bottom w:val="nil"/>
              <w:right w:val="nil"/>
            </w:tcBorders>
            <w:noWrap/>
            <w:vAlign w:val="bottom"/>
            <w:hideMark/>
          </w:tcPr>
          <w:p w14:paraId="50C1F82C" w14:textId="77777777" w:rsidR="00391A36" w:rsidRPr="0053499C" w:rsidRDefault="00391A36" w:rsidP="00391A36">
            <w:pPr>
              <w:keepNext/>
              <w:keepLines/>
              <w:ind w:firstLine="0"/>
              <w:jc w:val="center"/>
              <w:rPr>
                <w:rFonts w:eastAsia="Times New Roman" w:cs="Times New Roman"/>
                <w:color w:val="000000"/>
                <w:sz w:val="18"/>
                <w:szCs w:val="18"/>
                <w:lang w:bidi="ar-SA"/>
              </w:rPr>
            </w:pPr>
          </w:p>
        </w:tc>
      </w:tr>
      <w:tr w:rsidR="00391A36" w:rsidRPr="0053499C" w14:paraId="2B8E6C65" w14:textId="77777777" w:rsidTr="00131E40">
        <w:trPr>
          <w:gridAfter w:val="1"/>
          <w:wAfter w:w="520" w:type="dxa"/>
          <w:trHeight w:hRule="exact" w:val="173"/>
        </w:trPr>
        <w:tc>
          <w:tcPr>
            <w:tcW w:w="810" w:type="dxa"/>
            <w:tcBorders>
              <w:top w:val="nil"/>
              <w:left w:val="nil"/>
              <w:bottom w:val="single" w:sz="4" w:space="0" w:color="auto"/>
              <w:right w:val="nil"/>
            </w:tcBorders>
            <w:noWrap/>
            <w:vAlign w:val="bottom"/>
            <w:hideMark/>
          </w:tcPr>
          <w:p w14:paraId="793AEBC0" w14:textId="77777777" w:rsidR="00391A36" w:rsidRPr="0053499C" w:rsidRDefault="00391A36" w:rsidP="00391A36">
            <w:pPr>
              <w:keepNext/>
              <w:keepLines/>
              <w:ind w:firstLine="0"/>
              <w:jc w:val="center"/>
              <w:rPr>
                <w:rFonts w:eastAsia="Times New Roman" w:cs="Times New Roman"/>
                <w:color w:val="000000"/>
                <w:sz w:val="18"/>
                <w:szCs w:val="18"/>
                <w:lang w:bidi="ar-SA"/>
              </w:rPr>
            </w:pPr>
          </w:p>
        </w:tc>
        <w:tc>
          <w:tcPr>
            <w:tcW w:w="990" w:type="dxa"/>
            <w:tcBorders>
              <w:top w:val="nil"/>
              <w:left w:val="nil"/>
              <w:bottom w:val="single" w:sz="4" w:space="0" w:color="auto"/>
              <w:right w:val="nil"/>
            </w:tcBorders>
            <w:noWrap/>
            <w:vAlign w:val="bottom"/>
            <w:hideMark/>
          </w:tcPr>
          <w:p w14:paraId="64732673" w14:textId="77777777" w:rsidR="00391A36" w:rsidRPr="0053499C" w:rsidRDefault="00391A36" w:rsidP="00391A36">
            <w:pPr>
              <w:keepNext/>
              <w:keepLines/>
              <w:ind w:firstLine="0"/>
              <w:rPr>
                <w:rFonts w:eastAsia="Times New Roman" w:cs="Times New Roman"/>
                <w:color w:val="000000"/>
                <w:sz w:val="18"/>
                <w:szCs w:val="18"/>
                <w:lang w:bidi="ar-SA"/>
              </w:rPr>
            </w:pPr>
          </w:p>
        </w:tc>
        <w:tc>
          <w:tcPr>
            <w:tcW w:w="1100" w:type="dxa"/>
            <w:tcBorders>
              <w:top w:val="nil"/>
              <w:left w:val="nil"/>
              <w:bottom w:val="single" w:sz="4" w:space="0" w:color="auto"/>
              <w:right w:val="nil"/>
            </w:tcBorders>
            <w:noWrap/>
            <w:vAlign w:val="bottom"/>
            <w:hideMark/>
          </w:tcPr>
          <w:p w14:paraId="3096F3CD" w14:textId="77777777" w:rsidR="00391A36" w:rsidRPr="0053499C" w:rsidRDefault="00391A36" w:rsidP="00391A36">
            <w:pPr>
              <w:keepNext/>
              <w:keepLines/>
              <w:ind w:firstLine="0"/>
              <w:rPr>
                <w:rFonts w:eastAsia="Times New Roman" w:cs="Times New Roman"/>
                <w:color w:val="000000"/>
                <w:sz w:val="18"/>
                <w:szCs w:val="18"/>
                <w:lang w:bidi="ar-SA"/>
              </w:rPr>
            </w:pPr>
          </w:p>
        </w:tc>
        <w:tc>
          <w:tcPr>
            <w:tcW w:w="875" w:type="dxa"/>
            <w:gridSpan w:val="2"/>
            <w:tcBorders>
              <w:top w:val="nil"/>
              <w:left w:val="nil"/>
              <w:bottom w:val="single" w:sz="4" w:space="0" w:color="auto"/>
              <w:right w:val="nil"/>
            </w:tcBorders>
            <w:noWrap/>
            <w:vAlign w:val="bottom"/>
            <w:hideMark/>
          </w:tcPr>
          <w:p w14:paraId="2A13DA23" w14:textId="77777777" w:rsidR="00391A36" w:rsidRPr="0053499C" w:rsidRDefault="00391A36" w:rsidP="00391A36">
            <w:pPr>
              <w:keepNext/>
              <w:keepLines/>
              <w:ind w:firstLine="0"/>
              <w:rPr>
                <w:rFonts w:eastAsia="Times New Roman" w:cs="Times New Roman"/>
                <w:color w:val="000000"/>
                <w:sz w:val="18"/>
                <w:szCs w:val="18"/>
                <w:lang w:bidi="ar-SA"/>
              </w:rPr>
            </w:pPr>
          </w:p>
        </w:tc>
        <w:tc>
          <w:tcPr>
            <w:tcW w:w="875" w:type="dxa"/>
            <w:gridSpan w:val="2"/>
            <w:tcBorders>
              <w:top w:val="nil"/>
              <w:left w:val="nil"/>
              <w:bottom w:val="single" w:sz="4" w:space="0" w:color="auto"/>
              <w:right w:val="nil"/>
            </w:tcBorders>
            <w:noWrap/>
            <w:vAlign w:val="bottom"/>
            <w:hideMark/>
          </w:tcPr>
          <w:p w14:paraId="56A44250" w14:textId="77777777" w:rsidR="00391A36" w:rsidRPr="0053499C" w:rsidRDefault="00391A36" w:rsidP="00391A36">
            <w:pPr>
              <w:keepNext/>
              <w:keepLines/>
              <w:ind w:firstLine="0"/>
              <w:rPr>
                <w:rFonts w:eastAsia="Times New Roman" w:cs="Times New Roman"/>
                <w:color w:val="000000"/>
                <w:sz w:val="18"/>
                <w:szCs w:val="18"/>
                <w:lang w:bidi="ar-SA"/>
              </w:rPr>
            </w:pPr>
          </w:p>
        </w:tc>
        <w:tc>
          <w:tcPr>
            <w:tcW w:w="1020" w:type="dxa"/>
            <w:gridSpan w:val="2"/>
            <w:tcBorders>
              <w:top w:val="nil"/>
              <w:left w:val="nil"/>
              <w:bottom w:val="single" w:sz="4" w:space="0" w:color="auto"/>
              <w:right w:val="nil"/>
            </w:tcBorders>
            <w:noWrap/>
            <w:vAlign w:val="bottom"/>
            <w:hideMark/>
          </w:tcPr>
          <w:p w14:paraId="7690C97B" w14:textId="77777777" w:rsidR="00391A36" w:rsidRPr="0053499C" w:rsidRDefault="00391A36" w:rsidP="00391A36">
            <w:pPr>
              <w:keepNext/>
              <w:keepLines/>
              <w:ind w:firstLine="0"/>
              <w:jc w:val="center"/>
              <w:rPr>
                <w:rFonts w:eastAsia="Times New Roman" w:cs="Times New Roman"/>
                <w:color w:val="000000"/>
                <w:sz w:val="18"/>
                <w:szCs w:val="18"/>
                <w:lang w:bidi="ar-SA"/>
              </w:rPr>
            </w:pPr>
          </w:p>
        </w:tc>
      </w:tr>
      <w:tr w:rsidR="00391A36" w:rsidRPr="0053499C" w14:paraId="57D7EFDF" w14:textId="77777777" w:rsidTr="00131E40">
        <w:trPr>
          <w:gridAfter w:val="1"/>
          <w:wAfter w:w="520" w:type="dxa"/>
        </w:trPr>
        <w:tc>
          <w:tcPr>
            <w:tcW w:w="810" w:type="dxa"/>
            <w:tcBorders>
              <w:top w:val="single" w:sz="4" w:space="0" w:color="auto"/>
              <w:left w:val="nil"/>
              <w:bottom w:val="double" w:sz="4" w:space="0" w:color="auto"/>
              <w:right w:val="nil"/>
            </w:tcBorders>
            <w:vAlign w:val="bottom"/>
            <w:hideMark/>
          </w:tcPr>
          <w:p w14:paraId="11E12A26"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Year</w:t>
            </w:r>
          </w:p>
        </w:tc>
        <w:tc>
          <w:tcPr>
            <w:tcW w:w="990" w:type="dxa"/>
            <w:tcBorders>
              <w:top w:val="single" w:sz="4" w:space="0" w:color="auto"/>
              <w:left w:val="nil"/>
              <w:bottom w:val="double" w:sz="4" w:space="0" w:color="auto"/>
              <w:right w:val="nil"/>
            </w:tcBorders>
            <w:vAlign w:val="bottom"/>
            <w:hideMark/>
          </w:tcPr>
          <w:p w14:paraId="061AA3EA" w14:textId="77777777" w:rsidR="00391A36" w:rsidRPr="0053499C" w:rsidRDefault="005854E3"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Annual </w:t>
            </w:r>
            <w:r w:rsidR="00391A36" w:rsidRPr="0053499C">
              <w:rPr>
                <w:rFonts w:eastAsia="Times New Roman" w:cs="Times New Roman"/>
                <w:color w:val="000000"/>
                <w:sz w:val="18"/>
                <w:szCs w:val="18"/>
                <w:lang w:bidi="ar-SA"/>
              </w:rPr>
              <w:t>Rent</w:t>
            </w:r>
          </w:p>
        </w:tc>
        <w:tc>
          <w:tcPr>
            <w:tcW w:w="1100" w:type="dxa"/>
            <w:tcBorders>
              <w:top w:val="single" w:sz="4" w:space="0" w:color="auto"/>
              <w:left w:val="nil"/>
              <w:bottom w:val="double" w:sz="4" w:space="0" w:color="auto"/>
              <w:right w:val="nil"/>
            </w:tcBorders>
            <w:vAlign w:val="bottom"/>
            <w:hideMark/>
          </w:tcPr>
          <w:p w14:paraId="470EECA6" w14:textId="77777777" w:rsidR="00391A36" w:rsidRPr="0053499C" w:rsidRDefault="005854E3"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Annual </w:t>
            </w:r>
            <w:r w:rsidR="00391A36" w:rsidRPr="0053499C">
              <w:rPr>
                <w:rFonts w:eastAsia="Times New Roman" w:cs="Times New Roman"/>
                <w:color w:val="000000"/>
                <w:sz w:val="18"/>
                <w:szCs w:val="18"/>
                <w:lang w:bidi="ar-SA"/>
              </w:rPr>
              <w:t>Ownership Cost</w:t>
            </w:r>
          </w:p>
        </w:tc>
        <w:tc>
          <w:tcPr>
            <w:tcW w:w="875" w:type="dxa"/>
            <w:gridSpan w:val="2"/>
            <w:tcBorders>
              <w:top w:val="single" w:sz="4" w:space="0" w:color="auto"/>
              <w:left w:val="nil"/>
              <w:bottom w:val="double" w:sz="4" w:space="0" w:color="auto"/>
              <w:right w:val="nil"/>
            </w:tcBorders>
            <w:vAlign w:val="bottom"/>
            <w:hideMark/>
          </w:tcPr>
          <w:p w14:paraId="22996F54"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Rent Savings</w:t>
            </w:r>
          </w:p>
        </w:tc>
        <w:tc>
          <w:tcPr>
            <w:tcW w:w="875" w:type="dxa"/>
            <w:gridSpan w:val="2"/>
            <w:tcBorders>
              <w:top w:val="single" w:sz="4" w:space="0" w:color="auto"/>
              <w:left w:val="nil"/>
              <w:bottom w:val="double" w:sz="4" w:space="0" w:color="auto"/>
              <w:right w:val="nil"/>
            </w:tcBorders>
            <w:vAlign w:val="bottom"/>
            <w:hideMark/>
          </w:tcPr>
          <w:p w14:paraId="7350A6E1"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Net Present Value</w:t>
            </w:r>
          </w:p>
        </w:tc>
        <w:tc>
          <w:tcPr>
            <w:tcW w:w="1020" w:type="dxa"/>
            <w:gridSpan w:val="2"/>
            <w:tcBorders>
              <w:top w:val="single" w:sz="4" w:space="0" w:color="auto"/>
              <w:left w:val="nil"/>
              <w:bottom w:val="double" w:sz="4" w:space="0" w:color="auto"/>
              <w:right w:val="nil"/>
            </w:tcBorders>
            <w:vAlign w:val="bottom"/>
            <w:hideMark/>
          </w:tcPr>
          <w:p w14:paraId="781EFCDF"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Percent of Home Value</w:t>
            </w:r>
          </w:p>
        </w:tc>
      </w:tr>
      <w:tr w:rsidR="00391A36" w:rsidRPr="0053499C" w14:paraId="5D85FB9B" w14:textId="77777777" w:rsidTr="00131E40">
        <w:trPr>
          <w:gridAfter w:val="1"/>
          <w:wAfter w:w="520" w:type="dxa"/>
          <w:trHeight w:hRule="exact" w:val="288"/>
        </w:trPr>
        <w:tc>
          <w:tcPr>
            <w:tcW w:w="810" w:type="dxa"/>
            <w:tcBorders>
              <w:top w:val="double" w:sz="4" w:space="0" w:color="auto"/>
              <w:left w:val="nil"/>
              <w:bottom w:val="nil"/>
              <w:right w:val="nil"/>
            </w:tcBorders>
            <w:noWrap/>
            <w:vAlign w:val="bottom"/>
            <w:hideMark/>
          </w:tcPr>
          <w:p w14:paraId="121A1768"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w:t>
            </w:r>
          </w:p>
        </w:tc>
        <w:tc>
          <w:tcPr>
            <w:tcW w:w="990" w:type="dxa"/>
            <w:tcBorders>
              <w:top w:val="double" w:sz="4" w:space="0" w:color="auto"/>
              <w:left w:val="nil"/>
              <w:bottom w:val="nil"/>
              <w:right w:val="nil"/>
            </w:tcBorders>
            <w:noWrap/>
            <w:vAlign w:val="bottom"/>
            <w:hideMark/>
          </w:tcPr>
          <w:p w14:paraId="0E0098A5"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1100" w:type="dxa"/>
            <w:tcBorders>
              <w:top w:val="double" w:sz="4" w:space="0" w:color="auto"/>
              <w:left w:val="nil"/>
              <w:bottom w:val="nil"/>
              <w:right w:val="nil"/>
            </w:tcBorders>
            <w:noWrap/>
            <w:vAlign w:val="bottom"/>
            <w:hideMark/>
          </w:tcPr>
          <w:p w14:paraId="47ECBDB2"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double" w:sz="4" w:space="0" w:color="auto"/>
              <w:left w:val="nil"/>
              <w:bottom w:val="nil"/>
              <w:right w:val="nil"/>
            </w:tcBorders>
            <w:noWrap/>
            <w:vAlign w:val="bottom"/>
            <w:hideMark/>
          </w:tcPr>
          <w:p w14:paraId="603621A4"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$0 </w:t>
            </w:r>
          </w:p>
        </w:tc>
        <w:tc>
          <w:tcPr>
            <w:tcW w:w="875" w:type="dxa"/>
            <w:gridSpan w:val="2"/>
            <w:tcBorders>
              <w:top w:val="double" w:sz="4" w:space="0" w:color="auto"/>
              <w:left w:val="nil"/>
              <w:bottom w:val="nil"/>
              <w:right w:val="nil"/>
            </w:tcBorders>
            <w:noWrap/>
            <w:vAlign w:val="bottom"/>
            <w:hideMark/>
          </w:tcPr>
          <w:p w14:paraId="17B57177"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$0 </w:t>
            </w:r>
          </w:p>
        </w:tc>
        <w:tc>
          <w:tcPr>
            <w:tcW w:w="1020" w:type="dxa"/>
            <w:gridSpan w:val="2"/>
            <w:tcBorders>
              <w:top w:val="double" w:sz="4" w:space="0" w:color="auto"/>
              <w:left w:val="nil"/>
              <w:bottom w:val="nil"/>
              <w:right w:val="nil"/>
            </w:tcBorders>
            <w:noWrap/>
            <w:vAlign w:val="bottom"/>
            <w:hideMark/>
          </w:tcPr>
          <w:p w14:paraId="26CE9063"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0.0%</w:t>
            </w:r>
          </w:p>
        </w:tc>
      </w:tr>
      <w:tr w:rsidR="00391A36" w:rsidRPr="0053499C" w14:paraId="635E0F2E"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78125ABF"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w:t>
            </w:r>
          </w:p>
        </w:tc>
        <w:tc>
          <w:tcPr>
            <w:tcW w:w="990" w:type="dxa"/>
            <w:tcBorders>
              <w:top w:val="nil"/>
              <w:left w:val="nil"/>
              <w:bottom w:val="nil"/>
              <w:right w:val="nil"/>
            </w:tcBorders>
            <w:noWrap/>
            <w:vAlign w:val="bottom"/>
            <w:hideMark/>
          </w:tcPr>
          <w:p w14:paraId="733051BC"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$15,525 </w:t>
            </w:r>
          </w:p>
        </w:tc>
        <w:tc>
          <w:tcPr>
            <w:tcW w:w="1100" w:type="dxa"/>
            <w:tcBorders>
              <w:top w:val="nil"/>
              <w:left w:val="nil"/>
              <w:bottom w:val="nil"/>
              <w:right w:val="nil"/>
            </w:tcBorders>
            <w:noWrap/>
            <w:vAlign w:val="bottom"/>
            <w:hideMark/>
          </w:tcPr>
          <w:p w14:paraId="1FBC9F59"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2239CB29"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$525 </w:t>
            </w:r>
          </w:p>
        </w:tc>
        <w:tc>
          <w:tcPr>
            <w:tcW w:w="875" w:type="dxa"/>
            <w:gridSpan w:val="2"/>
            <w:tcBorders>
              <w:top w:val="nil"/>
              <w:left w:val="nil"/>
              <w:bottom w:val="nil"/>
              <w:right w:val="nil"/>
            </w:tcBorders>
            <w:noWrap/>
            <w:vAlign w:val="bottom"/>
            <w:hideMark/>
          </w:tcPr>
          <w:p w14:paraId="1E33B5B8"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$450 </w:t>
            </w:r>
          </w:p>
        </w:tc>
        <w:tc>
          <w:tcPr>
            <w:tcW w:w="1020" w:type="dxa"/>
            <w:gridSpan w:val="2"/>
            <w:tcBorders>
              <w:top w:val="nil"/>
              <w:left w:val="nil"/>
              <w:bottom w:val="nil"/>
              <w:right w:val="nil"/>
            </w:tcBorders>
            <w:noWrap/>
            <w:vAlign w:val="bottom"/>
            <w:hideMark/>
          </w:tcPr>
          <w:p w14:paraId="40CF14CF"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0.2%</w:t>
            </w:r>
          </w:p>
        </w:tc>
      </w:tr>
      <w:tr w:rsidR="00391A36" w:rsidRPr="0053499C" w14:paraId="793F229A"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2A794A94"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w:t>
            </w:r>
          </w:p>
        </w:tc>
        <w:tc>
          <w:tcPr>
            <w:tcW w:w="990" w:type="dxa"/>
            <w:tcBorders>
              <w:top w:val="nil"/>
              <w:left w:val="nil"/>
              <w:bottom w:val="nil"/>
              <w:right w:val="nil"/>
            </w:tcBorders>
            <w:noWrap/>
            <w:vAlign w:val="bottom"/>
            <w:hideMark/>
          </w:tcPr>
          <w:p w14:paraId="0A2ED4B4"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$16,068 </w:t>
            </w:r>
          </w:p>
        </w:tc>
        <w:tc>
          <w:tcPr>
            <w:tcW w:w="1100" w:type="dxa"/>
            <w:tcBorders>
              <w:top w:val="nil"/>
              <w:left w:val="nil"/>
              <w:bottom w:val="nil"/>
              <w:right w:val="nil"/>
            </w:tcBorders>
            <w:noWrap/>
            <w:vAlign w:val="bottom"/>
            <w:hideMark/>
          </w:tcPr>
          <w:p w14:paraId="41A2B51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1A08FF15"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$1,068 </w:t>
            </w:r>
          </w:p>
        </w:tc>
        <w:tc>
          <w:tcPr>
            <w:tcW w:w="875" w:type="dxa"/>
            <w:gridSpan w:val="2"/>
            <w:tcBorders>
              <w:top w:val="nil"/>
              <w:left w:val="nil"/>
              <w:bottom w:val="nil"/>
              <w:right w:val="nil"/>
            </w:tcBorders>
            <w:noWrap/>
            <w:vAlign w:val="bottom"/>
            <w:hideMark/>
          </w:tcPr>
          <w:p w14:paraId="662E7B0E"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$1,298 </w:t>
            </w:r>
          </w:p>
        </w:tc>
        <w:tc>
          <w:tcPr>
            <w:tcW w:w="1020" w:type="dxa"/>
            <w:gridSpan w:val="2"/>
            <w:tcBorders>
              <w:top w:val="nil"/>
              <w:left w:val="nil"/>
              <w:bottom w:val="nil"/>
              <w:right w:val="nil"/>
            </w:tcBorders>
            <w:noWrap/>
            <w:vAlign w:val="bottom"/>
            <w:hideMark/>
          </w:tcPr>
          <w:p w14:paraId="2033AB4B"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0.6%</w:t>
            </w:r>
          </w:p>
        </w:tc>
      </w:tr>
      <w:tr w:rsidR="00391A36" w:rsidRPr="0053499C" w14:paraId="22E4C735"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061F5D4B"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w:t>
            </w:r>
          </w:p>
        </w:tc>
        <w:tc>
          <w:tcPr>
            <w:tcW w:w="990" w:type="dxa"/>
            <w:tcBorders>
              <w:top w:val="nil"/>
              <w:left w:val="nil"/>
              <w:bottom w:val="nil"/>
              <w:right w:val="nil"/>
            </w:tcBorders>
            <w:noWrap/>
            <w:vAlign w:val="bottom"/>
            <w:hideMark/>
          </w:tcPr>
          <w:p w14:paraId="7C4AB692"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$16,631 </w:t>
            </w:r>
          </w:p>
        </w:tc>
        <w:tc>
          <w:tcPr>
            <w:tcW w:w="1100" w:type="dxa"/>
            <w:tcBorders>
              <w:top w:val="nil"/>
              <w:left w:val="nil"/>
              <w:bottom w:val="nil"/>
              <w:right w:val="nil"/>
            </w:tcBorders>
            <w:noWrap/>
            <w:vAlign w:val="bottom"/>
            <w:hideMark/>
          </w:tcPr>
          <w:p w14:paraId="594B054F"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2E1794B9"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$1,631 </w:t>
            </w:r>
          </w:p>
        </w:tc>
        <w:tc>
          <w:tcPr>
            <w:tcW w:w="875" w:type="dxa"/>
            <w:gridSpan w:val="2"/>
            <w:tcBorders>
              <w:top w:val="nil"/>
              <w:left w:val="nil"/>
              <w:bottom w:val="nil"/>
              <w:right w:val="nil"/>
            </w:tcBorders>
            <w:noWrap/>
            <w:vAlign w:val="bottom"/>
            <w:hideMark/>
          </w:tcPr>
          <w:p w14:paraId="59B13BB2"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$2,497 </w:t>
            </w:r>
          </w:p>
        </w:tc>
        <w:tc>
          <w:tcPr>
            <w:tcW w:w="1020" w:type="dxa"/>
            <w:gridSpan w:val="2"/>
            <w:tcBorders>
              <w:top w:val="nil"/>
              <w:left w:val="nil"/>
              <w:bottom w:val="nil"/>
              <w:right w:val="nil"/>
            </w:tcBorders>
            <w:noWrap/>
            <w:vAlign w:val="bottom"/>
            <w:hideMark/>
          </w:tcPr>
          <w:p w14:paraId="7F4C083B"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1.2%</w:t>
            </w:r>
          </w:p>
        </w:tc>
      </w:tr>
      <w:tr w:rsidR="00391A36" w:rsidRPr="0053499C" w14:paraId="57866C02"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3DBAF4D3"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4</w:t>
            </w:r>
          </w:p>
        </w:tc>
        <w:tc>
          <w:tcPr>
            <w:tcW w:w="990" w:type="dxa"/>
            <w:tcBorders>
              <w:top w:val="nil"/>
              <w:left w:val="nil"/>
              <w:bottom w:val="nil"/>
              <w:right w:val="nil"/>
            </w:tcBorders>
            <w:noWrap/>
            <w:vAlign w:val="bottom"/>
            <w:hideMark/>
          </w:tcPr>
          <w:p w14:paraId="484F21D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$17,213 </w:t>
            </w:r>
          </w:p>
        </w:tc>
        <w:tc>
          <w:tcPr>
            <w:tcW w:w="1100" w:type="dxa"/>
            <w:tcBorders>
              <w:top w:val="nil"/>
              <w:left w:val="nil"/>
              <w:bottom w:val="nil"/>
              <w:right w:val="nil"/>
            </w:tcBorders>
            <w:noWrap/>
            <w:vAlign w:val="bottom"/>
            <w:hideMark/>
          </w:tcPr>
          <w:p w14:paraId="1ED0F644"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5184500A"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$2,213 </w:t>
            </w:r>
          </w:p>
        </w:tc>
        <w:tc>
          <w:tcPr>
            <w:tcW w:w="875" w:type="dxa"/>
            <w:gridSpan w:val="2"/>
            <w:tcBorders>
              <w:top w:val="nil"/>
              <w:left w:val="nil"/>
              <w:bottom w:val="nil"/>
              <w:right w:val="nil"/>
            </w:tcBorders>
            <w:noWrap/>
            <w:vAlign w:val="bottom"/>
            <w:hideMark/>
          </w:tcPr>
          <w:p w14:paraId="5BFF7875"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$4,003 </w:t>
            </w:r>
          </w:p>
        </w:tc>
        <w:tc>
          <w:tcPr>
            <w:tcW w:w="1020" w:type="dxa"/>
            <w:gridSpan w:val="2"/>
            <w:tcBorders>
              <w:top w:val="nil"/>
              <w:left w:val="nil"/>
              <w:bottom w:val="nil"/>
              <w:right w:val="nil"/>
            </w:tcBorders>
            <w:noWrap/>
            <w:vAlign w:val="bottom"/>
            <w:hideMark/>
          </w:tcPr>
          <w:p w14:paraId="72BCFEC3"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2.0%</w:t>
            </w:r>
          </w:p>
        </w:tc>
      </w:tr>
      <w:tr w:rsidR="00391A36" w:rsidRPr="0053499C" w14:paraId="59F2F47E"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5AEA7B97"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5</w:t>
            </w:r>
          </w:p>
        </w:tc>
        <w:tc>
          <w:tcPr>
            <w:tcW w:w="990" w:type="dxa"/>
            <w:tcBorders>
              <w:top w:val="nil"/>
              <w:left w:val="nil"/>
              <w:bottom w:val="nil"/>
              <w:right w:val="nil"/>
            </w:tcBorders>
            <w:noWrap/>
            <w:vAlign w:val="bottom"/>
            <w:hideMark/>
          </w:tcPr>
          <w:p w14:paraId="70943B26"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$17,815 </w:t>
            </w:r>
          </w:p>
        </w:tc>
        <w:tc>
          <w:tcPr>
            <w:tcW w:w="1100" w:type="dxa"/>
            <w:tcBorders>
              <w:top w:val="nil"/>
              <w:left w:val="nil"/>
              <w:bottom w:val="nil"/>
              <w:right w:val="nil"/>
            </w:tcBorders>
            <w:noWrap/>
            <w:vAlign w:val="bottom"/>
            <w:hideMark/>
          </w:tcPr>
          <w:p w14:paraId="01AE2535"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10D6143C"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$2,815 </w:t>
            </w:r>
          </w:p>
        </w:tc>
        <w:tc>
          <w:tcPr>
            <w:tcW w:w="875" w:type="dxa"/>
            <w:gridSpan w:val="2"/>
            <w:tcBorders>
              <w:top w:val="nil"/>
              <w:left w:val="nil"/>
              <w:bottom w:val="nil"/>
              <w:right w:val="nil"/>
            </w:tcBorders>
            <w:noWrap/>
            <w:vAlign w:val="bottom"/>
            <w:hideMark/>
          </w:tcPr>
          <w:p w14:paraId="7FD2FB31"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$5,777 </w:t>
            </w:r>
          </w:p>
        </w:tc>
        <w:tc>
          <w:tcPr>
            <w:tcW w:w="1020" w:type="dxa"/>
            <w:gridSpan w:val="2"/>
            <w:tcBorders>
              <w:top w:val="nil"/>
              <w:left w:val="nil"/>
              <w:bottom w:val="nil"/>
              <w:right w:val="nil"/>
            </w:tcBorders>
            <w:noWrap/>
            <w:vAlign w:val="bottom"/>
            <w:hideMark/>
          </w:tcPr>
          <w:p w14:paraId="5BFB7CE3"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2.9%</w:t>
            </w:r>
          </w:p>
        </w:tc>
      </w:tr>
      <w:tr w:rsidR="00391A36" w:rsidRPr="0053499C" w14:paraId="367F5559"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589A726B"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6</w:t>
            </w:r>
          </w:p>
        </w:tc>
        <w:tc>
          <w:tcPr>
            <w:tcW w:w="990" w:type="dxa"/>
            <w:tcBorders>
              <w:top w:val="nil"/>
              <w:left w:val="nil"/>
              <w:bottom w:val="nil"/>
              <w:right w:val="nil"/>
            </w:tcBorders>
            <w:noWrap/>
            <w:vAlign w:val="bottom"/>
            <w:hideMark/>
          </w:tcPr>
          <w:p w14:paraId="38245B3F"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$18,439 </w:t>
            </w:r>
          </w:p>
        </w:tc>
        <w:tc>
          <w:tcPr>
            <w:tcW w:w="1100" w:type="dxa"/>
            <w:tcBorders>
              <w:top w:val="nil"/>
              <w:left w:val="nil"/>
              <w:bottom w:val="nil"/>
              <w:right w:val="nil"/>
            </w:tcBorders>
            <w:noWrap/>
            <w:vAlign w:val="bottom"/>
            <w:hideMark/>
          </w:tcPr>
          <w:p w14:paraId="65CD5AB3"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121D649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$3,439 </w:t>
            </w:r>
          </w:p>
        </w:tc>
        <w:tc>
          <w:tcPr>
            <w:tcW w:w="875" w:type="dxa"/>
            <w:gridSpan w:val="2"/>
            <w:tcBorders>
              <w:top w:val="nil"/>
              <w:left w:val="nil"/>
              <w:bottom w:val="nil"/>
              <w:right w:val="nil"/>
            </w:tcBorders>
            <w:noWrap/>
            <w:vAlign w:val="bottom"/>
            <w:hideMark/>
          </w:tcPr>
          <w:p w14:paraId="0CA7B27F"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$7,784 </w:t>
            </w:r>
          </w:p>
        </w:tc>
        <w:tc>
          <w:tcPr>
            <w:tcW w:w="1020" w:type="dxa"/>
            <w:gridSpan w:val="2"/>
            <w:tcBorders>
              <w:top w:val="nil"/>
              <w:left w:val="nil"/>
              <w:bottom w:val="nil"/>
              <w:right w:val="nil"/>
            </w:tcBorders>
            <w:noWrap/>
            <w:vAlign w:val="bottom"/>
            <w:hideMark/>
          </w:tcPr>
          <w:p w14:paraId="18775EDF"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3.9%</w:t>
            </w:r>
          </w:p>
        </w:tc>
      </w:tr>
      <w:tr w:rsidR="00391A36" w:rsidRPr="0053499C" w14:paraId="54CA5A5B"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4DFA03FC"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w:t>
            </w:r>
          </w:p>
        </w:tc>
        <w:tc>
          <w:tcPr>
            <w:tcW w:w="990" w:type="dxa"/>
            <w:tcBorders>
              <w:top w:val="nil"/>
              <w:left w:val="nil"/>
              <w:bottom w:val="nil"/>
              <w:right w:val="nil"/>
            </w:tcBorders>
            <w:noWrap/>
            <w:vAlign w:val="bottom"/>
            <w:hideMark/>
          </w:tcPr>
          <w:p w14:paraId="0B77AD6C"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$19,084 </w:t>
            </w:r>
          </w:p>
        </w:tc>
        <w:tc>
          <w:tcPr>
            <w:tcW w:w="1100" w:type="dxa"/>
            <w:tcBorders>
              <w:top w:val="nil"/>
              <w:left w:val="nil"/>
              <w:bottom w:val="nil"/>
              <w:right w:val="nil"/>
            </w:tcBorders>
            <w:noWrap/>
            <w:vAlign w:val="bottom"/>
            <w:hideMark/>
          </w:tcPr>
          <w:p w14:paraId="0944B7AB"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2C46CDC6"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$4,084 </w:t>
            </w:r>
          </w:p>
        </w:tc>
        <w:tc>
          <w:tcPr>
            <w:tcW w:w="875" w:type="dxa"/>
            <w:gridSpan w:val="2"/>
            <w:tcBorders>
              <w:top w:val="nil"/>
              <w:left w:val="nil"/>
              <w:bottom w:val="nil"/>
              <w:right w:val="nil"/>
            </w:tcBorders>
            <w:noWrap/>
            <w:vAlign w:val="bottom"/>
            <w:hideMark/>
          </w:tcPr>
          <w:p w14:paraId="3350F6AD"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$9,990 </w:t>
            </w:r>
          </w:p>
        </w:tc>
        <w:tc>
          <w:tcPr>
            <w:tcW w:w="1020" w:type="dxa"/>
            <w:gridSpan w:val="2"/>
            <w:tcBorders>
              <w:top w:val="nil"/>
              <w:left w:val="nil"/>
              <w:bottom w:val="nil"/>
              <w:right w:val="nil"/>
            </w:tcBorders>
            <w:noWrap/>
            <w:vAlign w:val="bottom"/>
            <w:hideMark/>
          </w:tcPr>
          <w:p w14:paraId="44142B35"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5.0%</w:t>
            </w:r>
          </w:p>
        </w:tc>
      </w:tr>
      <w:tr w:rsidR="00391A36" w:rsidRPr="0053499C" w14:paraId="6D37D96F"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71F9478C"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w:t>
            </w:r>
          </w:p>
        </w:tc>
        <w:tc>
          <w:tcPr>
            <w:tcW w:w="990" w:type="dxa"/>
            <w:tcBorders>
              <w:top w:val="nil"/>
              <w:left w:val="nil"/>
              <w:bottom w:val="nil"/>
              <w:right w:val="nil"/>
            </w:tcBorders>
            <w:noWrap/>
            <w:vAlign w:val="bottom"/>
            <w:hideMark/>
          </w:tcPr>
          <w:p w14:paraId="033AB4AF"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$19,752 </w:t>
            </w:r>
          </w:p>
        </w:tc>
        <w:tc>
          <w:tcPr>
            <w:tcW w:w="1100" w:type="dxa"/>
            <w:tcBorders>
              <w:top w:val="nil"/>
              <w:left w:val="nil"/>
              <w:bottom w:val="nil"/>
              <w:right w:val="nil"/>
            </w:tcBorders>
            <w:noWrap/>
            <w:vAlign w:val="bottom"/>
            <w:hideMark/>
          </w:tcPr>
          <w:p w14:paraId="7E32438F"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6956C8AC"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$4,752 </w:t>
            </w:r>
          </w:p>
        </w:tc>
        <w:tc>
          <w:tcPr>
            <w:tcW w:w="875" w:type="dxa"/>
            <w:gridSpan w:val="2"/>
            <w:tcBorders>
              <w:top w:val="nil"/>
              <w:left w:val="nil"/>
              <w:bottom w:val="nil"/>
              <w:right w:val="nil"/>
            </w:tcBorders>
            <w:noWrap/>
            <w:vAlign w:val="bottom"/>
            <w:hideMark/>
          </w:tcPr>
          <w:p w14:paraId="415D6BB1"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$12,367 </w:t>
            </w:r>
          </w:p>
        </w:tc>
        <w:tc>
          <w:tcPr>
            <w:tcW w:w="1020" w:type="dxa"/>
            <w:gridSpan w:val="2"/>
            <w:tcBorders>
              <w:top w:val="nil"/>
              <w:left w:val="nil"/>
              <w:bottom w:val="nil"/>
              <w:right w:val="nil"/>
            </w:tcBorders>
            <w:noWrap/>
            <w:vAlign w:val="bottom"/>
            <w:hideMark/>
          </w:tcPr>
          <w:p w14:paraId="37F92CC8"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6.2%</w:t>
            </w:r>
          </w:p>
        </w:tc>
      </w:tr>
      <w:tr w:rsidR="00391A36" w:rsidRPr="0053499C" w14:paraId="6DADED98"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129D5CEE"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w:t>
            </w:r>
          </w:p>
        </w:tc>
        <w:tc>
          <w:tcPr>
            <w:tcW w:w="990" w:type="dxa"/>
            <w:tcBorders>
              <w:top w:val="nil"/>
              <w:left w:val="nil"/>
              <w:bottom w:val="nil"/>
              <w:right w:val="nil"/>
            </w:tcBorders>
            <w:noWrap/>
            <w:vAlign w:val="bottom"/>
            <w:hideMark/>
          </w:tcPr>
          <w:p w14:paraId="3A02D5A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$20,443 </w:t>
            </w:r>
          </w:p>
        </w:tc>
        <w:tc>
          <w:tcPr>
            <w:tcW w:w="1100" w:type="dxa"/>
            <w:tcBorders>
              <w:top w:val="nil"/>
              <w:left w:val="nil"/>
              <w:bottom w:val="nil"/>
              <w:right w:val="nil"/>
            </w:tcBorders>
            <w:noWrap/>
            <w:vAlign w:val="bottom"/>
            <w:hideMark/>
          </w:tcPr>
          <w:p w14:paraId="19CA39B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7E13D14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$5,443 </w:t>
            </w:r>
          </w:p>
        </w:tc>
        <w:tc>
          <w:tcPr>
            <w:tcW w:w="875" w:type="dxa"/>
            <w:gridSpan w:val="2"/>
            <w:tcBorders>
              <w:top w:val="nil"/>
              <w:left w:val="nil"/>
              <w:bottom w:val="nil"/>
              <w:right w:val="nil"/>
            </w:tcBorders>
            <w:noWrap/>
            <w:vAlign w:val="bottom"/>
            <w:hideMark/>
          </w:tcPr>
          <w:p w14:paraId="594F8CEB"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$14,889 </w:t>
            </w:r>
          </w:p>
        </w:tc>
        <w:tc>
          <w:tcPr>
            <w:tcW w:w="1020" w:type="dxa"/>
            <w:gridSpan w:val="2"/>
            <w:tcBorders>
              <w:top w:val="nil"/>
              <w:left w:val="nil"/>
              <w:bottom w:val="nil"/>
              <w:right w:val="nil"/>
            </w:tcBorders>
            <w:noWrap/>
            <w:vAlign w:val="bottom"/>
            <w:hideMark/>
          </w:tcPr>
          <w:p w14:paraId="5BDDF933"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7.4%</w:t>
            </w:r>
          </w:p>
        </w:tc>
      </w:tr>
      <w:tr w:rsidR="00391A36" w:rsidRPr="0053499C" w14:paraId="78FE7CF2"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4480D8C7"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10</w:t>
            </w:r>
          </w:p>
        </w:tc>
        <w:tc>
          <w:tcPr>
            <w:tcW w:w="990" w:type="dxa"/>
            <w:tcBorders>
              <w:top w:val="nil"/>
              <w:left w:val="nil"/>
              <w:bottom w:val="nil"/>
              <w:right w:val="nil"/>
            </w:tcBorders>
            <w:noWrap/>
            <w:vAlign w:val="bottom"/>
            <w:hideMark/>
          </w:tcPr>
          <w:p w14:paraId="1E092E2D"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$21,159 </w:t>
            </w:r>
          </w:p>
        </w:tc>
        <w:tc>
          <w:tcPr>
            <w:tcW w:w="1100" w:type="dxa"/>
            <w:tcBorders>
              <w:top w:val="nil"/>
              <w:left w:val="nil"/>
              <w:bottom w:val="nil"/>
              <w:right w:val="nil"/>
            </w:tcBorders>
            <w:noWrap/>
            <w:vAlign w:val="bottom"/>
            <w:hideMark/>
          </w:tcPr>
          <w:p w14:paraId="613D2CB1"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02E872EC"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$6,159 </w:t>
            </w:r>
          </w:p>
        </w:tc>
        <w:tc>
          <w:tcPr>
            <w:tcW w:w="875" w:type="dxa"/>
            <w:gridSpan w:val="2"/>
            <w:tcBorders>
              <w:top w:val="nil"/>
              <w:left w:val="nil"/>
              <w:bottom w:val="nil"/>
              <w:right w:val="nil"/>
            </w:tcBorders>
            <w:noWrap/>
            <w:vAlign w:val="bottom"/>
            <w:hideMark/>
          </w:tcPr>
          <w:p w14:paraId="2A8D7B7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$17,530 </w:t>
            </w:r>
          </w:p>
        </w:tc>
        <w:tc>
          <w:tcPr>
            <w:tcW w:w="1020" w:type="dxa"/>
            <w:gridSpan w:val="2"/>
            <w:tcBorders>
              <w:top w:val="nil"/>
              <w:left w:val="nil"/>
              <w:bottom w:val="nil"/>
              <w:right w:val="nil"/>
            </w:tcBorders>
            <w:noWrap/>
            <w:vAlign w:val="bottom"/>
            <w:hideMark/>
          </w:tcPr>
          <w:p w14:paraId="10C537E8"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8.8%</w:t>
            </w:r>
          </w:p>
        </w:tc>
      </w:tr>
      <w:tr w:rsidR="00391A36" w:rsidRPr="0053499C" w14:paraId="0DD3BCC2"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560C3C8F"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11</w:t>
            </w:r>
          </w:p>
        </w:tc>
        <w:tc>
          <w:tcPr>
            <w:tcW w:w="990" w:type="dxa"/>
            <w:tcBorders>
              <w:top w:val="nil"/>
              <w:left w:val="nil"/>
              <w:bottom w:val="nil"/>
              <w:right w:val="nil"/>
            </w:tcBorders>
            <w:noWrap/>
            <w:vAlign w:val="bottom"/>
            <w:hideMark/>
          </w:tcPr>
          <w:p w14:paraId="2E7C2253"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$21,900 </w:t>
            </w:r>
          </w:p>
        </w:tc>
        <w:tc>
          <w:tcPr>
            <w:tcW w:w="1100" w:type="dxa"/>
            <w:tcBorders>
              <w:top w:val="nil"/>
              <w:left w:val="nil"/>
              <w:bottom w:val="nil"/>
              <w:right w:val="nil"/>
            </w:tcBorders>
            <w:noWrap/>
            <w:vAlign w:val="bottom"/>
            <w:hideMark/>
          </w:tcPr>
          <w:p w14:paraId="6B3DA4F7"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36EE7744"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$6,900 </w:t>
            </w:r>
          </w:p>
        </w:tc>
        <w:tc>
          <w:tcPr>
            <w:tcW w:w="875" w:type="dxa"/>
            <w:gridSpan w:val="2"/>
            <w:tcBorders>
              <w:top w:val="nil"/>
              <w:left w:val="nil"/>
              <w:bottom w:val="nil"/>
              <w:right w:val="nil"/>
            </w:tcBorders>
            <w:noWrap/>
            <w:vAlign w:val="bottom"/>
            <w:hideMark/>
          </w:tcPr>
          <w:p w14:paraId="756235F4"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$20,270 </w:t>
            </w:r>
          </w:p>
        </w:tc>
        <w:tc>
          <w:tcPr>
            <w:tcW w:w="1020" w:type="dxa"/>
            <w:gridSpan w:val="2"/>
            <w:tcBorders>
              <w:top w:val="nil"/>
              <w:left w:val="nil"/>
              <w:bottom w:val="nil"/>
              <w:right w:val="nil"/>
            </w:tcBorders>
            <w:noWrap/>
            <w:vAlign w:val="bottom"/>
            <w:hideMark/>
          </w:tcPr>
          <w:p w14:paraId="53BCD211"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10.1%</w:t>
            </w:r>
          </w:p>
        </w:tc>
      </w:tr>
      <w:tr w:rsidR="00391A36" w:rsidRPr="0053499C" w14:paraId="3C4E188E"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0EFD0525"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12</w:t>
            </w:r>
          </w:p>
        </w:tc>
        <w:tc>
          <w:tcPr>
            <w:tcW w:w="990" w:type="dxa"/>
            <w:tcBorders>
              <w:top w:val="nil"/>
              <w:left w:val="nil"/>
              <w:bottom w:val="nil"/>
              <w:right w:val="nil"/>
            </w:tcBorders>
            <w:noWrap/>
            <w:vAlign w:val="bottom"/>
            <w:hideMark/>
          </w:tcPr>
          <w:p w14:paraId="1BBB056E"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$22,666 </w:t>
            </w:r>
          </w:p>
        </w:tc>
        <w:tc>
          <w:tcPr>
            <w:tcW w:w="1100" w:type="dxa"/>
            <w:tcBorders>
              <w:top w:val="nil"/>
              <w:left w:val="nil"/>
              <w:bottom w:val="nil"/>
              <w:right w:val="nil"/>
            </w:tcBorders>
            <w:noWrap/>
            <w:vAlign w:val="bottom"/>
            <w:hideMark/>
          </w:tcPr>
          <w:p w14:paraId="70CC0E25"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5F47A2B1"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$7,666 </w:t>
            </w:r>
          </w:p>
        </w:tc>
        <w:tc>
          <w:tcPr>
            <w:tcW w:w="875" w:type="dxa"/>
            <w:gridSpan w:val="2"/>
            <w:tcBorders>
              <w:top w:val="nil"/>
              <w:left w:val="nil"/>
              <w:bottom w:val="nil"/>
              <w:right w:val="nil"/>
            </w:tcBorders>
            <w:noWrap/>
            <w:vAlign w:val="bottom"/>
            <w:hideMark/>
          </w:tcPr>
          <w:p w14:paraId="5A3946E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$23,089 </w:t>
            </w:r>
          </w:p>
        </w:tc>
        <w:tc>
          <w:tcPr>
            <w:tcW w:w="1020" w:type="dxa"/>
            <w:gridSpan w:val="2"/>
            <w:tcBorders>
              <w:top w:val="nil"/>
              <w:left w:val="nil"/>
              <w:bottom w:val="nil"/>
              <w:right w:val="nil"/>
            </w:tcBorders>
            <w:noWrap/>
            <w:vAlign w:val="bottom"/>
            <w:hideMark/>
          </w:tcPr>
          <w:p w14:paraId="6260F2C3"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11.5%</w:t>
            </w:r>
          </w:p>
        </w:tc>
      </w:tr>
      <w:tr w:rsidR="00391A36" w:rsidRPr="0053499C" w14:paraId="2516E113"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1B10C0C7"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13</w:t>
            </w:r>
          </w:p>
        </w:tc>
        <w:tc>
          <w:tcPr>
            <w:tcW w:w="990" w:type="dxa"/>
            <w:tcBorders>
              <w:top w:val="nil"/>
              <w:left w:val="nil"/>
              <w:bottom w:val="nil"/>
              <w:right w:val="nil"/>
            </w:tcBorders>
            <w:noWrap/>
            <w:vAlign w:val="bottom"/>
            <w:hideMark/>
          </w:tcPr>
          <w:p w14:paraId="6CC046D1"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$23,459 </w:t>
            </w:r>
          </w:p>
        </w:tc>
        <w:tc>
          <w:tcPr>
            <w:tcW w:w="1100" w:type="dxa"/>
            <w:tcBorders>
              <w:top w:val="nil"/>
              <w:left w:val="nil"/>
              <w:bottom w:val="nil"/>
              <w:right w:val="nil"/>
            </w:tcBorders>
            <w:noWrap/>
            <w:vAlign w:val="bottom"/>
            <w:hideMark/>
          </w:tcPr>
          <w:p w14:paraId="2769A66E"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1B229005"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$8,459 </w:t>
            </w:r>
          </w:p>
        </w:tc>
        <w:tc>
          <w:tcPr>
            <w:tcW w:w="875" w:type="dxa"/>
            <w:gridSpan w:val="2"/>
            <w:tcBorders>
              <w:top w:val="nil"/>
              <w:left w:val="nil"/>
              <w:bottom w:val="nil"/>
              <w:right w:val="nil"/>
            </w:tcBorders>
            <w:noWrap/>
            <w:vAlign w:val="bottom"/>
            <w:hideMark/>
          </w:tcPr>
          <w:p w14:paraId="17FBE34A"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$25,969 </w:t>
            </w:r>
          </w:p>
        </w:tc>
        <w:tc>
          <w:tcPr>
            <w:tcW w:w="1020" w:type="dxa"/>
            <w:gridSpan w:val="2"/>
            <w:tcBorders>
              <w:top w:val="nil"/>
              <w:left w:val="nil"/>
              <w:bottom w:val="nil"/>
              <w:right w:val="nil"/>
            </w:tcBorders>
            <w:noWrap/>
            <w:vAlign w:val="bottom"/>
            <w:hideMark/>
          </w:tcPr>
          <w:p w14:paraId="354B4EB2"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13.0%</w:t>
            </w:r>
          </w:p>
        </w:tc>
      </w:tr>
      <w:tr w:rsidR="00391A36" w:rsidRPr="0053499C" w14:paraId="3F18474C"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79C56AA5"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14</w:t>
            </w:r>
          </w:p>
        </w:tc>
        <w:tc>
          <w:tcPr>
            <w:tcW w:w="990" w:type="dxa"/>
            <w:tcBorders>
              <w:top w:val="nil"/>
              <w:left w:val="nil"/>
              <w:bottom w:val="nil"/>
              <w:right w:val="nil"/>
            </w:tcBorders>
            <w:noWrap/>
            <w:vAlign w:val="bottom"/>
            <w:hideMark/>
          </w:tcPr>
          <w:p w14:paraId="2599267E"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$24,280 </w:t>
            </w:r>
          </w:p>
        </w:tc>
        <w:tc>
          <w:tcPr>
            <w:tcW w:w="1100" w:type="dxa"/>
            <w:tcBorders>
              <w:top w:val="nil"/>
              <w:left w:val="nil"/>
              <w:bottom w:val="nil"/>
              <w:right w:val="nil"/>
            </w:tcBorders>
            <w:noWrap/>
            <w:vAlign w:val="bottom"/>
            <w:hideMark/>
          </w:tcPr>
          <w:p w14:paraId="7F666E7C"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17A98C87"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$9,280 </w:t>
            </w:r>
          </w:p>
        </w:tc>
        <w:tc>
          <w:tcPr>
            <w:tcW w:w="875" w:type="dxa"/>
            <w:gridSpan w:val="2"/>
            <w:tcBorders>
              <w:top w:val="nil"/>
              <w:left w:val="nil"/>
              <w:bottom w:val="nil"/>
              <w:right w:val="nil"/>
            </w:tcBorders>
            <w:noWrap/>
            <w:vAlign w:val="bottom"/>
            <w:hideMark/>
          </w:tcPr>
          <w:p w14:paraId="5E80C5B9"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$28,895 </w:t>
            </w:r>
          </w:p>
        </w:tc>
        <w:tc>
          <w:tcPr>
            <w:tcW w:w="1020" w:type="dxa"/>
            <w:gridSpan w:val="2"/>
            <w:tcBorders>
              <w:top w:val="nil"/>
              <w:left w:val="nil"/>
              <w:bottom w:val="nil"/>
              <w:right w:val="nil"/>
            </w:tcBorders>
            <w:noWrap/>
            <w:vAlign w:val="bottom"/>
            <w:hideMark/>
          </w:tcPr>
          <w:p w14:paraId="0D2E2A45"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14.4%</w:t>
            </w:r>
          </w:p>
        </w:tc>
      </w:tr>
      <w:tr w:rsidR="00391A36" w:rsidRPr="0053499C" w14:paraId="08C41132"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21740B39"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15</w:t>
            </w:r>
          </w:p>
        </w:tc>
        <w:tc>
          <w:tcPr>
            <w:tcW w:w="990" w:type="dxa"/>
            <w:tcBorders>
              <w:top w:val="nil"/>
              <w:left w:val="nil"/>
              <w:bottom w:val="nil"/>
              <w:right w:val="nil"/>
            </w:tcBorders>
            <w:noWrap/>
            <w:vAlign w:val="bottom"/>
            <w:hideMark/>
          </w:tcPr>
          <w:p w14:paraId="7BDF50A9"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$25,130 </w:t>
            </w:r>
          </w:p>
        </w:tc>
        <w:tc>
          <w:tcPr>
            <w:tcW w:w="1100" w:type="dxa"/>
            <w:tcBorders>
              <w:top w:val="nil"/>
              <w:left w:val="nil"/>
              <w:bottom w:val="nil"/>
              <w:right w:val="nil"/>
            </w:tcBorders>
            <w:noWrap/>
            <w:vAlign w:val="bottom"/>
            <w:hideMark/>
          </w:tcPr>
          <w:p w14:paraId="4126641F"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78DBD558"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$10,130 </w:t>
            </w:r>
          </w:p>
        </w:tc>
        <w:tc>
          <w:tcPr>
            <w:tcW w:w="875" w:type="dxa"/>
            <w:gridSpan w:val="2"/>
            <w:tcBorders>
              <w:top w:val="nil"/>
              <w:left w:val="nil"/>
              <w:bottom w:val="nil"/>
              <w:right w:val="nil"/>
            </w:tcBorders>
            <w:noWrap/>
            <w:vAlign w:val="bottom"/>
            <w:hideMark/>
          </w:tcPr>
          <w:p w14:paraId="24949A3D"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$31,851 </w:t>
            </w:r>
          </w:p>
        </w:tc>
        <w:tc>
          <w:tcPr>
            <w:tcW w:w="1020" w:type="dxa"/>
            <w:gridSpan w:val="2"/>
            <w:tcBorders>
              <w:top w:val="nil"/>
              <w:left w:val="nil"/>
              <w:bottom w:val="nil"/>
              <w:right w:val="nil"/>
            </w:tcBorders>
            <w:noWrap/>
            <w:vAlign w:val="bottom"/>
            <w:hideMark/>
          </w:tcPr>
          <w:p w14:paraId="73EDE701"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15.9%</w:t>
            </w:r>
          </w:p>
        </w:tc>
      </w:tr>
      <w:tr w:rsidR="00391A36" w:rsidRPr="0053499C" w14:paraId="1DA2FCB0"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64D459FE"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16</w:t>
            </w:r>
          </w:p>
        </w:tc>
        <w:tc>
          <w:tcPr>
            <w:tcW w:w="990" w:type="dxa"/>
            <w:tcBorders>
              <w:top w:val="nil"/>
              <w:left w:val="nil"/>
              <w:bottom w:val="nil"/>
              <w:right w:val="nil"/>
            </w:tcBorders>
            <w:noWrap/>
            <w:vAlign w:val="bottom"/>
            <w:hideMark/>
          </w:tcPr>
          <w:p w14:paraId="418D5345"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$26,010 </w:t>
            </w:r>
          </w:p>
        </w:tc>
        <w:tc>
          <w:tcPr>
            <w:tcW w:w="1100" w:type="dxa"/>
            <w:tcBorders>
              <w:top w:val="nil"/>
              <w:left w:val="nil"/>
              <w:bottom w:val="nil"/>
              <w:right w:val="nil"/>
            </w:tcBorders>
            <w:noWrap/>
            <w:vAlign w:val="bottom"/>
            <w:hideMark/>
          </w:tcPr>
          <w:p w14:paraId="65C04A6B"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1CF3C83C"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$11,010 </w:t>
            </w:r>
          </w:p>
        </w:tc>
        <w:tc>
          <w:tcPr>
            <w:tcW w:w="875" w:type="dxa"/>
            <w:gridSpan w:val="2"/>
            <w:tcBorders>
              <w:top w:val="nil"/>
              <w:left w:val="nil"/>
              <w:bottom w:val="nil"/>
              <w:right w:val="nil"/>
            </w:tcBorders>
            <w:noWrap/>
            <w:vAlign w:val="bottom"/>
            <w:hideMark/>
          </w:tcPr>
          <w:p w14:paraId="4F5565B6"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$34,827 </w:t>
            </w:r>
          </w:p>
        </w:tc>
        <w:tc>
          <w:tcPr>
            <w:tcW w:w="1020" w:type="dxa"/>
            <w:gridSpan w:val="2"/>
            <w:tcBorders>
              <w:top w:val="nil"/>
              <w:left w:val="nil"/>
              <w:bottom w:val="nil"/>
              <w:right w:val="nil"/>
            </w:tcBorders>
            <w:noWrap/>
            <w:vAlign w:val="bottom"/>
            <w:hideMark/>
          </w:tcPr>
          <w:p w14:paraId="1A2BCEA3"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17.4%</w:t>
            </w:r>
          </w:p>
        </w:tc>
      </w:tr>
      <w:tr w:rsidR="00391A36" w:rsidRPr="0053499C" w14:paraId="38D512C6"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10C4ABA1"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17</w:t>
            </w:r>
          </w:p>
        </w:tc>
        <w:tc>
          <w:tcPr>
            <w:tcW w:w="990" w:type="dxa"/>
            <w:tcBorders>
              <w:top w:val="nil"/>
              <w:left w:val="nil"/>
              <w:bottom w:val="nil"/>
              <w:right w:val="nil"/>
            </w:tcBorders>
            <w:noWrap/>
            <w:vAlign w:val="bottom"/>
            <w:hideMark/>
          </w:tcPr>
          <w:p w14:paraId="63F90219"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$26,920 </w:t>
            </w:r>
          </w:p>
        </w:tc>
        <w:tc>
          <w:tcPr>
            <w:tcW w:w="1100" w:type="dxa"/>
            <w:tcBorders>
              <w:top w:val="nil"/>
              <w:left w:val="nil"/>
              <w:bottom w:val="nil"/>
              <w:right w:val="nil"/>
            </w:tcBorders>
            <w:noWrap/>
            <w:vAlign w:val="bottom"/>
            <w:hideMark/>
          </w:tcPr>
          <w:p w14:paraId="62D26547"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3C8439B9"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$11,920 </w:t>
            </w:r>
          </w:p>
        </w:tc>
        <w:tc>
          <w:tcPr>
            <w:tcW w:w="875" w:type="dxa"/>
            <w:gridSpan w:val="2"/>
            <w:tcBorders>
              <w:top w:val="nil"/>
              <w:left w:val="nil"/>
              <w:bottom w:val="nil"/>
              <w:right w:val="nil"/>
            </w:tcBorders>
            <w:noWrap/>
            <w:vAlign w:val="bottom"/>
            <w:hideMark/>
          </w:tcPr>
          <w:p w14:paraId="37A73B62"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$37,810 </w:t>
            </w:r>
          </w:p>
        </w:tc>
        <w:tc>
          <w:tcPr>
            <w:tcW w:w="1020" w:type="dxa"/>
            <w:gridSpan w:val="2"/>
            <w:tcBorders>
              <w:top w:val="nil"/>
              <w:left w:val="nil"/>
              <w:bottom w:val="nil"/>
              <w:right w:val="nil"/>
            </w:tcBorders>
            <w:noWrap/>
            <w:vAlign w:val="bottom"/>
            <w:hideMark/>
          </w:tcPr>
          <w:p w14:paraId="259DFBE4"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18.9%</w:t>
            </w:r>
          </w:p>
        </w:tc>
      </w:tr>
      <w:tr w:rsidR="00391A36" w:rsidRPr="0053499C" w14:paraId="4EFDA631"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613E1191"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18</w:t>
            </w:r>
          </w:p>
        </w:tc>
        <w:tc>
          <w:tcPr>
            <w:tcW w:w="990" w:type="dxa"/>
            <w:tcBorders>
              <w:top w:val="nil"/>
              <w:left w:val="nil"/>
              <w:bottom w:val="nil"/>
              <w:right w:val="nil"/>
            </w:tcBorders>
            <w:noWrap/>
            <w:vAlign w:val="bottom"/>
            <w:hideMark/>
          </w:tcPr>
          <w:p w14:paraId="2534C723"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$27,862 </w:t>
            </w:r>
          </w:p>
        </w:tc>
        <w:tc>
          <w:tcPr>
            <w:tcW w:w="1100" w:type="dxa"/>
            <w:tcBorders>
              <w:top w:val="nil"/>
              <w:left w:val="nil"/>
              <w:bottom w:val="nil"/>
              <w:right w:val="nil"/>
            </w:tcBorders>
            <w:noWrap/>
            <w:vAlign w:val="bottom"/>
            <w:hideMark/>
          </w:tcPr>
          <w:p w14:paraId="74C84CEC"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433BF75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$12,862 </w:t>
            </w:r>
          </w:p>
        </w:tc>
        <w:tc>
          <w:tcPr>
            <w:tcW w:w="875" w:type="dxa"/>
            <w:gridSpan w:val="2"/>
            <w:tcBorders>
              <w:top w:val="nil"/>
              <w:left w:val="nil"/>
              <w:bottom w:val="nil"/>
              <w:right w:val="nil"/>
            </w:tcBorders>
            <w:noWrap/>
            <w:vAlign w:val="bottom"/>
            <w:hideMark/>
          </w:tcPr>
          <w:p w14:paraId="6E8BA262"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$40,790 </w:t>
            </w:r>
          </w:p>
        </w:tc>
        <w:tc>
          <w:tcPr>
            <w:tcW w:w="1020" w:type="dxa"/>
            <w:gridSpan w:val="2"/>
            <w:tcBorders>
              <w:top w:val="nil"/>
              <w:left w:val="nil"/>
              <w:bottom w:val="nil"/>
              <w:right w:val="nil"/>
            </w:tcBorders>
            <w:noWrap/>
            <w:vAlign w:val="bottom"/>
            <w:hideMark/>
          </w:tcPr>
          <w:p w14:paraId="7DE18022"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20.4%</w:t>
            </w:r>
          </w:p>
        </w:tc>
      </w:tr>
      <w:tr w:rsidR="00391A36" w:rsidRPr="0053499C" w14:paraId="740B3336"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73DD79CB"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19</w:t>
            </w:r>
          </w:p>
        </w:tc>
        <w:tc>
          <w:tcPr>
            <w:tcW w:w="990" w:type="dxa"/>
            <w:tcBorders>
              <w:top w:val="nil"/>
              <w:left w:val="nil"/>
              <w:bottom w:val="nil"/>
              <w:right w:val="nil"/>
            </w:tcBorders>
            <w:noWrap/>
            <w:vAlign w:val="bottom"/>
            <w:hideMark/>
          </w:tcPr>
          <w:p w14:paraId="12965257"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$28,838 </w:t>
            </w:r>
          </w:p>
        </w:tc>
        <w:tc>
          <w:tcPr>
            <w:tcW w:w="1100" w:type="dxa"/>
            <w:tcBorders>
              <w:top w:val="nil"/>
              <w:left w:val="nil"/>
              <w:bottom w:val="nil"/>
              <w:right w:val="nil"/>
            </w:tcBorders>
            <w:noWrap/>
            <w:vAlign w:val="bottom"/>
            <w:hideMark/>
          </w:tcPr>
          <w:p w14:paraId="2BE1952B"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082469FE"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$13,838 </w:t>
            </w:r>
          </w:p>
        </w:tc>
        <w:tc>
          <w:tcPr>
            <w:tcW w:w="875" w:type="dxa"/>
            <w:gridSpan w:val="2"/>
            <w:tcBorders>
              <w:top w:val="nil"/>
              <w:left w:val="nil"/>
              <w:bottom w:val="nil"/>
              <w:right w:val="nil"/>
            </w:tcBorders>
            <w:noWrap/>
            <w:vAlign w:val="bottom"/>
            <w:hideMark/>
          </w:tcPr>
          <w:p w14:paraId="7802E0CE"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$43,759 </w:t>
            </w:r>
          </w:p>
        </w:tc>
        <w:tc>
          <w:tcPr>
            <w:tcW w:w="1020" w:type="dxa"/>
            <w:gridSpan w:val="2"/>
            <w:tcBorders>
              <w:top w:val="nil"/>
              <w:left w:val="nil"/>
              <w:bottom w:val="nil"/>
              <w:right w:val="nil"/>
            </w:tcBorders>
            <w:noWrap/>
            <w:vAlign w:val="bottom"/>
            <w:hideMark/>
          </w:tcPr>
          <w:p w14:paraId="21772D22"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21.9%</w:t>
            </w:r>
          </w:p>
        </w:tc>
      </w:tr>
      <w:tr w:rsidR="00391A36" w:rsidRPr="0053499C" w14:paraId="02E6779C"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6CB891DB"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20</w:t>
            </w:r>
          </w:p>
        </w:tc>
        <w:tc>
          <w:tcPr>
            <w:tcW w:w="990" w:type="dxa"/>
            <w:tcBorders>
              <w:top w:val="nil"/>
              <w:left w:val="nil"/>
              <w:bottom w:val="nil"/>
              <w:right w:val="nil"/>
            </w:tcBorders>
            <w:noWrap/>
            <w:vAlign w:val="bottom"/>
            <w:hideMark/>
          </w:tcPr>
          <w:p w14:paraId="7FC06655"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$29,847 </w:t>
            </w:r>
          </w:p>
        </w:tc>
        <w:tc>
          <w:tcPr>
            <w:tcW w:w="1100" w:type="dxa"/>
            <w:tcBorders>
              <w:top w:val="nil"/>
              <w:left w:val="nil"/>
              <w:bottom w:val="nil"/>
              <w:right w:val="nil"/>
            </w:tcBorders>
            <w:noWrap/>
            <w:vAlign w:val="bottom"/>
            <w:hideMark/>
          </w:tcPr>
          <w:p w14:paraId="1322BAC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36631292"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$14,847 </w:t>
            </w:r>
          </w:p>
        </w:tc>
        <w:tc>
          <w:tcPr>
            <w:tcW w:w="875" w:type="dxa"/>
            <w:gridSpan w:val="2"/>
            <w:tcBorders>
              <w:top w:val="nil"/>
              <w:left w:val="nil"/>
              <w:bottom w:val="nil"/>
              <w:right w:val="nil"/>
            </w:tcBorders>
            <w:noWrap/>
            <w:vAlign w:val="bottom"/>
            <w:hideMark/>
          </w:tcPr>
          <w:p w14:paraId="11CC3512"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$46,709 </w:t>
            </w:r>
          </w:p>
        </w:tc>
        <w:tc>
          <w:tcPr>
            <w:tcW w:w="1020" w:type="dxa"/>
            <w:gridSpan w:val="2"/>
            <w:tcBorders>
              <w:top w:val="nil"/>
              <w:left w:val="nil"/>
              <w:bottom w:val="nil"/>
              <w:right w:val="nil"/>
            </w:tcBorders>
            <w:noWrap/>
            <w:vAlign w:val="bottom"/>
            <w:hideMark/>
          </w:tcPr>
          <w:p w14:paraId="621CB8B2"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23.4%</w:t>
            </w:r>
          </w:p>
        </w:tc>
      </w:tr>
      <w:tr w:rsidR="00391A36" w:rsidRPr="0053499C" w14:paraId="43E54C82"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5E874136"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21</w:t>
            </w:r>
          </w:p>
        </w:tc>
        <w:tc>
          <w:tcPr>
            <w:tcW w:w="990" w:type="dxa"/>
            <w:tcBorders>
              <w:top w:val="nil"/>
              <w:left w:val="nil"/>
              <w:bottom w:val="nil"/>
              <w:right w:val="nil"/>
            </w:tcBorders>
            <w:noWrap/>
            <w:vAlign w:val="bottom"/>
            <w:hideMark/>
          </w:tcPr>
          <w:p w14:paraId="05DD8E8A"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$30,891 </w:t>
            </w:r>
          </w:p>
        </w:tc>
        <w:tc>
          <w:tcPr>
            <w:tcW w:w="1100" w:type="dxa"/>
            <w:tcBorders>
              <w:top w:val="nil"/>
              <w:left w:val="nil"/>
              <w:bottom w:val="nil"/>
              <w:right w:val="nil"/>
            </w:tcBorders>
            <w:noWrap/>
            <w:vAlign w:val="bottom"/>
            <w:hideMark/>
          </w:tcPr>
          <w:p w14:paraId="1FB1E70D"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06F9A9EE"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$15,891 </w:t>
            </w:r>
          </w:p>
        </w:tc>
        <w:tc>
          <w:tcPr>
            <w:tcW w:w="875" w:type="dxa"/>
            <w:gridSpan w:val="2"/>
            <w:tcBorders>
              <w:top w:val="nil"/>
              <w:left w:val="nil"/>
              <w:bottom w:val="nil"/>
              <w:right w:val="nil"/>
            </w:tcBorders>
            <w:noWrap/>
            <w:vAlign w:val="bottom"/>
            <w:hideMark/>
          </w:tcPr>
          <w:p w14:paraId="32F8B886"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$49,632 </w:t>
            </w:r>
          </w:p>
        </w:tc>
        <w:tc>
          <w:tcPr>
            <w:tcW w:w="1020" w:type="dxa"/>
            <w:gridSpan w:val="2"/>
            <w:tcBorders>
              <w:top w:val="nil"/>
              <w:left w:val="nil"/>
              <w:bottom w:val="nil"/>
              <w:right w:val="nil"/>
            </w:tcBorders>
            <w:noWrap/>
            <w:vAlign w:val="bottom"/>
            <w:hideMark/>
          </w:tcPr>
          <w:p w14:paraId="0ACBB4D7"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24.8%</w:t>
            </w:r>
          </w:p>
        </w:tc>
      </w:tr>
      <w:tr w:rsidR="00391A36" w:rsidRPr="0053499C" w14:paraId="514EDDBA"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4EB4FE1A"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22</w:t>
            </w:r>
          </w:p>
        </w:tc>
        <w:tc>
          <w:tcPr>
            <w:tcW w:w="990" w:type="dxa"/>
            <w:tcBorders>
              <w:top w:val="nil"/>
              <w:left w:val="nil"/>
              <w:bottom w:val="nil"/>
              <w:right w:val="nil"/>
            </w:tcBorders>
            <w:noWrap/>
            <w:vAlign w:val="bottom"/>
            <w:hideMark/>
          </w:tcPr>
          <w:p w14:paraId="10851459"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$31,973 </w:t>
            </w:r>
          </w:p>
        </w:tc>
        <w:tc>
          <w:tcPr>
            <w:tcW w:w="1100" w:type="dxa"/>
            <w:tcBorders>
              <w:top w:val="nil"/>
              <w:left w:val="nil"/>
              <w:bottom w:val="nil"/>
              <w:right w:val="nil"/>
            </w:tcBorders>
            <w:noWrap/>
            <w:vAlign w:val="bottom"/>
            <w:hideMark/>
          </w:tcPr>
          <w:p w14:paraId="5C6A5932"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76ECBC36"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$16,973 </w:t>
            </w:r>
          </w:p>
        </w:tc>
        <w:tc>
          <w:tcPr>
            <w:tcW w:w="875" w:type="dxa"/>
            <w:gridSpan w:val="2"/>
            <w:tcBorders>
              <w:top w:val="nil"/>
              <w:left w:val="nil"/>
              <w:bottom w:val="nil"/>
              <w:right w:val="nil"/>
            </w:tcBorders>
            <w:noWrap/>
            <w:vAlign w:val="bottom"/>
            <w:hideMark/>
          </w:tcPr>
          <w:p w14:paraId="72FD56C7"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$52,522 </w:t>
            </w:r>
          </w:p>
        </w:tc>
        <w:tc>
          <w:tcPr>
            <w:tcW w:w="1020" w:type="dxa"/>
            <w:gridSpan w:val="2"/>
            <w:tcBorders>
              <w:top w:val="nil"/>
              <w:left w:val="nil"/>
              <w:bottom w:val="nil"/>
              <w:right w:val="nil"/>
            </w:tcBorders>
            <w:noWrap/>
            <w:vAlign w:val="bottom"/>
            <w:hideMark/>
          </w:tcPr>
          <w:p w14:paraId="7BF71789"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26.3%</w:t>
            </w:r>
          </w:p>
        </w:tc>
      </w:tr>
      <w:tr w:rsidR="00391A36" w:rsidRPr="0053499C" w14:paraId="330B6A93"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599D0541"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23</w:t>
            </w:r>
          </w:p>
        </w:tc>
        <w:tc>
          <w:tcPr>
            <w:tcW w:w="990" w:type="dxa"/>
            <w:tcBorders>
              <w:top w:val="nil"/>
              <w:left w:val="nil"/>
              <w:bottom w:val="nil"/>
              <w:right w:val="nil"/>
            </w:tcBorders>
            <w:noWrap/>
            <w:vAlign w:val="bottom"/>
            <w:hideMark/>
          </w:tcPr>
          <w:p w14:paraId="77DF82E6"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$33,092 </w:t>
            </w:r>
          </w:p>
        </w:tc>
        <w:tc>
          <w:tcPr>
            <w:tcW w:w="1100" w:type="dxa"/>
            <w:tcBorders>
              <w:top w:val="nil"/>
              <w:left w:val="nil"/>
              <w:bottom w:val="nil"/>
              <w:right w:val="nil"/>
            </w:tcBorders>
            <w:noWrap/>
            <w:vAlign w:val="bottom"/>
            <w:hideMark/>
          </w:tcPr>
          <w:p w14:paraId="54ADAE29"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25FF376F"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$18,092 </w:t>
            </w:r>
          </w:p>
        </w:tc>
        <w:tc>
          <w:tcPr>
            <w:tcW w:w="875" w:type="dxa"/>
            <w:gridSpan w:val="2"/>
            <w:tcBorders>
              <w:top w:val="nil"/>
              <w:left w:val="nil"/>
              <w:bottom w:val="nil"/>
              <w:right w:val="nil"/>
            </w:tcBorders>
            <w:noWrap/>
            <w:vAlign w:val="bottom"/>
            <w:hideMark/>
          </w:tcPr>
          <w:p w14:paraId="4AFE5D5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$55,375 </w:t>
            </w:r>
          </w:p>
        </w:tc>
        <w:tc>
          <w:tcPr>
            <w:tcW w:w="1020" w:type="dxa"/>
            <w:gridSpan w:val="2"/>
            <w:tcBorders>
              <w:top w:val="nil"/>
              <w:left w:val="nil"/>
              <w:bottom w:val="nil"/>
              <w:right w:val="nil"/>
            </w:tcBorders>
            <w:noWrap/>
            <w:vAlign w:val="bottom"/>
            <w:hideMark/>
          </w:tcPr>
          <w:p w14:paraId="1B4EA48D"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27.7%</w:t>
            </w:r>
          </w:p>
        </w:tc>
      </w:tr>
      <w:tr w:rsidR="00391A36" w:rsidRPr="0053499C" w14:paraId="6836E42A"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58044977"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24</w:t>
            </w:r>
          </w:p>
        </w:tc>
        <w:tc>
          <w:tcPr>
            <w:tcW w:w="990" w:type="dxa"/>
            <w:tcBorders>
              <w:top w:val="nil"/>
              <w:left w:val="nil"/>
              <w:bottom w:val="nil"/>
              <w:right w:val="nil"/>
            </w:tcBorders>
            <w:noWrap/>
            <w:vAlign w:val="bottom"/>
            <w:hideMark/>
          </w:tcPr>
          <w:p w14:paraId="37833FAF"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$34,250 </w:t>
            </w:r>
          </w:p>
        </w:tc>
        <w:tc>
          <w:tcPr>
            <w:tcW w:w="1100" w:type="dxa"/>
            <w:tcBorders>
              <w:top w:val="nil"/>
              <w:left w:val="nil"/>
              <w:bottom w:val="nil"/>
              <w:right w:val="nil"/>
            </w:tcBorders>
            <w:noWrap/>
            <w:vAlign w:val="bottom"/>
            <w:hideMark/>
          </w:tcPr>
          <w:p w14:paraId="412EF42A"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4159D60F"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$19,250 </w:t>
            </w:r>
          </w:p>
        </w:tc>
        <w:tc>
          <w:tcPr>
            <w:tcW w:w="875" w:type="dxa"/>
            <w:gridSpan w:val="2"/>
            <w:tcBorders>
              <w:top w:val="nil"/>
              <w:left w:val="nil"/>
              <w:bottom w:val="nil"/>
              <w:right w:val="nil"/>
            </w:tcBorders>
            <w:noWrap/>
            <w:vAlign w:val="bottom"/>
            <w:hideMark/>
          </w:tcPr>
          <w:p w14:paraId="2E75DF62"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$58,186 </w:t>
            </w:r>
          </w:p>
        </w:tc>
        <w:tc>
          <w:tcPr>
            <w:tcW w:w="1020" w:type="dxa"/>
            <w:gridSpan w:val="2"/>
            <w:tcBorders>
              <w:top w:val="nil"/>
              <w:left w:val="nil"/>
              <w:bottom w:val="nil"/>
              <w:right w:val="nil"/>
            </w:tcBorders>
            <w:noWrap/>
            <w:vAlign w:val="bottom"/>
            <w:hideMark/>
          </w:tcPr>
          <w:p w14:paraId="7B077596"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29.1%</w:t>
            </w:r>
          </w:p>
        </w:tc>
      </w:tr>
      <w:tr w:rsidR="00391A36" w:rsidRPr="0053499C" w14:paraId="266BDF9B"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1CDC1606"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25</w:t>
            </w:r>
          </w:p>
        </w:tc>
        <w:tc>
          <w:tcPr>
            <w:tcW w:w="990" w:type="dxa"/>
            <w:tcBorders>
              <w:top w:val="nil"/>
              <w:left w:val="nil"/>
              <w:bottom w:val="nil"/>
              <w:right w:val="nil"/>
            </w:tcBorders>
            <w:noWrap/>
            <w:vAlign w:val="bottom"/>
            <w:hideMark/>
          </w:tcPr>
          <w:p w14:paraId="424593D6"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$35,449 </w:t>
            </w:r>
          </w:p>
        </w:tc>
        <w:tc>
          <w:tcPr>
            <w:tcW w:w="1100" w:type="dxa"/>
            <w:tcBorders>
              <w:top w:val="nil"/>
              <w:left w:val="nil"/>
              <w:bottom w:val="nil"/>
              <w:right w:val="nil"/>
            </w:tcBorders>
            <w:noWrap/>
            <w:vAlign w:val="bottom"/>
            <w:hideMark/>
          </w:tcPr>
          <w:p w14:paraId="0245404E"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35C08F5B"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$20,449 </w:t>
            </w:r>
          </w:p>
        </w:tc>
        <w:tc>
          <w:tcPr>
            <w:tcW w:w="875" w:type="dxa"/>
            <w:gridSpan w:val="2"/>
            <w:tcBorders>
              <w:top w:val="nil"/>
              <w:left w:val="nil"/>
              <w:bottom w:val="nil"/>
              <w:right w:val="nil"/>
            </w:tcBorders>
            <w:noWrap/>
            <w:vAlign w:val="bottom"/>
            <w:hideMark/>
          </w:tcPr>
          <w:p w14:paraId="3748778B"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$60,951 </w:t>
            </w:r>
          </w:p>
        </w:tc>
        <w:tc>
          <w:tcPr>
            <w:tcW w:w="1020" w:type="dxa"/>
            <w:gridSpan w:val="2"/>
            <w:tcBorders>
              <w:top w:val="nil"/>
              <w:left w:val="nil"/>
              <w:bottom w:val="nil"/>
              <w:right w:val="nil"/>
            </w:tcBorders>
            <w:noWrap/>
            <w:vAlign w:val="bottom"/>
            <w:hideMark/>
          </w:tcPr>
          <w:p w14:paraId="721EE609"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30.5%</w:t>
            </w:r>
          </w:p>
        </w:tc>
      </w:tr>
      <w:tr w:rsidR="00391A36" w:rsidRPr="0053499C" w14:paraId="12DD4E81"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136E0C36"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26</w:t>
            </w:r>
          </w:p>
        </w:tc>
        <w:tc>
          <w:tcPr>
            <w:tcW w:w="990" w:type="dxa"/>
            <w:tcBorders>
              <w:top w:val="nil"/>
              <w:left w:val="nil"/>
              <w:bottom w:val="nil"/>
              <w:right w:val="nil"/>
            </w:tcBorders>
            <w:noWrap/>
            <w:vAlign w:val="bottom"/>
            <w:hideMark/>
          </w:tcPr>
          <w:p w14:paraId="7FD7315B"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$36,689 </w:t>
            </w:r>
          </w:p>
        </w:tc>
        <w:tc>
          <w:tcPr>
            <w:tcW w:w="1100" w:type="dxa"/>
            <w:tcBorders>
              <w:top w:val="nil"/>
              <w:left w:val="nil"/>
              <w:bottom w:val="nil"/>
              <w:right w:val="nil"/>
            </w:tcBorders>
            <w:noWrap/>
            <w:vAlign w:val="bottom"/>
            <w:hideMark/>
          </w:tcPr>
          <w:p w14:paraId="7D8D63AB"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3435A1D0"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$21,689 </w:t>
            </w:r>
          </w:p>
        </w:tc>
        <w:tc>
          <w:tcPr>
            <w:tcW w:w="875" w:type="dxa"/>
            <w:gridSpan w:val="2"/>
            <w:tcBorders>
              <w:top w:val="nil"/>
              <w:left w:val="nil"/>
              <w:bottom w:val="nil"/>
              <w:right w:val="nil"/>
            </w:tcBorders>
            <w:noWrap/>
            <w:vAlign w:val="bottom"/>
            <w:hideMark/>
          </w:tcPr>
          <w:p w14:paraId="088D8ACC"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$63,666 </w:t>
            </w:r>
          </w:p>
        </w:tc>
        <w:tc>
          <w:tcPr>
            <w:tcW w:w="1020" w:type="dxa"/>
            <w:gridSpan w:val="2"/>
            <w:tcBorders>
              <w:top w:val="nil"/>
              <w:left w:val="nil"/>
              <w:bottom w:val="nil"/>
              <w:right w:val="nil"/>
            </w:tcBorders>
            <w:noWrap/>
            <w:vAlign w:val="bottom"/>
            <w:hideMark/>
          </w:tcPr>
          <w:p w14:paraId="39126C9B"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31.8%</w:t>
            </w:r>
          </w:p>
        </w:tc>
      </w:tr>
      <w:tr w:rsidR="00391A36" w:rsidRPr="0053499C" w14:paraId="677A9E36"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4F195652"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27</w:t>
            </w:r>
          </w:p>
        </w:tc>
        <w:tc>
          <w:tcPr>
            <w:tcW w:w="990" w:type="dxa"/>
            <w:tcBorders>
              <w:top w:val="nil"/>
              <w:left w:val="nil"/>
              <w:bottom w:val="nil"/>
              <w:right w:val="nil"/>
            </w:tcBorders>
            <w:noWrap/>
            <w:vAlign w:val="bottom"/>
            <w:hideMark/>
          </w:tcPr>
          <w:p w14:paraId="1A116F1E"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$37,974 </w:t>
            </w:r>
          </w:p>
        </w:tc>
        <w:tc>
          <w:tcPr>
            <w:tcW w:w="1100" w:type="dxa"/>
            <w:tcBorders>
              <w:top w:val="nil"/>
              <w:left w:val="nil"/>
              <w:bottom w:val="nil"/>
              <w:right w:val="nil"/>
            </w:tcBorders>
            <w:noWrap/>
            <w:vAlign w:val="bottom"/>
            <w:hideMark/>
          </w:tcPr>
          <w:p w14:paraId="29E097E2"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282F859B"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$22,974 </w:t>
            </w:r>
          </w:p>
        </w:tc>
        <w:tc>
          <w:tcPr>
            <w:tcW w:w="875" w:type="dxa"/>
            <w:gridSpan w:val="2"/>
            <w:tcBorders>
              <w:top w:val="nil"/>
              <w:left w:val="nil"/>
              <w:bottom w:val="nil"/>
              <w:right w:val="nil"/>
            </w:tcBorders>
            <w:noWrap/>
            <w:vAlign w:val="bottom"/>
            <w:hideMark/>
          </w:tcPr>
          <w:p w14:paraId="4225503E"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$66,329 </w:t>
            </w:r>
          </w:p>
        </w:tc>
        <w:tc>
          <w:tcPr>
            <w:tcW w:w="1020" w:type="dxa"/>
            <w:gridSpan w:val="2"/>
            <w:tcBorders>
              <w:top w:val="nil"/>
              <w:left w:val="nil"/>
              <w:bottom w:val="nil"/>
              <w:right w:val="nil"/>
            </w:tcBorders>
            <w:noWrap/>
            <w:vAlign w:val="bottom"/>
            <w:hideMark/>
          </w:tcPr>
          <w:p w14:paraId="2C84388F"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33.2%</w:t>
            </w:r>
          </w:p>
        </w:tc>
      </w:tr>
      <w:tr w:rsidR="00391A36" w:rsidRPr="0053499C" w14:paraId="45056F97"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66147CC5"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28</w:t>
            </w:r>
          </w:p>
        </w:tc>
        <w:tc>
          <w:tcPr>
            <w:tcW w:w="990" w:type="dxa"/>
            <w:tcBorders>
              <w:top w:val="nil"/>
              <w:left w:val="nil"/>
              <w:bottom w:val="nil"/>
              <w:right w:val="nil"/>
            </w:tcBorders>
            <w:noWrap/>
            <w:vAlign w:val="bottom"/>
            <w:hideMark/>
          </w:tcPr>
          <w:p w14:paraId="3B0374C6"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$39,303 </w:t>
            </w:r>
          </w:p>
        </w:tc>
        <w:tc>
          <w:tcPr>
            <w:tcW w:w="1100" w:type="dxa"/>
            <w:tcBorders>
              <w:top w:val="nil"/>
              <w:left w:val="nil"/>
              <w:bottom w:val="nil"/>
              <w:right w:val="nil"/>
            </w:tcBorders>
            <w:noWrap/>
            <w:vAlign w:val="bottom"/>
            <w:hideMark/>
          </w:tcPr>
          <w:p w14:paraId="0EA3964A"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34C95DDD"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$24,303 </w:t>
            </w:r>
          </w:p>
        </w:tc>
        <w:tc>
          <w:tcPr>
            <w:tcW w:w="875" w:type="dxa"/>
            <w:gridSpan w:val="2"/>
            <w:tcBorders>
              <w:top w:val="nil"/>
              <w:left w:val="nil"/>
              <w:bottom w:val="nil"/>
              <w:right w:val="nil"/>
            </w:tcBorders>
            <w:noWrap/>
            <w:vAlign w:val="bottom"/>
            <w:hideMark/>
          </w:tcPr>
          <w:p w14:paraId="2C22BDFB"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$68,938 </w:t>
            </w:r>
          </w:p>
        </w:tc>
        <w:tc>
          <w:tcPr>
            <w:tcW w:w="1020" w:type="dxa"/>
            <w:gridSpan w:val="2"/>
            <w:tcBorders>
              <w:top w:val="nil"/>
              <w:left w:val="nil"/>
              <w:bottom w:val="nil"/>
              <w:right w:val="nil"/>
            </w:tcBorders>
            <w:noWrap/>
            <w:vAlign w:val="bottom"/>
            <w:hideMark/>
          </w:tcPr>
          <w:p w14:paraId="4BDEFFBA"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34.5%</w:t>
            </w:r>
          </w:p>
        </w:tc>
      </w:tr>
      <w:tr w:rsidR="00391A36" w:rsidRPr="0053499C" w14:paraId="46B2ECB4"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7C96D8B5"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29</w:t>
            </w:r>
          </w:p>
        </w:tc>
        <w:tc>
          <w:tcPr>
            <w:tcW w:w="990" w:type="dxa"/>
            <w:tcBorders>
              <w:top w:val="nil"/>
              <w:left w:val="nil"/>
              <w:bottom w:val="nil"/>
              <w:right w:val="nil"/>
            </w:tcBorders>
            <w:noWrap/>
            <w:vAlign w:val="bottom"/>
            <w:hideMark/>
          </w:tcPr>
          <w:p w14:paraId="42048453"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$40,678 </w:t>
            </w:r>
          </w:p>
        </w:tc>
        <w:tc>
          <w:tcPr>
            <w:tcW w:w="1100" w:type="dxa"/>
            <w:tcBorders>
              <w:top w:val="nil"/>
              <w:left w:val="nil"/>
              <w:bottom w:val="nil"/>
              <w:right w:val="nil"/>
            </w:tcBorders>
            <w:noWrap/>
            <w:vAlign w:val="bottom"/>
            <w:hideMark/>
          </w:tcPr>
          <w:p w14:paraId="425545A2"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5C5D3DC1"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$25,678 </w:t>
            </w:r>
          </w:p>
        </w:tc>
        <w:tc>
          <w:tcPr>
            <w:tcW w:w="875" w:type="dxa"/>
            <w:gridSpan w:val="2"/>
            <w:tcBorders>
              <w:top w:val="nil"/>
              <w:left w:val="nil"/>
              <w:bottom w:val="nil"/>
              <w:right w:val="nil"/>
            </w:tcBorders>
            <w:noWrap/>
            <w:vAlign w:val="bottom"/>
            <w:hideMark/>
          </w:tcPr>
          <w:p w14:paraId="0016F028" w14:textId="77777777" w:rsidR="00391A36" w:rsidRPr="0053499C" w:rsidRDefault="00391A36" w:rsidP="00391A36">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$71,489 </w:t>
            </w:r>
          </w:p>
        </w:tc>
        <w:tc>
          <w:tcPr>
            <w:tcW w:w="1020" w:type="dxa"/>
            <w:gridSpan w:val="2"/>
            <w:tcBorders>
              <w:top w:val="nil"/>
              <w:left w:val="nil"/>
              <w:bottom w:val="nil"/>
              <w:right w:val="nil"/>
            </w:tcBorders>
            <w:noWrap/>
            <w:vAlign w:val="bottom"/>
            <w:hideMark/>
          </w:tcPr>
          <w:p w14:paraId="0B07D63F" w14:textId="77777777" w:rsidR="00391A36" w:rsidRPr="0053499C" w:rsidRDefault="00391A36" w:rsidP="00391A36">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35.7%</w:t>
            </w:r>
          </w:p>
        </w:tc>
      </w:tr>
      <w:tr w:rsidR="00391A36" w:rsidRPr="0053499C" w14:paraId="31D9C4B8" w14:textId="77777777" w:rsidTr="00592859">
        <w:trPr>
          <w:gridAfter w:val="1"/>
          <w:wAfter w:w="520" w:type="dxa"/>
          <w:trHeight w:hRule="exact" w:val="173"/>
        </w:trPr>
        <w:tc>
          <w:tcPr>
            <w:tcW w:w="810" w:type="dxa"/>
            <w:tcBorders>
              <w:top w:val="nil"/>
              <w:left w:val="nil"/>
              <w:bottom w:val="nil"/>
              <w:right w:val="nil"/>
            </w:tcBorders>
            <w:noWrap/>
            <w:vAlign w:val="bottom"/>
            <w:hideMark/>
          </w:tcPr>
          <w:p w14:paraId="592F9744" w14:textId="77777777" w:rsidR="00391A36" w:rsidRPr="0053499C" w:rsidRDefault="00391A36" w:rsidP="004F55FC">
            <w:pPr>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30</w:t>
            </w:r>
          </w:p>
        </w:tc>
        <w:tc>
          <w:tcPr>
            <w:tcW w:w="990" w:type="dxa"/>
            <w:tcBorders>
              <w:top w:val="nil"/>
              <w:left w:val="nil"/>
              <w:bottom w:val="nil"/>
              <w:right w:val="nil"/>
            </w:tcBorders>
            <w:noWrap/>
            <w:vAlign w:val="bottom"/>
            <w:hideMark/>
          </w:tcPr>
          <w:p w14:paraId="11CAE638" w14:textId="77777777" w:rsidR="00391A36" w:rsidRPr="0053499C" w:rsidRDefault="00391A36" w:rsidP="004F55FC">
            <w:pPr>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$42,102 </w:t>
            </w:r>
          </w:p>
        </w:tc>
        <w:tc>
          <w:tcPr>
            <w:tcW w:w="1100" w:type="dxa"/>
            <w:tcBorders>
              <w:top w:val="nil"/>
              <w:left w:val="nil"/>
              <w:bottom w:val="nil"/>
              <w:right w:val="nil"/>
            </w:tcBorders>
            <w:noWrap/>
            <w:vAlign w:val="bottom"/>
            <w:hideMark/>
          </w:tcPr>
          <w:p w14:paraId="2FEEB601" w14:textId="77777777" w:rsidR="00391A36" w:rsidRPr="0053499C" w:rsidRDefault="00391A36" w:rsidP="004F55FC">
            <w:pPr>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875" w:type="dxa"/>
            <w:gridSpan w:val="2"/>
            <w:tcBorders>
              <w:top w:val="nil"/>
              <w:left w:val="nil"/>
              <w:bottom w:val="nil"/>
              <w:right w:val="nil"/>
            </w:tcBorders>
            <w:noWrap/>
            <w:vAlign w:val="bottom"/>
            <w:hideMark/>
          </w:tcPr>
          <w:p w14:paraId="73C91F06" w14:textId="77777777" w:rsidR="00391A36" w:rsidRPr="0053499C" w:rsidRDefault="00391A36" w:rsidP="004F55FC">
            <w:pPr>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$27,102 </w:t>
            </w:r>
          </w:p>
        </w:tc>
        <w:tc>
          <w:tcPr>
            <w:tcW w:w="875" w:type="dxa"/>
            <w:gridSpan w:val="2"/>
            <w:tcBorders>
              <w:top w:val="nil"/>
              <w:left w:val="nil"/>
              <w:bottom w:val="nil"/>
              <w:right w:val="nil"/>
            </w:tcBorders>
            <w:noWrap/>
            <w:vAlign w:val="bottom"/>
            <w:hideMark/>
          </w:tcPr>
          <w:p w14:paraId="05B82125" w14:textId="77777777" w:rsidR="00391A36" w:rsidRPr="0053499C" w:rsidRDefault="00391A36" w:rsidP="004F55FC">
            <w:pPr>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$73,983 </w:t>
            </w:r>
          </w:p>
        </w:tc>
        <w:tc>
          <w:tcPr>
            <w:tcW w:w="1020" w:type="dxa"/>
            <w:gridSpan w:val="2"/>
            <w:tcBorders>
              <w:top w:val="nil"/>
              <w:left w:val="nil"/>
              <w:bottom w:val="nil"/>
              <w:right w:val="nil"/>
            </w:tcBorders>
            <w:noWrap/>
            <w:vAlign w:val="bottom"/>
            <w:hideMark/>
          </w:tcPr>
          <w:p w14:paraId="03DC3494" w14:textId="77777777" w:rsidR="00391A36" w:rsidRPr="0053499C" w:rsidRDefault="00391A36" w:rsidP="004F55FC">
            <w:pPr>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37.0%</w:t>
            </w:r>
          </w:p>
        </w:tc>
      </w:tr>
    </w:tbl>
    <w:p w14:paraId="0A5C8E1B" w14:textId="77777777" w:rsidR="004757E2" w:rsidRDefault="004757E2" w:rsidP="004757E2">
      <w:pPr>
        <w:rPr>
          <w:rFonts w:cs="Times New Roman"/>
        </w:rPr>
      </w:pPr>
    </w:p>
    <w:p w14:paraId="1BC44B52" w14:textId="77777777" w:rsidR="004757E2" w:rsidRPr="00124B71" w:rsidRDefault="004757E2" w:rsidP="004757E2">
      <w:pPr>
        <w:rPr>
          <w:rFonts w:cs="Times New Roman"/>
        </w:rPr>
      </w:pPr>
      <w:r w:rsidRPr="00124B71">
        <w:rPr>
          <w:rFonts w:cs="Times New Roman"/>
        </w:rPr>
        <w:t>Residential housing does have a cash-saving value, if financed with a fixed rate mortgage. Over time, the growth in income and rents increases the cost of housing for renters. The inflation of housing costs for renters is greatly lessened for homeowners using a fixed-rate mortgage because their housing costs are effectively frozen at the rate of their ongoing mortgage payment</w:t>
      </w:r>
      <w:r w:rsidR="001858B5">
        <w:rPr>
          <w:rFonts w:cs="Times New Roman"/>
        </w:rPr>
        <w:fldChar w:fldCharType="begin"/>
      </w:r>
      <w:r w:rsidR="00180E6F">
        <w:instrText xml:space="preserve"> XE "</w:instrText>
      </w:r>
      <w:r w:rsidR="00180E6F" w:rsidRPr="00891096">
        <w:rPr>
          <w:rFonts w:cs="Times New Roman"/>
        </w:rPr>
        <w:instrText>mortgage payment</w:instrText>
      </w:r>
      <w:r w:rsidR="00180E6F">
        <w:instrText xml:space="preserve">" </w:instrText>
      </w:r>
      <w:r w:rsidR="001858B5">
        <w:rPr>
          <w:rFonts w:cs="Times New Roman"/>
        </w:rPr>
        <w:fldChar w:fldCharType="end"/>
      </w:r>
      <w:r w:rsidRPr="00124B71">
        <w:rPr>
          <w:rFonts w:cs="Times New Roman"/>
        </w:rPr>
        <w:t>. Other costs, such as property taxes, insurance and maintenance do still rise with inflation, but since the mortgage payment is about two-thirds of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fixing this amount provides a large benefit. Over time, the savings accruing to homeowners from a level housing payment can be quite substantial. Applying the same technique of discounted cashflow analysis</w:t>
      </w:r>
      <w:r w:rsidR="001858B5">
        <w:rPr>
          <w:rFonts w:cs="Times New Roman"/>
        </w:rPr>
        <w:fldChar w:fldCharType="begin"/>
      </w:r>
      <w:r w:rsidR="001A53F8">
        <w:instrText xml:space="preserve"> XE "</w:instrText>
      </w:r>
      <w:r w:rsidR="001A53F8" w:rsidRPr="003F609A">
        <w:rPr>
          <w:rFonts w:cs="Times New Roman"/>
        </w:rPr>
        <w:instrText>discounted cashflow analysis</w:instrText>
      </w:r>
      <w:r w:rsidR="001A53F8">
        <w:instrText xml:space="preserve">" </w:instrText>
      </w:r>
      <w:r w:rsidR="001858B5">
        <w:rPr>
          <w:rFonts w:cs="Times New Roman"/>
        </w:rPr>
        <w:fldChar w:fldCharType="end"/>
      </w:r>
      <w:r w:rsidRPr="00124B71">
        <w:rPr>
          <w:rFonts w:cs="Times New Roman"/>
        </w:rPr>
        <w:t xml:space="preserve">, this savings over time can be evaluated. </w:t>
      </w:r>
    </w:p>
    <w:p w14:paraId="548A5464" w14:textId="77777777" w:rsidR="00A9636F" w:rsidRPr="00124B71" w:rsidRDefault="001C7154" w:rsidP="002A2E21">
      <w:pPr>
        <w:spacing w:before="60"/>
        <w:rPr>
          <w:rFonts w:cs="Times New Roman"/>
        </w:rPr>
      </w:pPr>
      <w:r w:rsidRPr="00124B71">
        <w:rPr>
          <w:rFonts w:cs="Times New Roman"/>
        </w:rPr>
        <w:lastRenderedPageBreak/>
        <w:t>Since the savings grow every year, the value of the inflation premium</w:t>
      </w:r>
      <w:r w:rsidR="001858B5">
        <w:rPr>
          <w:rFonts w:cs="Times New Roman"/>
        </w:rPr>
        <w:fldChar w:fldCharType="begin"/>
      </w:r>
      <w:r w:rsidR="00E84A0F">
        <w:instrText xml:space="preserve"> XE "</w:instrText>
      </w:r>
      <w:r w:rsidR="00E84A0F" w:rsidRPr="00B35B28">
        <w:rPr>
          <w:rFonts w:cs="Times New Roman"/>
        </w:rPr>
        <w:instrText>inflation premium</w:instrText>
      </w:r>
      <w:r w:rsidR="00E84A0F">
        <w:instrText xml:space="preserve">" </w:instrText>
      </w:r>
      <w:r w:rsidR="001858B5">
        <w:rPr>
          <w:rFonts w:cs="Times New Roman"/>
        </w:rPr>
        <w:fldChar w:fldCharType="end"/>
      </w:r>
      <w:r w:rsidRPr="00124B71">
        <w:rPr>
          <w:rFonts w:cs="Times New Roman"/>
        </w:rPr>
        <w:t xml:space="preserve"> grows as the term of ownership is extended, and this premium is not as sensitive to changes in the discount rate</w:t>
      </w:r>
      <w:r w:rsidR="001858B5">
        <w:rPr>
          <w:rFonts w:cs="Times New Roman"/>
        </w:rPr>
        <w:fldChar w:fldCharType="begin"/>
      </w:r>
      <w:r w:rsidR="00180E6F">
        <w:instrText xml:space="preserve"> XE "</w:instrText>
      </w:r>
      <w:r w:rsidR="00180E6F" w:rsidRPr="000C266E">
        <w:rPr>
          <w:rFonts w:cs="Times New Roman"/>
        </w:rPr>
        <w:instrText>discount rate</w:instrText>
      </w:r>
      <w:r w:rsidR="00180E6F">
        <w:instrText xml:space="preserve">" </w:instrText>
      </w:r>
      <w:r w:rsidR="001858B5">
        <w:rPr>
          <w:rFonts w:cs="Times New Roman"/>
        </w:rPr>
        <w:fldChar w:fldCharType="end"/>
      </w:r>
      <w:r w:rsidRPr="00124B71">
        <w:rPr>
          <w:rFonts w:cs="Times New Roman"/>
        </w:rPr>
        <w:t xml:space="preserve"> as is the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premium. </w:t>
      </w:r>
      <w:r w:rsidR="0078378D" w:rsidRPr="00124B71">
        <w:rPr>
          <w:rFonts w:cs="Times New Roman"/>
        </w:rPr>
        <w:t>The premium accruing from the savings on rent can be substantial, but ownership periods vary, and the national average is less than 7 years; therefore, if a buyer pays this premium up front by paying more than the rental equivalent value</w:t>
      </w:r>
      <w:r w:rsidR="001858B5">
        <w:rPr>
          <w:rFonts w:cs="Times New Roman"/>
        </w:rPr>
        <w:fldChar w:fldCharType="begin"/>
      </w:r>
      <w:r w:rsidR="00FF74AC">
        <w:instrText xml:space="preserve"> XE "</w:instrText>
      </w:r>
      <w:r w:rsidR="00FF74AC" w:rsidRPr="002A5D8B">
        <w:rPr>
          <w:rFonts w:cs="Times New Roman"/>
        </w:rPr>
        <w:instrText>rental equivalent value</w:instrText>
      </w:r>
      <w:r w:rsidR="00FF74AC">
        <w:instrText xml:space="preserve">" </w:instrText>
      </w:r>
      <w:r w:rsidR="001858B5">
        <w:rPr>
          <w:rFonts w:cs="Times New Roman"/>
        </w:rPr>
        <w:fldChar w:fldCharType="end"/>
      </w:r>
      <w:r w:rsidR="0078378D" w:rsidRPr="00124B71">
        <w:rPr>
          <w:rFonts w:cs="Times New Roman"/>
        </w:rPr>
        <w:t>, they do not re</w:t>
      </w:r>
      <w:r w:rsidR="00A05139" w:rsidRPr="00124B71">
        <w:rPr>
          <w:rFonts w:cs="Times New Roman"/>
        </w:rPr>
        <w:t xml:space="preserve">ach breakeven for several years. In the early years of the mortgage, the owner who paid in excess of the rental equivalent value actually falls behind the renter in terms of out-of-pocket cash outlays for housing. Over time, as the renter faces yearly increases in rents, the homeowners will eventually be paying less, and the savings will make up for the earlier period of deficit. </w:t>
      </w:r>
    </w:p>
    <w:p w14:paraId="59D464BB" w14:textId="30E718F5" w:rsidR="00A05139" w:rsidRDefault="00A05139" w:rsidP="00A05139">
      <w:pPr>
        <w:pStyle w:val="Caption"/>
      </w:pPr>
      <w:bookmarkStart w:id="73" w:name="_Toc194759343"/>
      <w:bookmarkStart w:id="74" w:name="_Toc238867432"/>
      <w:r>
        <w:t xml:space="preserve">Table </w:t>
      </w:r>
      <w:fldSimple w:instr=" SEQ Table \* ARABIC ">
        <w:r w:rsidR="00493733">
          <w:rPr>
            <w:noProof/>
          </w:rPr>
          <w:t>6</w:t>
        </w:r>
      </w:fldSimple>
      <w:r w:rsidR="00317936">
        <w:t xml:space="preserve">: </w:t>
      </w:r>
      <w:r>
        <w:t>Inflation</w:t>
      </w:r>
      <w:r w:rsidR="001858B5">
        <w:fldChar w:fldCharType="begin"/>
      </w:r>
      <w:r w:rsidR="00E84A0F">
        <w:instrText xml:space="preserve"> XE "</w:instrText>
      </w:r>
      <w:r w:rsidR="00E84A0F" w:rsidRPr="00725B11">
        <w:rPr>
          <w:rFonts w:cs="Times New Roman"/>
        </w:rPr>
        <w:instrText>Inflation</w:instrText>
      </w:r>
      <w:r w:rsidR="00E84A0F">
        <w:instrText xml:space="preserve">" </w:instrText>
      </w:r>
      <w:r w:rsidR="001858B5">
        <w:fldChar w:fldCharType="end"/>
      </w:r>
      <w:r>
        <w:t xml:space="preserve"> Premium from Rental Savings with 7 year Ownership Period</w:t>
      </w:r>
      <w:bookmarkEnd w:id="73"/>
      <w:bookmarkEnd w:id="74"/>
    </w:p>
    <w:tbl>
      <w:tblPr>
        <w:tblW w:w="7193" w:type="dxa"/>
        <w:tblInd w:w="108" w:type="dxa"/>
        <w:tblLook w:val="04A0" w:firstRow="1" w:lastRow="0" w:firstColumn="1" w:lastColumn="0" w:noHBand="0" w:noVBand="1"/>
      </w:tblPr>
      <w:tblGrid>
        <w:gridCol w:w="900"/>
        <w:gridCol w:w="976"/>
        <w:gridCol w:w="1100"/>
        <w:gridCol w:w="804"/>
        <w:gridCol w:w="91"/>
        <w:gridCol w:w="804"/>
        <w:gridCol w:w="95"/>
        <w:gridCol w:w="534"/>
        <w:gridCol w:w="270"/>
        <w:gridCol w:w="186"/>
        <w:gridCol w:w="443"/>
        <w:gridCol w:w="361"/>
        <w:gridCol w:w="629"/>
      </w:tblGrid>
      <w:tr w:rsidR="0078378D" w:rsidRPr="0053499C" w14:paraId="139D664C" w14:textId="77777777" w:rsidTr="00592859">
        <w:trPr>
          <w:trHeight w:hRule="exact" w:val="173"/>
        </w:trPr>
        <w:tc>
          <w:tcPr>
            <w:tcW w:w="900" w:type="dxa"/>
            <w:tcBorders>
              <w:top w:val="nil"/>
              <w:left w:val="nil"/>
              <w:bottom w:val="nil"/>
              <w:right w:val="nil"/>
            </w:tcBorders>
            <w:noWrap/>
            <w:vAlign w:val="bottom"/>
            <w:hideMark/>
          </w:tcPr>
          <w:p w14:paraId="4429430F"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c>
          <w:tcPr>
            <w:tcW w:w="976" w:type="dxa"/>
            <w:tcBorders>
              <w:top w:val="nil"/>
              <w:left w:val="nil"/>
              <w:bottom w:val="nil"/>
              <w:right w:val="nil"/>
            </w:tcBorders>
            <w:noWrap/>
            <w:vAlign w:val="bottom"/>
            <w:hideMark/>
          </w:tcPr>
          <w:p w14:paraId="7DFE6A37"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$200,000 </w:t>
            </w:r>
          </w:p>
        </w:tc>
        <w:tc>
          <w:tcPr>
            <w:tcW w:w="1904" w:type="dxa"/>
            <w:gridSpan w:val="2"/>
            <w:tcBorders>
              <w:top w:val="nil"/>
              <w:left w:val="nil"/>
              <w:bottom w:val="nil"/>
              <w:right w:val="nil"/>
            </w:tcBorders>
            <w:noWrap/>
            <w:vAlign w:val="bottom"/>
            <w:hideMark/>
          </w:tcPr>
          <w:p w14:paraId="243DC308" w14:textId="77777777" w:rsidR="0078378D" w:rsidRPr="0053499C" w:rsidRDefault="0078378D" w:rsidP="004F55FC">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House Price</w:t>
            </w:r>
          </w:p>
        </w:tc>
        <w:tc>
          <w:tcPr>
            <w:tcW w:w="1524" w:type="dxa"/>
            <w:gridSpan w:val="4"/>
            <w:tcBorders>
              <w:top w:val="nil"/>
              <w:left w:val="nil"/>
              <w:bottom w:val="nil"/>
              <w:right w:val="nil"/>
            </w:tcBorders>
            <w:noWrap/>
            <w:vAlign w:val="bottom"/>
            <w:hideMark/>
          </w:tcPr>
          <w:p w14:paraId="706FD7E7" w14:textId="77777777" w:rsidR="0078378D" w:rsidRPr="0053499C" w:rsidRDefault="0078378D" w:rsidP="004F55FC">
            <w:pPr>
              <w:keepNext/>
              <w:keepLines/>
              <w:ind w:firstLine="0"/>
              <w:rPr>
                <w:rFonts w:eastAsia="Times New Roman" w:cs="Times New Roman"/>
                <w:color w:val="000000"/>
                <w:sz w:val="18"/>
                <w:szCs w:val="18"/>
                <w:lang w:bidi="ar-SA"/>
              </w:rPr>
            </w:pPr>
          </w:p>
        </w:tc>
        <w:tc>
          <w:tcPr>
            <w:tcW w:w="899" w:type="dxa"/>
            <w:gridSpan w:val="3"/>
            <w:tcBorders>
              <w:top w:val="nil"/>
              <w:left w:val="nil"/>
              <w:bottom w:val="nil"/>
              <w:right w:val="nil"/>
            </w:tcBorders>
            <w:noWrap/>
            <w:vAlign w:val="bottom"/>
            <w:hideMark/>
          </w:tcPr>
          <w:p w14:paraId="0DBABC7F" w14:textId="77777777" w:rsidR="0078378D" w:rsidRPr="0053499C" w:rsidRDefault="0078378D" w:rsidP="004F55FC">
            <w:pPr>
              <w:keepNext/>
              <w:keepLines/>
              <w:ind w:firstLine="0"/>
              <w:rPr>
                <w:rFonts w:eastAsia="Times New Roman" w:cs="Times New Roman"/>
                <w:color w:val="000000"/>
                <w:sz w:val="18"/>
                <w:szCs w:val="18"/>
                <w:lang w:bidi="ar-SA"/>
              </w:rPr>
            </w:pPr>
          </w:p>
        </w:tc>
        <w:tc>
          <w:tcPr>
            <w:tcW w:w="990" w:type="dxa"/>
            <w:gridSpan w:val="2"/>
            <w:tcBorders>
              <w:top w:val="nil"/>
              <w:left w:val="nil"/>
              <w:bottom w:val="nil"/>
              <w:right w:val="nil"/>
            </w:tcBorders>
            <w:noWrap/>
            <w:vAlign w:val="bottom"/>
            <w:hideMark/>
          </w:tcPr>
          <w:p w14:paraId="4FDE061D"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r>
      <w:tr w:rsidR="0078378D" w:rsidRPr="0053499C" w14:paraId="01C6BDD4" w14:textId="77777777" w:rsidTr="00592859">
        <w:trPr>
          <w:trHeight w:hRule="exact" w:val="173"/>
        </w:trPr>
        <w:tc>
          <w:tcPr>
            <w:tcW w:w="900" w:type="dxa"/>
            <w:tcBorders>
              <w:top w:val="nil"/>
              <w:left w:val="nil"/>
              <w:bottom w:val="nil"/>
              <w:right w:val="nil"/>
            </w:tcBorders>
            <w:noWrap/>
            <w:vAlign w:val="bottom"/>
            <w:hideMark/>
          </w:tcPr>
          <w:p w14:paraId="186A2A55"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c>
          <w:tcPr>
            <w:tcW w:w="976" w:type="dxa"/>
            <w:tcBorders>
              <w:top w:val="nil"/>
              <w:left w:val="nil"/>
              <w:bottom w:val="nil"/>
              <w:right w:val="nil"/>
            </w:tcBorders>
            <w:noWrap/>
            <w:vAlign w:val="bottom"/>
            <w:hideMark/>
          </w:tcPr>
          <w:p w14:paraId="3BE6C59D"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160</w:t>
            </w:r>
          </w:p>
        </w:tc>
        <w:tc>
          <w:tcPr>
            <w:tcW w:w="3428" w:type="dxa"/>
            <w:gridSpan w:val="6"/>
            <w:tcBorders>
              <w:top w:val="nil"/>
              <w:left w:val="nil"/>
              <w:bottom w:val="nil"/>
              <w:right w:val="nil"/>
            </w:tcBorders>
            <w:noWrap/>
            <w:vAlign w:val="bottom"/>
            <w:hideMark/>
          </w:tcPr>
          <w:p w14:paraId="1F37DD7F" w14:textId="77777777" w:rsidR="0078378D" w:rsidRPr="0053499C" w:rsidRDefault="0078378D" w:rsidP="004F55FC">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Price to Rent Ratio</w:t>
            </w:r>
          </w:p>
        </w:tc>
        <w:tc>
          <w:tcPr>
            <w:tcW w:w="899" w:type="dxa"/>
            <w:gridSpan w:val="3"/>
            <w:tcBorders>
              <w:top w:val="nil"/>
              <w:left w:val="nil"/>
              <w:bottom w:val="nil"/>
              <w:right w:val="nil"/>
            </w:tcBorders>
            <w:noWrap/>
            <w:vAlign w:val="bottom"/>
            <w:hideMark/>
          </w:tcPr>
          <w:p w14:paraId="3D391339" w14:textId="77777777" w:rsidR="0078378D" w:rsidRPr="0053499C" w:rsidRDefault="0078378D" w:rsidP="004F55FC">
            <w:pPr>
              <w:keepNext/>
              <w:keepLines/>
              <w:ind w:firstLine="0"/>
              <w:rPr>
                <w:rFonts w:eastAsia="Times New Roman" w:cs="Times New Roman"/>
                <w:color w:val="000000"/>
                <w:sz w:val="18"/>
                <w:szCs w:val="18"/>
                <w:lang w:bidi="ar-SA"/>
              </w:rPr>
            </w:pPr>
          </w:p>
        </w:tc>
        <w:tc>
          <w:tcPr>
            <w:tcW w:w="990" w:type="dxa"/>
            <w:gridSpan w:val="2"/>
            <w:tcBorders>
              <w:top w:val="nil"/>
              <w:left w:val="nil"/>
              <w:bottom w:val="nil"/>
              <w:right w:val="nil"/>
            </w:tcBorders>
            <w:noWrap/>
            <w:vAlign w:val="bottom"/>
            <w:hideMark/>
          </w:tcPr>
          <w:p w14:paraId="51A3537D"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r>
      <w:tr w:rsidR="0078378D" w:rsidRPr="0053499C" w14:paraId="2BA75BFD" w14:textId="77777777" w:rsidTr="00592859">
        <w:trPr>
          <w:trHeight w:hRule="exact" w:val="173"/>
        </w:trPr>
        <w:tc>
          <w:tcPr>
            <w:tcW w:w="900" w:type="dxa"/>
            <w:tcBorders>
              <w:top w:val="nil"/>
              <w:left w:val="nil"/>
              <w:bottom w:val="nil"/>
              <w:right w:val="nil"/>
            </w:tcBorders>
            <w:noWrap/>
            <w:vAlign w:val="bottom"/>
            <w:hideMark/>
          </w:tcPr>
          <w:p w14:paraId="406D1235"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c>
          <w:tcPr>
            <w:tcW w:w="976" w:type="dxa"/>
            <w:tcBorders>
              <w:top w:val="nil"/>
              <w:left w:val="nil"/>
              <w:bottom w:val="nil"/>
              <w:right w:val="nil"/>
            </w:tcBorders>
            <w:noWrap/>
            <w:vAlign w:val="bottom"/>
            <w:hideMark/>
          </w:tcPr>
          <w:p w14:paraId="33604AD5"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3.5%</w:t>
            </w:r>
          </w:p>
        </w:tc>
        <w:tc>
          <w:tcPr>
            <w:tcW w:w="3428" w:type="dxa"/>
            <w:gridSpan w:val="6"/>
            <w:tcBorders>
              <w:top w:val="nil"/>
              <w:left w:val="nil"/>
              <w:bottom w:val="nil"/>
              <w:right w:val="nil"/>
            </w:tcBorders>
            <w:noWrap/>
            <w:vAlign w:val="bottom"/>
            <w:hideMark/>
          </w:tcPr>
          <w:p w14:paraId="1023941D" w14:textId="77777777" w:rsidR="0078378D" w:rsidRPr="0053499C" w:rsidRDefault="0078378D" w:rsidP="004F55FC">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Rate of Rent Increase</w:t>
            </w:r>
          </w:p>
        </w:tc>
        <w:tc>
          <w:tcPr>
            <w:tcW w:w="899" w:type="dxa"/>
            <w:gridSpan w:val="3"/>
            <w:tcBorders>
              <w:top w:val="nil"/>
              <w:left w:val="nil"/>
              <w:bottom w:val="nil"/>
              <w:right w:val="nil"/>
            </w:tcBorders>
            <w:noWrap/>
            <w:vAlign w:val="bottom"/>
            <w:hideMark/>
          </w:tcPr>
          <w:p w14:paraId="3FF5E1FE" w14:textId="77777777" w:rsidR="0078378D" w:rsidRPr="0053499C" w:rsidRDefault="0078378D" w:rsidP="004F55FC">
            <w:pPr>
              <w:keepNext/>
              <w:keepLines/>
              <w:ind w:firstLine="0"/>
              <w:rPr>
                <w:rFonts w:eastAsia="Times New Roman" w:cs="Times New Roman"/>
                <w:color w:val="000000"/>
                <w:sz w:val="18"/>
                <w:szCs w:val="18"/>
                <w:lang w:bidi="ar-SA"/>
              </w:rPr>
            </w:pPr>
          </w:p>
        </w:tc>
        <w:tc>
          <w:tcPr>
            <w:tcW w:w="990" w:type="dxa"/>
            <w:gridSpan w:val="2"/>
            <w:tcBorders>
              <w:top w:val="nil"/>
              <w:left w:val="nil"/>
              <w:bottom w:val="nil"/>
              <w:right w:val="nil"/>
            </w:tcBorders>
            <w:noWrap/>
            <w:vAlign w:val="bottom"/>
            <w:hideMark/>
          </w:tcPr>
          <w:p w14:paraId="56EBB5B9"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r>
      <w:tr w:rsidR="0078378D" w:rsidRPr="0053499C" w14:paraId="1817603E" w14:textId="77777777" w:rsidTr="00592859">
        <w:trPr>
          <w:trHeight w:hRule="exact" w:val="173"/>
        </w:trPr>
        <w:tc>
          <w:tcPr>
            <w:tcW w:w="900" w:type="dxa"/>
            <w:tcBorders>
              <w:top w:val="nil"/>
              <w:left w:val="nil"/>
              <w:bottom w:val="nil"/>
              <w:right w:val="nil"/>
            </w:tcBorders>
            <w:noWrap/>
            <w:vAlign w:val="bottom"/>
            <w:hideMark/>
          </w:tcPr>
          <w:p w14:paraId="4E80D452"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c>
          <w:tcPr>
            <w:tcW w:w="976" w:type="dxa"/>
            <w:tcBorders>
              <w:top w:val="nil"/>
              <w:left w:val="nil"/>
              <w:bottom w:val="nil"/>
              <w:right w:val="nil"/>
            </w:tcBorders>
            <w:noWrap/>
            <w:vAlign w:val="bottom"/>
            <w:hideMark/>
          </w:tcPr>
          <w:p w14:paraId="3F5E3EB5"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8.0%</w:t>
            </w:r>
          </w:p>
        </w:tc>
        <w:tc>
          <w:tcPr>
            <w:tcW w:w="1904" w:type="dxa"/>
            <w:gridSpan w:val="2"/>
            <w:tcBorders>
              <w:top w:val="nil"/>
              <w:left w:val="nil"/>
              <w:bottom w:val="nil"/>
              <w:right w:val="nil"/>
            </w:tcBorders>
            <w:noWrap/>
            <w:vAlign w:val="bottom"/>
            <w:hideMark/>
          </w:tcPr>
          <w:p w14:paraId="1D987555" w14:textId="77777777" w:rsidR="0078378D" w:rsidRPr="0053499C" w:rsidRDefault="0078378D" w:rsidP="004F55FC">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Discount Rate</w:t>
            </w:r>
          </w:p>
        </w:tc>
        <w:tc>
          <w:tcPr>
            <w:tcW w:w="1524" w:type="dxa"/>
            <w:gridSpan w:val="4"/>
            <w:tcBorders>
              <w:top w:val="nil"/>
              <w:left w:val="nil"/>
              <w:bottom w:val="nil"/>
              <w:right w:val="nil"/>
            </w:tcBorders>
            <w:noWrap/>
            <w:vAlign w:val="bottom"/>
            <w:hideMark/>
          </w:tcPr>
          <w:p w14:paraId="7CD9ED9B" w14:textId="77777777" w:rsidR="0078378D" w:rsidRPr="0053499C" w:rsidRDefault="0078378D" w:rsidP="004F55FC">
            <w:pPr>
              <w:keepNext/>
              <w:keepLines/>
              <w:ind w:firstLine="0"/>
              <w:rPr>
                <w:rFonts w:eastAsia="Times New Roman" w:cs="Times New Roman"/>
                <w:color w:val="000000"/>
                <w:sz w:val="18"/>
                <w:szCs w:val="18"/>
                <w:lang w:bidi="ar-SA"/>
              </w:rPr>
            </w:pPr>
          </w:p>
        </w:tc>
        <w:tc>
          <w:tcPr>
            <w:tcW w:w="899" w:type="dxa"/>
            <w:gridSpan w:val="3"/>
            <w:tcBorders>
              <w:top w:val="nil"/>
              <w:left w:val="nil"/>
              <w:bottom w:val="nil"/>
              <w:right w:val="nil"/>
            </w:tcBorders>
            <w:noWrap/>
            <w:vAlign w:val="bottom"/>
            <w:hideMark/>
          </w:tcPr>
          <w:p w14:paraId="4F7D4832" w14:textId="77777777" w:rsidR="0078378D" w:rsidRPr="0053499C" w:rsidRDefault="0078378D" w:rsidP="004F55FC">
            <w:pPr>
              <w:keepNext/>
              <w:keepLines/>
              <w:ind w:firstLine="0"/>
              <w:rPr>
                <w:rFonts w:eastAsia="Times New Roman" w:cs="Times New Roman"/>
                <w:color w:val="000000"/>
                <w:sz w:val="18"/>
                <w:szCs w:val="18"/>
                <w:lang w:bidi="ar-SA"/>
              </w:rPr>
            </w:pPr>
          </w:p>
        </w:tc>
        <w:tc>
          <w:tcPr>
            <w:tcW w:w="990" w:type="dxa"/>
            <w:gridSpan w:val="2"/>
            <w:tcBorders>
              <w:top w:val="nil"/>
              <w:left w:val="nil"/>
              <w:bottom w:val="nil"/>
              <w:right w:val="nil"/>
            </w:tcBorders>
            <w:noWrap/>
            <w:vAlign w:val="bottom"/>
            <w:hideMark/>
          </w:tcPr>
          <w:p w14:paraId="14478DCB"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r>
      <w:tr w:rsidR="0078378D" w:rsidRPr="0053499C" w14:paraId="3484BEA3" w14:textId="77777777" w:rsidTr="00592859">
        <w:trPr>
          <w:trHeight w:hRule="exact" w:val="173"/>
        </w:trPr>
        <w:tc>
          <w:tcPr>
            <w:tcW w:w="900" w:type="dxa"/>
            <w:tcBorders>
              <w:top w:val="nil"/>
              <w:left w:val="nil"/>
              <w:bottom w:val="nil"/>
              <w:right w:val="nil"/>
            </w:tcBorders>
            <w:noWrap/>
            <w:vAlign w:val="bottom"/>
            <w:hideMark/>
          </w:tcPr>
          <w:p w14:paraId="53D3E68A"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c>
          <w:tcPr>
            <w:tcW w:w="976" w:type="dxa"/>
            <w:tcBorders>
              <w:top w:val="nil"/>
              <w:left w:val="nil"/>
              <w:bottom w:val="nil"/>
              <w:right w:val="nil"/>
            </w:tcBorders>
            <w:noWrap/>
            <w:vAlign w:val="bottom"/>
            <w:hideMark/>
          </w:tcPr>
          <w:p w14:paraId="034028EF"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11.6%</w:t>
            </w:r>
          </w:p>
        </w:tc>
        <w:tc>
          <w:tcPr>
            <w:tcW w:w="3428" w:type="dxa"/>
            <w:gridSpan w:val="6"/>
            <w:tcBorders>
              <w:top w:val="nil"/>
              <w:left w:val="nil"/>
              <w:bottom w:val="nil"/>
              <w:right w:val="nil"/>
            </w:tcBorders>
            <w:noWrap/>
            <w:vAlign w:val="bottom"/>
            <w:hideMark/>
          </w:tcPr>
          <w:p w14:paraId="4F6F0269" w14:textId="77777777" w:rsidR="0078378D" w:rsidRPr="0053499C" w:rsidRDefault="0078378D" w:rsidP="004F55FC">
            <w:pPr>
              <w:keepNext/>
              <w:keepLines/>
              <w:ind w:firstLine="0"/>
              <w:rPr>
                <w:rFonts w:eastAsia="Times New Roman" w:cs="Times New Roman"/>
                <w:color w:val="000000"/>
                <w:sz w:val="18"/>
                <w:szCs w:val="18"/>
                <w:lang w:bidi="ar-SA"/>
              </w:rPr>
            </w:pPr>
            <w:r w:rsidRPr="0053499C">
              <w:rPr>
                <w:rFonts w:eastAsia="Times New Roman" w:cs="Times New Roman"/>
                <w:color w:val="000000"/>
                <w:sz w:val="18"/>
                <w:szCs w:val="18"/>
                <w:lang w:bidi="ar-SA"/>
              </w:rPr>
              <w:t>Ownership Premium</w:t>
            </w:r>
          </w:p>
        </w:tc>
        <w:tc>
          <w:tcPr>
            <w:tcW w:w="899" w:type="dxa"/>
            <w:gridSpan w:val="3"/>
            <w:tcBorders>
              <w:top w:val="nil"/>
              <w:left w:val="nil"/>
              <w:bottom w:val="nil"/>
              <w:right w:val="nil"/>
            </w:tcBorders>
            <w:noWrap/>
            <w:vAlign w:val="bottom"/>
            <w:hideMark/>
          </w:tcPr>
          <w:p w14:paraId="70BC48B7" w14:textId="77777777" w:rsidR="0078378D" w:rsidRPr="0053499C" w:rsidRDefault="0078378D" w:rsidP="004F55FC">
            <w:pPr>
              <w:keepNext/>
              <w:keepLines/>
              <w:ind w:firstLine="0"/>
              <w:rPr>
                <w:rFonts w:eastAsia="Times New Roman" w:cs="Times New Roman"/>
                <w:color w:val="000000"/>
                <w:sz w:val="18"/>
                <w:szCs w:val="18"/>
                <w:lang w:bidi="ar-SA"/>
              </w:rPr>
            </w:pPr>
          </w:p>
        </w:tc>
        <w:tc>
          <w:tcPr>
            <w:tcW w:w="990" w:type="dxa"/>
            <w:gridSpan w:val="2"/>
            <w:tcBorders>
              <w:top w:val="nil"/>
              <w:left w:val="nil"/>
              <w:bottom w:val="nil"/>
              <w:right w:val="nil"/>
            </w:tcBorders>
            <w:noWrap/>
            <w:vAlign w:val="bottom"/>
            <w:hideMark/>
          </w:tcPr>
          <w:p w14:paraId="023E8BC5"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r>
      <w:tr w:rsidR="0078378D" w:rsidRPr="0053499C" w14:paraId="0970A906" w14:textId="77777777" w:rsidTr="00592859">
        <w:trPr>
          <w:gridAfter w:val="1"/>
          <w:wAfter w:w="629" w:type="dxa"/>
          <w:trHeight w:hRule="exact" w:val="173"/>
        </w:trPr>
        <w:tc>
          <w:tcPr>
            <w:tcW w:w="900" w:type="dxa"/>
            <w:tcBorders>
              <w:top w:val="nil"/>
              <w:left w:val="nil"/>
              <w:right w:val="nil"/>
            </w:tcBorders>
            <w:noWrap/>
            <w:vAlign w:val="bottom"/>
            <w:hideMark/>
          </w:tcPr>
          <w:p w14:paraId="6392444A"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c>
          <w:tcPr>
            <w:tcW w:w="976" w:type="dxa"/>
            <w:tcBorders>
              <w:top w:val="nil"/>
              <w:left w:val="nil"/>
              <w:right w:val="nil"/>
            </w:tcBorders>
            <w:noWrap/>
            <w:vAlign w:val="bottom"/>
            <w:hideMark/>
          </w:tcPr>
          <w:p w14:paraId="7D52A9E3" w14:textId="77777777" w:rsidR="0078378D" w:rsidRPr="0053499C" w:rsidRDefault="0078378D" w:rsidP="004F55FC">
            <w:pPr>
              <w:keepNext/>
              <w:keepLines/>
              <w:ind w:firstLine="0"/>
              <w:rPr>
                <w:rFonts w:eastAsia="Times New Roman" w:cs="Times New Roman"/>
                <w:color w:val="000000"/>
                <w:sz w:val="18"/>
                <w:szCs w:val="18"/>
                <w:lang w:bidi="ar-SA"/>
              </w:rPr>
            </w:pPr>
          </w:p>
        </w:tc>
        <w:tc>
          <w:tcPr>
            <w:tcW w:w="1904" w:type="dxa"/>
            <w:gridSpan w:val="2"/>
            <w:tcBorders>
              <w:top w:val="nil"/>
              <w:left w:val="nil"/>
              <w:right w:val="nil"/>
            </w:tcBorders>
            <w:noWrap/>
            <w:vAlign w:val="bottom"/>
            <w:hideMark/>
          </w:tcPr>
          <w:p w14:paraId="674C75F4" w14:textId="77777777" w:rsidR="0078378D" w:rsidRPr="0053499C" w:rsidRDefault="0078378D" w:rsidP="004F55FC">
            <w:pPr>
              <w:keepNext/>
              <w:keepLines/>
              <w:ind w:firstLine="0"/>
              <w:rPr>
                <w:rFonts w:eastAsia="Times New Roman" w:cs="Times New Roman"/>
                <w:color w:val="000000"/>
                <w:sz w:val="18"/>
                <w:szCs w:val="18"/>
                <w:lang w:bidi="ar-SA"/>
              </w:rPr>
            </w:pPr>
          </w:p>
        </w:tc>
        <w:tc>
          <w:tcPr>
            <w:tcW w:w="895" w:type="dxa"/>
            <w:gridSpan w:val="2"/>
            <w:tcBorders>
              <w:top w:val="nil"/>
              <w:left w:val="nil"/>
              <w:right w:val="nil"/>
            </w:tcBorders>
            <w:noWrap/>
            <w:vAlign w:val="bottom"/>
            <w:hideMark/>
          </w:tcPr>
          <w:p w14:paraId="7B5601A8" w14:textId="77777777" w:rsidR="0078378D" w:rsidRPr="0053499C" w:rsidRDefault="0078378D" w:rsidP="004F55FC">
            <w:pPr>
              <w:keepNext/>
              <w:keepLines/>
              <w:ind w:firstLine="0"/>
              <w:rPr>
                <w:rFonts w:eastAsia="Times New Roman" w:cs="Times New Roman"/>
                <w:color w:val="000000"/>
                <w:sz w:val="18"/>
                <w:szCs w:val="18"/>
                <w:lang w:bidi="ar-SA"/>
              </w:rPr>
            </w:pPr>
          </w:p>
        </w:tc>
        <w:tc>
          <w:tcPr>
            <w:tcW w:w="899" w:type="dxa"/>
            <w:gridSpan w:val="3"/>
            <w:tcBorders>
              <w:top w:val="nil"/>
              <w:left w:val="nil"/>
              <w:right w:val="nil"/>
            </w:tcBorders>
            <w:noWrap/>
            <w:vAlign w:val="bottom"/>
            <w:hideMark/>
          </w:tcPr>
          <w:p w14:paraId="2D8A7914" w14:textId="77777777" w:rsidR="0078378D" w:rsidRPr="0053499C" w:rsidRDefault="0078378D" w:rsidP="004F55FC">
            <w:pPr>
              <w:keepNext/>
              <w:keepLines/>
              <w:ind w:firstLine="0"/>
              <w:rPr>
                <w:rFonts w:eastAsia="Times New Roman" w:cs="Times New Roman"/>
                <w:color w:val="000000"/>
                <w:sz w:val="18"/>
                <w:szCs w:val="18"/>
                <w:lang w:bidi="ar-SA"/>
              </w:rPr>
            </w:pPr>
          </w:p>
        </w:tc>
        <w:tc>
          <w:tcPr>
            <w:tcW w:w="990" w:type="dxa"/>
            <w:gridSpan w:val="3"/>
            <w:tcBorders>
              <w:top w:val="nil"/>
              <w:left w:val="nil"/>
              <w:right w:val="nil"/>
            </w:tcBorders>
            <w:noWrap/>
            <w:vAlign w:val="bottom"/>
            <w:hideMark/>
          </w:tcPr>
          <w:p w14:paraId="3453AF16"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r>
      <w:tr w:rsidR="0078378D" w:rsidRPr="0053499C" w14:paraId="12CD8B1B" w14:textId="77777777" w:rsidTr="00131E40">
        <w:trPr>
          <w:gridAfter w:val="3"/>
          <w:wAfter w:w="1433" w:type="dxa"/>
        </w:trPr>
        <w:tc>
          <w:tcPr>
            <w:tcW w:w="900" w:type="dxa"/>
            <w:tcBorders>
              <w:top w:val="single" w:sz="4" w:space="0" w:color="auto"/>
              <w:left w:val="nil"/>
              <w:bottom w:val="double" w:sz="4" w:space="0" w:color="auto"/>
              <w:right w:val="nil"/>
            </w:tcBorders>
            <w:vAlign w:val="bottom"/>
            <w:hideMark/>
          </w:tcPr>
          <w:p w14:paraId="42111057"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Year</w:t>
            </w:r>
          </w:p>
        </w:tc>
        <w:tc>
          <w:tcPr>
            <w:tcW w:w="976" w:type="dxa"/>
            <w:tcBorders>
              <w:top w:val="single" w:sz="4" w:space="0" w:color="auto"/>
              <w:left w:val="nil"/>
              <w:bottom w:val="double" w:sz="4" w:space="0" w:color="auto"/>
              <w:right w:val="nil"/>
            </w:tcBorders>
            <w:vAlign w:val="bottom"/>
            <w:hideMark/>
          </w:tcPr>
          <w:p w14:paraId="23ACA62F" w14:textId="77777777" w:rsidR="0078378D" w:rsidRPr="0053499C" w:rsidRDefault="004E00A8"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Annual </w:t>
            </w:r>
            <w:r w:rsidR="0078378D" w:rsidRPr="0053499C">
              <w:rPr>
                <w:rFonts w:eastAsia="Times New Roman" w:cs="Times New Roman"/>
                <w:color w:val="000000"/>
                <w:sz w:val="18"/>
                <w:szCs w:val="18"/>
                <w:lang w:bidi="ar-SA"/>
              </w:rPr>
              <w:t>Rent</w:t>
            </w:r>
          </w:p>
        </w:tc>
        <w:tc>
          <w:tcPr>
            <w:tcW w:w="1100" w:type="dxa"/>
            <w:tcBorders>
              <w:top w:val="single" w:sz="4" w:space="0" w:color="auto"/>
              <w:left w:val="nil"/>
              <w:bottom w:val="double" w:sz="4" w:space="0" w:color="auto"/>
              <w:right w:val="nil"/>
            </w:tcBorders>
            <w:vAlign w:val="bottom"/>
            <w:hideMark/>
          </w:tcPr>
          <w:p w14:paraId="317024FA" w14:textId="77777777" w:rsidR="0078378D" w:rsidRPr="0053499C" w:rsidRDefault="004E00A8"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Annual </w:t>
            </w:r>
            <w:r w:rsidR="0078378D" w:rsidRPr="0053499C">
              <w:rPr>
                <w:rFonts w:eastAsia="Times New Roman" w:cs="Times New Roman"/>
                <w:color w:val="000000"/>
                <w:sz w:val="18"/>
                <w:szCs w:val="18"/>
                <w:lang w:bidi="ar-SA"/>
              </w:rPr>
              <w:t>Ownership Cost</w:t>
            </w:r>
          </w:p>
        </w:tc>
        <w:tc>
          <w:tcPr>
            <w:tcW w:w="895" w:type="dxa"/>
            <w:gridSpan w:val="2"/>
            <w:tcBorders>
              <w:top w:val="single" w:sz="4" w:space="0" w:color="auto"/>
              <w:left w:val="nil"/>
              <w:bottom w:val="double" w:sz="4" w:space="0" w:color="auto"/>
              <w:right w:val="nil"/>
            </w:tcBorders>
            <w:vAlign w:val="bottom"/>
            <w:hideMark/>
          </w:tcPr>
          <w:p w14:paraId="364764BC"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Rent Savings</w:t>
            </w:r>
          </w:p>
        </w:tc>
        <w:tc>
          <w:tcPr>
            <w:tcW w:w="899" w:type="dxa"/>
            <w:gridSpan w:val="2"/>
            <w:tcBorders>
              <w:top w:val="single" w:sz="4" w:space="0" w:color="auto"/>
              <w:left w:val="nil"/>
              <w:bottom w:val="double" w:sz="4" w:space="0" w:color="auto"/>
              <w:right w:val="nil"/>
            </w:tcBorders>
            <w:vAlign w:val="bottom"/>
            <w:hideMark/>
          </w:tcPr>
          <w:p w14:paraId="6BF058EF"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Net Present Value</w:t>
            </w:r>
          </w:p>
        </w:tc>
        <w:tc>
          <w:tcPr>
            <w:tcW w:w="990" w:type="dxa"/>
            <w:gridSpan w:val="3"/>
            <w:tcBorders>
              <w:top w:val="single" w:sz="4" w:space="0" w:color="auto"/>
              <w:left w:val="nil"/>
              <w:bottom w:val="double" w:sz="4" w:space="0" w:color="auto"/>
              <w:right w:val="nil"/>
            </w:tcBorders>
            <w:vAlign w:val="bottom"/>
            <w:hideMark/>
          </w:tcPr>
          <w:p w14:paraId="7E90C474"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Percent of Home Value</w:t>
            </w:r>
          </w:p>
        </w:tc>
      </w:tr>
      <w:tr w:rsidR="0078378D" w:rsidRPr="0053499C" w14:paraId="1A181851" w14:textId="77777777" w:rsidTr="00131E40">
        <w:trPr>
          <w:gridAfter w:val="3"/>
          <w:wAfter w:w="1433" w:type="dxa"/>
          <w:trHeight w:hRule="exact" w:val="288"/>
        </w:trPr>
        <w:tc>
          <w:tcPr>
            <w:tcW w:w="900" w:type="dxa"/>
            <w:tcBorders>
              <w:top w:val="double" w:sz="4" w:space="0" w:color="auto"/>
              <w:left w:val="nil"/>
              <w:bottom w:val="nil"/>
              <w:right w:val="nil"/>
            </w:tcBorders>
            <w:noWrap/>
            <w:vAlign w:val="bottom"/>
            <w:hideMark/>
          </w:tcPr>
          <w:p w14:paraId="725E531D"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w:t>
            </w:r>
          </w:p>
        </w:tc>
        <w:tc>
          <w:tcPr>
            <w:tcW w:w="976" w:type="dxa"/>
            <w:tcBorders>
              <w:top w:val="double" w:sz="4" w:space="0" w:color="auto"/>
              <w:left w:val="nil"/>
              <w:bottom w:val="nil"/>
              <w:right w:val="nil"/>
            </w:tcBorders>
            <w:noWrap/>
            <w:vAlign w:val="bottom"/>
            <w:hideMark/>
          </w:tcPr>
          <w:p w14:paraId="27A7643E"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$15,000 </w:t>
            </w:r>
          </w:p>
        </w:tc>
        <w:tc>
          <w:tcPr>
            <w:tcW w:w="1100" w:type="dxa"/>
            <w:tcBorders>
              <w:top w:val="double" w:sz="4" w:space="0" w:color="auto"/>
              <w:left w:val="nil"/>
              <w:bottom w:val="nil"/>
              <w:right w:val="nil"/>
            </w:tcBorders>
            <w:noWrap/>
            <w:vAlign w:val="bottom"/>
            <w:hideMark/>
          </w:tcPr>
          <w:p w14:paraId="5BBD56CB"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$16,738 </w:t>
            </w:r>
          </w:p>
        </w:tc>
        <w:tc>
          <w:tcPr>
            <w:tcW w:w="895" w:type="dxa"/>
            <w:gridSpan w:val="2"/>
            <w:tcBorders>
              <w:top w:val="double" w:sz="4" w:space="0" w:color="auto"/>
              <w:left w:val="nil"/>
              <w:bottom w:val="nil"/>
              <w:right w:val="nil"/>
            </w:tcBorders>
            <w:noWrap/>
            <w:vAlign w:val="bottom"/>
            <w:hideMark/>
          </w:tcPr>
          <w:p w14:paraId="09B79366"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($1,738)</w:t>
            </w:r>
          </w:p>
        </w:tc>
        <w:tc>
          <w:tcPr>
            <w:tcW w:w="899" w:type="dxa"/>
            <w:gridSpan w:val="2"/>
            <w:tcBorders>
              <w:top w:val="double" w:sz="4" w:space="0" w:color="auto"/>
              <w:left w:val="nil"/>
              <w:bottom w:val="nil"/>
              <w:right w:val="nil"/>
            </w:tcBorders>
            <w:noWrap/>
            <w:vAlign w:val="bottom"/>
            <w:hideMark/>
          </w:tcPr>
          <w:p w14:paraId="629E67E0"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($1,610)</w:t>
            </w:r>
          </w:p>
        </w:tc>
        <w:tc>
          <w:tcPr>
            <w:tcW w:w="990" w:type="dxa"/>
            <w:gridSpan w:val="3"/>
            <w:tcBorders>
              <w:top w:val="double" w:sz="4" w:space="0" w:color="auto"/>
              <w:left w:val="nil"/>
              <w:bottom w:val="nil"/>
              <w:right w:val="nil"/>
            </w:tcBorders>
            <w:noWrap/>
            <w:vAlign w:val="bottom"/>
            <w:hideMark/>
          </w:tcPr>
          <w:p w14:paraId="7203E293" w14:textId="77777777" w:rsidR="0078378D" w:rsidRPr="0053499C" w:rsidRDefault="0078378D" w:rsidP="004F55FC">
            <w:pPr>
              <w:keepNext/>
              <w:keepLines/>
              <w:ind w:firstLine="0"/>
              <w:jc w:val="center"/>
              <w:rPr>
                <w:rFonts w:eastAsia="Times New Roman" w:cs="Times New Roman"/>
                <w:color w:val="000000"/>
                <w:sz w:val="18"/>
                <w:szCs w:val="18"/>
                <w:lang w:bidi="ar-SA"/>
              </w:rPr>
            </w:pPr>
          </w:p>
        </w:tc>
      </w:tr>
      <w:tr w:rsidR="0078378D" w:rsidRPr="0053499C" w14:paraId="3049A1AF" w14:textId="77777777" w:rsidTr="00592859">
        <w:trPr>
          <w:gridAfter w:val="3"/>
          <w:wAfter w:w="1433" w:type="dxa"/>
          <w:trHeight w:hRule="exact" w:val="173"/>
        </w:trPr>
        <w:tc>
          <w:tcPr>
            <w:tcW w:w="900" w:type="dxa"/>
            <w:tcBorders>
              <w:top w:val="nil"/>
              <w:left w:val="nil"/>
              <w:bottom w:val="nil"/>
              <w:right w:val="nil"/>
            </w:tcBorders>
            <w:noWrap/>
            <w:vAlign w:val="bottom"/>
            <w:hideMark/>
          </w:tcPr>
          <w:p w14:paraId="29699918"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w:t>
            </w:r>
          </w:p>
        </w:tc>
        <w:tc>
          <w:tcPr>
            <w:tcW w:w="976" w:type="dxa"/>
            <w:tcBorders>
              <w:top w:val="nil"/>
              <w:left w:val="nil"/>
              <w:bottom w:val="nil"/>
              <w:right w:val="nil"/>
            </w:tcBorders>
            <w:noWrap/>
            <w:vAlign w:val="bottom"/>
            <w:hideMark/>
          </w:tcPr>
          <w:p w14:paraId="5322F400"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$15,525 </w:t>
            </w:r>
          </w:p>
        </w:tc>
        <w:tc>
          <w:tcPr>
            <w:tcW w:w="1100" w:type="dxa"/>
            <w:tcBorders>
              <w:top w:val="nil"/>
              <w:left w:val="nil"/>
              <w:bottom w:val="nil"/>
              <w:right w:val="nil"/>
            </w:tcBorders>
            <w:noWrap/>
            <w:vAlign w:val="bottom"/>
            <w:hideMark/>
          </w:tcPr>
          <w:p w14:paraId="7EF78C5F"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$16,738 </w:t>
            </w:r>
          </w:p>
        </w:tc>
        <w:tc>
          <w:tcPr>
            <w:tcW w:w="895" w:type="dxa"/>
            <w:gridSpan w:val="2"/>
            <w:tcBorders>
              <w:top w:val="nil"/>
              <w:left w:val="nil"/>
              <w:bottom w:val="nil"/>
              <w:right w:val="nil"/>
            </w:tcBorders>
            <w:noWrap/>
            <w:vAlign w:val="bottom"/>
            <w:hideMark/>
          </w:tcPr>
          <w:p w14:paraId="79D119AF"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($1,213)</w:t>
            </w:r>
          </w:p>
        </w:tc>
        <w:tc>
          <w:tcPr>
            <w:tcW w:w="899" w:type="dxa"/>
            <w:gridSpan w:val="2"/>
            <w:tcBorders>
              <w:top w:val="nil"/>
              <w:left w:val="nil"/>
              <w:bottom w:val="nil"/>
              <w:right w:val="nil"/>
            </w:tcBorders>
            <w:noWrap/>
            <w:vAlign w:val="bottom"/>
            <w:hideMark/>
          </w:tcPr>
          <w:p w14:paraId="65D35478"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($2,650)</w:t>
            </w:r>
          </w:p>
        </w:tc>
        <w:tc>
          <w:tcPr>
            <w:tcW w:w="990" w:type="dxa"/>
            <w:gridSpan w:val="3"/>
            <w:tcBorders>
              <w:top w:val="nil"/>
              <w:left w:val="nil"/>
              <w:bottom w:val="nil"/>
              <w:right w:val="nil"/>
            </w:tcBorders>
            <w:noWrap/>
            <w:vAlign w:val="bottom"/>
            <w:hideMark/>
          </w:tcPr>
          <w:p w14:paraId="775C7035"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-1.3%</w:t>
            </w:r>
          </w:p>
        </w:tc>
      </w:tr>
      <w:tr w:rsidR="0078378D" w:rsidRPr="0053499C" w14:paraId="617C8DC5" w14:textId="77777777" w:rsidTr="00592859">
        <w:trPr>
          <w:gridAfter w:val="3"/>
          <w:wAfter w:w="1433" w:type="dxa"/>
          <w:trHeight w:hRule="exact" w:val="173"/>
        </w:trPr>
        <w:tc>
          <w:tcPr>
            <w:tcW w:w="900" w:type="dxa"/>
            <w:tcBorders>
              <w:top w:val="nil"/>
              <w:left w:val="nil"/>
              <w:bottom w:val="nil"/>
              <w:right w:val="nil"/>
            </w:tcBorders>
            <w:noWrap/>
            <w:vAlign w:val="bottom"/>
            <w:hideMark/>
          </w:tcPr>
          <w:p w14:paraId="13CC76CA"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w:t>
            </w:r>
          </w:p>
        </w:tc>
        <w:tc>
          <w:tcPr>
            <w:tcW w:w="976" w:type="dxa"/>
            <w:tcBorders>
              <w:top w:val="nil"/>
              <w:left w:val="nil"/>
              <w:bottom w:val="nil"/>
              <w:right w:val="nil"/>
            </w:tcBorders>
            <w:noWrap/>
            <w:vAlign w:val="bottom"/>
            <w:hideMark/>
          </w:tcPr>
          <w:p w14:paraId="25F5F069"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$16,068 </w:t>
            </w:r>
          </w:p>
        </w:tc>
        <w:tc>
          <w:tcPr>
            <w:tcW w:w="1100" w:type="dxa"/>
            <w:tcBorders>
              <w:top w:val="nil"/>
              <w:left w:val="nil"/>
              <w:bottom w:val="nil"/>
              <w:right w:val="nil"/>
            </w:tcBorders>
            <w:noWrap/>
            <w:vAlign w:val="bottom"/>
            <w:hideMark/>
          </w:tcPr>
          <w:p w14:paraId="6714BB7E"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$16,738 </w:t>
            </w:r>
          </w:p>
        </w:tc>
        <w:tc>
          <w:tcPr>
            <w:tcW w:w="895" w:type="dxa"/>
            <w:gridSpan w:val="2"/>
            <w:tcBorders>
              <w:top w:val="nil"/>
              <w:left w:val="nil"/>
              <w:bottom w:val="nil"/>
              <w:right w:val="nil"/>
            </w:tcBorders>
            <w:noWrap/>
            <w:vAlign w:val="bottom"/>
            <w:hideMark/>
          </w:tcPr>
          <w:p w14:paraId="2169B854"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($670)</w:t>
            </w:r>
          </w:p>
        </w:tc>
        <w:tc>
          <w:tcPr>
            <w:tcW w:w="899" w:type="dxa"/>
            <w:gridSpan w:val="2"/>
            <w:tcBorders>
              <w:top w:val="nil"/>
              <w:left w:val="nil"/>
              <w:bottom w:val="nil"/>
              <w:right w:val="nil"/>
            </w:tcBorders>
            <w:noWrap/>
            <w:vAlign w:val="bottom"/>
            <w:hideMark/>
          </w:tcPr>
          <w:p w14:paraId="6FD1230A"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($3,182)</w:t>
            </w:r>
          </w:p>
        </w:tc>
        <w:tc>
          <w:tcPr>
            <w:tcW w:w="990" w:type="dxa"/>
            <w:gridSpan w:val="3"/>
            <w:tcBorders>
              <w:top w:val="nil"/>
              <w:left w:val="nil"/>
              <w:bottom w:val="nil"/>
              <w:right w:val="nil"/>
            </w:tcBorders>
            <w:noWrap/>
            <w:vAlign w:val="bottom"/>
            <w:hideMark/>
          </w:tcPr>
          <w:p w14:paraId="453A1D22"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-1.6%</w:t>
            </w:r>
          </w:p>
        </w:tc>
      </w:tr>
      <w:tr w:rsidR="0078378D" w:rsidRPr="0053499C" w14:paraId="5D11CA66" w14:textId="77777777" w:rsidTr="00592859">
        <w:trPr>
          <w:gridAfter w:val="3"/>
          <w:wAfter w:w="1433" w:type="dxa"/>
          <w:trHeight w:hRule="exact" w:val="173"/>
        </w:trPr>
        <w:tc>
          <w:tcPr>
            <w:tcW w:w="900" w:type="dxa"/>
            <w:tcBorders>
              <w:top w:val="nil"/>
              <w:left w:val="nil"/>
              <w:bottom w:val="nil"/>
              <w:right w:val="nil"/>
            </w:tcBorders>
            <w:noWrap/>
            <w:vAlign w:val="bottom"/>
            <w:hideMark/>
          </w:tcPr>
          <w:p w14:paraId="0257B867"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3</w:t>
            </w:r>
          </w:p>
        </w:tc>
        <w:tc>
          <w:tcPr>
            <w:tcW w:w="976" w:type="dxa"/>
            <w:tcBorders>
              <w:top w:val="nil"/>
              <w:left w:val="nil"/>
              <w:bottom w:val="nil"/>
              <w:right w:val="nil"/>
            </w:tcBorders>
            <w:noWrap/>
            <w:vAlign w:val="bottom"/>
            <w:hideMark/>
          </w:tcPr>
          <w:p w14:paraId="7A4A083A"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$16,631 </w:t>
            </w:r>
          </w:p>
        </w:tc>
        <w:tc>
          <w:tcPr>
            <w:tcW w:w="1100" w:type="dxa"/>
            <w:tcBorders>
              <w:top w:val="nil"/>
              <w:left w:val="nil"/>
              <w:bottom w:val="nil"/>
              <w:right w:val="nil"/>
            </w:tcBorders>
            <w:noWrap/>
            <w:vAlign w:val="bottom"/>
            <w:hideMark/>
          </w:tcPr>
          <w:p w14:paraId="052A9DD9"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$16,738 </w:t>
            </w:r>
          </w:p>
        </w:tc>
        <w:tc>
          <w:tcPr>
            <w:tcW w:w="895" w:type="dxa"/>
            <w:gridSpan w:val="2"/>
            <w:tcBorders>
              <w:top w:val="nil"/>
              <w:left w:val="nil"/>
              <w:bottom w:val="nil"/>
              <w:right w:val="nil"/>
            </w:tcBorders>
            <w:noWrap/>
            <w:vAlign w:val="bottom"/>
            <w:hideMark/>
          </w:tcPr>
          <w:p w14:paraId="4EF65324"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($108)</w:t>
            </w:r>
          </w:p>
        </w:tc>
        <w:tc>
          <w:tcPr>
            <w:tcW w:w="899" w:type="dxa"/>
            <w:gridSpan w:val="2"/>
            <w:tcBorders>
              <w:top w:val="nil"/>
              <w:left w:val="nil"/>
              <w:bottom w:val="nil"/>
              <w:right w:val="nil"/>
            </w:tcBorders>
            <w:noWrap/>
            <w:vAlign w:val="bottom"/>
            <w:hideMark/>
          </w:tcPr>
          <w:p w14:paraId="5AE06697"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($3,261)</w:t>
            </w:r>
          </w:p>
        </w:tc>
        <w:tc>
          <w:tcPr>
            <w:tcW w:w="990" w:type="dxa"/>
            <w:gridSpan w:val="3"/>
            <w:tcBorders>
              <w:top w:val="nil"/>
              <w:left w:val="nil"/>
              <w:bottom w:val="nil"/>
              <w:right w:val="nil"/>
            </w:tcBorders>
            <w:noWrap/>
            <w:vAlign w:val="bottom"/>
            <w:hideMark/>
          </w:tcPr>
          <w:p w14:paraId="6DCC98E0"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-1.6%</w:t>
            </w:r>
          </w:p>
        </w:tc>
      </w:tr>
      <w:tr w:rsidR="0078378D" w:rsidRPr="0053499C" w14:paraId="3146D0B4" w14:textId="77777777" w:rsidTr="00592859">
        <w:trPr>
          <w:gridAfter w:val="3"/>
          <w:wAfter w:w="1433" w:type="dxa"/>
          <w:trHeight w:hRule="exact" w:val="173"/>
        </w:trPr>
        <w:tc>
          <w:tcPr>
            <w:tcW w:w="900" w:type="dxa"/>
            <w:tcBorders>
              <w:top w:val="nil"/>
              <w:left w:val="nil"/>
              <w:bottom w:val="nil"/>
              <w:right w:val="nil"/>
            </w:tcBorders>
            <w:noWrap/>
            <w:vAlign w:val="bottom"/>
            <w:hideMark/>
          </w:tcPr>
          <w:p w14:paraId="0E8EA305"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4</w:t>
            </w:r>
          </w:p>
        </w:tc>
        <w:tc>
          <w:tcPr>
            <w:tcW w:w="976" w:type="dxa"/>
            <w:tcBorders>
              <w:top w:val="nil"/>
              <w:left w:val="nil"/>
              <w:bottom w:val="nil"/>
              <w:right w:val="nil"/>
            </w:tcBorders>
            <w:noWrap/>
            <w:vAlign w:val="bottom"/>
            <w:hideMark/>
          </w:tcPr>
          <w:p w14:paraId="1110A2E1"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$17,213 </w:t>
            </w:r>
          </w:p>
        </w:tc>
        <w:tc>
          <w:tcPr>
            <w:tcW w:w="1100" w:type="dxa"/>
            <w:tcBorders>
              <w:top w:val="nil"/>
              <w:left w:val="nil"/>
              <w:bottom w:val="nil"/>
              <w:right w:val="nil"/>
            </w:tcBorders>
            <w:noWrap/>
            <w:vAlign w:val="bottom"/>
            <w:hideMark/>
          </w:tcPr>
          <w:p w14:paraId="46453DB9"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$16,738 </w:t>
            </w:r>
          </w:p>
        </w:tc>
        <w:tc>
          <w:tcPr>
            <w:tcW w:w="895" w:type="dxa"/>
            <w:gridSpan w:val="2"/>
            <w:tcBorders>
              <w:top w:val="nil"/>
              <w:left w:val="nil"/>
              <w:bottom w:val="nil"/>
              <w:right w:val="nil"/>
            </w:tcBorders>
            <w:noWrap/>
            <w:vAlign w:val="bottom"/>
            <w:hideMark/>
          </w:tcPr>
          <w:p w14:paraId="695DAD95"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 xml:space="preserve">$474 </w:t>
            </w:r>
          </w:p>
        </w:tc>
        <w:tc>
          <w:tcPr>
            <w:tcW w:w="899" w:type="dxa"/>
            <w:gridSpan w:val="2"/>
            <w:tcBorders>
              <w:top w:val="nil"/>
              <w:left w:val="nil"/>
              <w:bottom w:val="nil"/>
              <w:right w:val="nil"/>
            </w:tcBorders>
            <w:noWrap/>
            <w:vAlign w:val="bottom"/>
            <w:hideMark/>
          </w:tcPr>
          <w:p w14:paraId="49D922FE"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($2,938)</w:t>
            </w:r>
          </w:p>
        </w:tc>
        <w:tc>
          <w:tcPr>
            <w:tcW w:w="990" w:type="dxa"/>
            <w:gridSpan w:val="3"/>
            <w:tcBorders>
              <w:top w:val="nil"/>
              <w:left w:val="nil"/>
              <w:bottom w:val="nil"/>
              <w:right w:val="nil"/>
            </w:tcBorders>
            <w:noWrap/>
            <w:vAlign w:val="bottom"/>
            <w:hideMark/>
          </w:tcPr>
          <w:p w14:paraId="2A203966"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-1.5%</w:t>
            </w:r>
          </w:p>
        </w:tc>
      </w:tr>
      <w:tr w:rsidR="0078378D" w:rsidRPr="0053499C" w14:paraId="3AFEB593" w14:textId="77777777" w:rsidTr="00592859">
        <w:trPr>
          <w:gridAfter w:val="3"/>
          <w:wAfter w:w="1433" w:type="dxa"/>
          <w:trHeight w:hRule="exact" w:val="173"/>
        </w:trPr>
        <w:tc>
          <w:tcPr>
            <w:tcW w:w="900" w:type="dxa"/>
            <w:tcBorders>
              <w:top w:val="nil"/>
              <w:left w:val="nil"/>
              <w:bottom w:val="nil"/>
              <w:right w:val="nil"/>
            </w:tcBorders>
            <w:noWrap/>
            <w:vAlign w:val="bottom"/>
            <w:hideMark/>
          </w:tcPr>
          <w:p w14:paraId="04C14A48"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5</w:t>
            </w:r>
          </w:p>
        </w:tc>
        <w:tc>
          <w:tcPr>
            <w:tcW w:w="976" w:type="dxa"/>
            <w:tcBorders>
              <w:top w:val="nil"/>
              <w:left w:val="nil"/>
              <w:bottom w:val="nil"/>
              <w:right w:val="nil"/>
            </w:tcBorders>
            <w:noWrap/>
            <w:vAlign w:val="bottom"/>
            <w:hideMark/>
          </w:tcPr>
          <w:p w14:paraId="064B6B2D"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$17,815 </w:t>
            </w:r>
          </w:p>
        </w:tc>
        <w:tc>
          <w:tcPr>
            <w:tcW w:w="1100" w:type="dxa"/>
            <w:tcBorders>
              <w:top w:val="nil"/>
              <w:left w:val="nil"/>
              <w:bottom w:val="nil"/>
              <w:right w:val="nil"/>
            </w:tcBorders>
            <w:noWrap/>
            <w:vAlign w:val="bottom"/>
            <w:hideMark/>
          </w:tcPr>
          <w:p w14:paraId="165B479C"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$16,738 </w:t>
            </w:r>
          </w:p>
        </w:tc>
        <w:tc>
          <w:tcPr>
            <w:tcW w:w="895" w:type="dxa"/>
            <w:gridSpan w:val="2"/>
            <w:tcBorders>
              <w:top w:val="nil"/>
              <w:left w:val="nil"/>
              <w:bottom w:val="nil"/>
              <w:right w:val="nil"/>
            </w:tcBorders>
            <w:noWrap/>
            <w:vAlign w:val="bottom"/>
            <w:hideMark/>
          </w:tcPr>
          <w:p w14:paraId="46D6F03B"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 xml:space="preserve">$1,077 </w:t>
            </w:r>
          </w:p>
        </w:tc>
        <w:tc>
          <w:tcPr>
            <w:tcW w:w="899" w:type="dxa"/>
            <w:gridSpan w:val="2"/>
            <w:tcBorders>
              <w:top w:val="nil"/>
              <w:left w:val="nil"/>
              <w:bottom w:val="nil"/>
              <w:right w:val="nil"/>
            </w:tcBorders>
            <w:noWrap/>
            <w:vAlign w:val="bottom"/>
            <w:hideMark/>
          </w:tcPr>
          <w:p w14:paraId="3ECAE8FE"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($2,260)</w:t>
            </w:r>
          </w:p>
        </w:tc>
        <w:tc>
          <w:tcPr>
            <w:tcW w:w="990" w:type="dxa"/>
            <w:gridSpan w:val="3"/>
            <w:tcBorders>
              <w:top w:val="nil"/>
              <w:left w:val="nil"/>
              <w:bottom w:val="nil"/>
              <w:right w:val="nil"/>
            </w:tcBorders>
            <w:noWrap/>
            <w:vAlign w:val="bottom"/>
            <w:hideMark/>
          </w:tcPr>
          <w:p w14:paraId="09591EC9"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-1.1%</w:t>
            </w:r>
          </w:p>
        </w:tc>
      </w:tr>
      <w:tr w:rsidR="0078378D" w:rsidRPr="0053499C" w14:paraId="7498F508" w14:textId="77777777" w:rsidTr="00592859">
        <w:trPr>
          <w:gridAfter w:val="3"/>
          <w:wAfter w:w="1433" w:type="dxa"/>
          <w:trHeight w:hRule="exact" w:val="173"/>
        </w:trPr>
        <w:tc>
          <w:tcPr>
            <w:tcW w:w="900" w:type="dxa"/>
            <w:tcBorders>
              <w:top w:val="nil"/>
              <w:left w:val="nil"/>
              <w:bottom w:val="nil"/>
              <w:right w:val="nil"/>
            </w:tcBorders>
            <w:noWrap/>
            <w:vAlign w:val="bottom"/>
            <w:hideMark/>
          </w:tcPr>
          <w:p w14:paraId="588896DA"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6</w:t>
            </w:r>
          </w:p>
        </w:tc>
        <w:tc>
          <w:tcPr>
            <w:tcW w:w="976" w:type="dxa"/>
            <w:tcBorders>
              <w:top w:val="nil"/>
              <w:left w:val="nil"/>
              <w:bottom w:val="nil"/>
              <w:right w:val="nil"/>
            </w:tcBorders>
            <w:noWrap/>
            <w:vAlign w:val="bottom"/>
            <w:hideMark/>
          </w:tcPr>
          <w:p w14:paraId="0B1009DB"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$18,439 </w:t>
            </w:r>
          </w:p>
        </w:tc>
        <w:tc>
          <w:tcPr>
            <w:tcW w:w="1100" w:type="dxa"/>
            <w:tcBorders>
              <w:top w:val="nil"/>
              <w:left w:val="nil"/>
              <w:bottom w:val="nil"/>
              <w:right w:val="nil"/>
            </w:tcBorders>
            <w:noWrap/>
            <w:vAlign w:val="bottom"/>
            <w:hideMark/>
          </w:tcPr>
          <w:p w14:paraId="0156D62D"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$16,738 </w:t>
            </w:r>
          </w:p>
        </w:tc>
        <w:tc>
          <w:tcPr>
            <w:tcW w:w="895" w:type="dxa"/>
            <w:gridSpan w:val="2"/>
            <w:tcBorders>
              <w:top w:val="nil"/>
              <w:left w:val="nil"/>
              <w:bottom w:val="nil"/>
              <w:right w:val="nil"/>
            </w:tcBorders>
            <w:noWrap/>
            <w:vAlign w:val="bottom"/>
            <w:hideMark/>
          </w:tcPr>
          <w:p w14:paraId="7B6337FD"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 xml:space="preserve">$1,700 </w:t>
            </w:r>
          </w:p>
        </w:tc>
        <w:tc>
          <w:tcPr>
            <w:tcW w:w="899" w:type="dxa"/>
            <w:gridSpan w:val="2"/>
            <w:tcBorders>
              <w:top w:val="nil"/>
              <w:left w:val="nil"/>
              <w:bottom w:val="nil"/>
              <w:right w:val="nil"/>
            </w:tcBorders>
            <w:noWrap/>
            <w:vAlign w:val="bottom"/>
            <w:hideMark/>
          </w:tcPr>
          <w:p w14:paraId="2867D53B"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($1,267)</w:t>
            </w:r>
          </w:p>
        </w:tc>
        <w:tc>
          <w:tcPr>
            <w:tcW w:w="990" w:type="dxa"/>
            <w:gridSpan w:val="3"/>
            <w:tcBorders>
              <w:top w:val="nil"/>
              <w:left w:val="nil"/>
              <w:bottom w:val="nil"/>
              <w:right w:val="nil"/>
            </w:tcBorders>
            <w:noWrap/>
            <w:vAlign w:val="bottom"/>
            <w:hideMark/>
          </w:tcPr>
          <w:p w14:paraId="326C0217"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-0.6%</w:t>
            </w:r>
          </w:p>
        </w:tc>
      </w:tr>
      <w:tr w:rsidR="0078378D" w:rsidRPr="0053499C" w14:paraId="61C7B105" w14:textId="77777777" w:rsidTr="0085224C">
        <w:trPr>
          <w:gridAfter w:val="3"/>
          <w:wAfter w:w="1433" w:type="dxa"/>
          <w:trHeight w:hRule="exact" w:val="173"/>
        </w:trPr>
        <w:tc>
          <w:tcPr>
            <w:tcW w:w="900" w:type="dxa"/>
            <w:tcBorders>
              <w:top w:val="nil"/>
              <w:left w:val="nil"/>
              <w:bottom w:val="nil"/>
              <w:right w:val="nil"/>
            </w:tcBorders>
            <w:shd w:val="clear" w:color="auto" w:fill="D9D9D9" w:themeFill="background1" w:themeFillShade="D9"/>
            <w:noWrap/>
            <w:vAlign w:val="bottom"/>
            <w:hideMark/>
          </w:tcPr>
          <w:p w14:paraId="2AFD3B74"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7</w:t>
            </w:r>
          </w:p>
        </w:tc>
        <w:tc>
          <w:tcPr>
            <w:tcW w:w="976" w:type="dxa"/>
            <w:tcBorders>
              <w:top w:val="nil"/>
              <w:left w:val="nil"/>
              <w:bottom w:val="nil"/>
              <w:right w:val="nil"/>
            </w:tcBorders>
            <w:shd w:val="clear" w:color="auto" w:fill="D9D9D9" w:themeFill="background1" w:themeFillShade="D9"/>
            <w:noWrap/>
            <w:vAlign w:val="bottom"/>
            <w:hideMark/>
          </w:tcPr>
          <w:p w14:paraId="4FDE9B3E"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$19,084 </w:t>
            </w:r>
          </w:p>
        </w:tc>
        <w:tc>
          <w:tcPr>
            <w:tcW w:w="1100" w:type="dxa"/>
            <w:tcBorders>
              <w:top w:val="nil"/>
              <w:left w:val="nil"/>
              <w:bottom w:val="nil"/>
              <w:right w:val="nil"/>
            </w:tcBorders>
            <w:shd w:val="clear" w:color="auto" w:fill="D9D9D9" w:themeFill="background1" w:themeFillShade="D9"/>
            <w:noWrap/>
            <w:vAlign w:val="bottom"/>
            <w:hideMark/>
          </w:tcPr>
          <w:p w14:paraId="29F68C04"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$16,738 </w:t>
            </w:r>
          </w:p>
        </w:tc>
        <w:tc>
          <w:tcPr>
            <w:tcW w:w="895" w:type="dxa"/>
            <w:gridSpan w:val="2"/>
            <w:tcBorders>
              <w:top w:val="nil"/>
              <w:left w:val="nil"/>
              <w:bottom w:val="nil"/>
              <w:right w:val="nil"/>
            </w:tcBorders>
            <w:shd w:val="clear" w:color="auto" w:fill="D9D9D9" w:themeFill="background1" w:themeFillShade="D9"/>
            <w:noWrap/>
            <w:vAlign w:val="bottom"/>
            <w:hideMark/>
          </w:tcPr>
          <w:p w14:paraId="72663DE8"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 xml:space="preserve">$2,346 </w:t>
            </w:r>
          </w:p>
        </w:tc>
        <w:tc>
          <w:tcPr>
            <w:tcW w:w="899" w:type="dxa"/>
            <w:gridSpan w:val="2"/>
            <w:tcBorders>
              <w:top w:val="nil"/>
              <w:left w:val="nil"/>
              <w:bottom w:val="nil"/>
              <w:right w:val="nil"/>
            </w:tcBorders>
            <w:shd w:val="clear" w:color="auto" w:fill="D9D9D9" w:themeFill="background1" w:themeFillShade="D9"/>
            <w:noWrap/>
            <w:vAlign w:val="bottom"/>
            <w:hideMark/>
          </w:tcPr>
          <w:p w14:paraId="5761DFEC" w14:textId="77777777" w:rsidR="0078378D" w:rsidRPr="0053499C" w:rsidRDefault="0078378D" w:rsidP="004F55FC">
            <w:pPr>
              <w:keepNext/>
              <w:keepLines/>
              <w:ind w:firstLine="0"/>
              <w:jc w:val="right"/>
              <w:rPr>
                <w:rFonts w:eastAsia="Times New Roman" w:cs="Times New Roman"/>
                <w:sz w:val="18"/>
                <w:szCs w:val="18"/>
                <w:lang w:bidi="ar-SA"/>
              </w:rPr>
            </w:pPr>
            <w:r w:rsidRPr="0053499C">
              <w:rPr>
                <w:rFonts w:eastAsia="Times New Roman" w:cs="Times New Roman"/>
                <w:sz w:val="18"/>
                <w:szCs w:val="18"/>
                <w:lang w:bidi="ar-SA"/>
              </w:rPr>
              <w:t>($0)</w:t>
            </w:r>
          </w:p>
        </w:tc>
        <w:tc>
          <w:tcPr>
            <w:tcW w:w="990" w:type="dxa"/>
            <w:gridSpan w:val="3"/>
            <w:tcBorders>
              <w:top w:val="nil"/>
              <w:left w:val="nil"/>
              <w:bottom w:val="nil"/>
              <w:right w:val="nil"/>
            </w:tcBorders>
            <w:shd w:val="clear" w:color="auto" w:fill="D9D9D9" w:themeFill="background1" w:themeFillShade="D9"/>
            <w:noWrap/>
            <w:vAlign w:val="bottom"/>
            <w:hideMark/>
          </w:tcPr>
          <w:p w14:paraId="60D83720"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0.0%</w:t>
            </w:r>
          </w:p>
        </w:tc>
      </w:tr>
      <w:tr w:rsidR="0078378D" w:rsidRPr="0053499C" w14:paraId="10E0380C" w14:textId="77777777" w:rsidTr="00592859">
        <w:trPr>
          <w:gridAfter w:val="3"/>
          <w:wAfter w:w="1433" w:type="dxa"/>
          <w:trHeight w:hRule="exact" w:val="173"/>
        </w:trPr>
        <w:tc>
          <w:tcPr>
            <w:tcW w:w="900" w:type="dxa"/>
            <w:tcBorders>
              <w:top w:val="nil"/>
              <w:left w:val="nil"/>
              <w:bottom w:val="nil"/>
              <w:right w:val="nil"/>
            </w:tcBorders>
            <w:noWrap/>
            <w:vAlign w:val="bottom"/>
            <w:hideMark/>
          </w:tcPr>
          <w:p w14:paraId="44DF0A52"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8</w:t>
            </w:r>
          </w:p>
        </w:tc>
        <w:tc>
          <w:tcPr>
            <w:tcW w:w="976" w:type="dxa"/>
            <w:tcBorders>
              <w:top w:val="nil"/>
              <w:left w:val="nil"/>
              <w:bottom w:val="nil"/>
              <w:right w:val="nil"/>
            </w:tcBorders>
            <w:noWrap/>
            <w:vAlign w:val="bottom"/>
            <w:hideMark/>
          </w:tcPr>
          <w:p w14:paraId="3B9BCF25"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$19,752 </w:t>
            </w:r>
          </w:p>
        </w:tc>
        <w:tc>
          <w:tcPr>
            <w:tcW w:w="1100" w:type="dxa"/>
            <w:tcBorders>
              <w:top w:val="nil"/>
              <w:left w:val="nil"/>
              <w:bottom w:val="nil"/>
              <w:right w:val="nil"/>
            </w:tcBorders>
            <w:noWrap/>
            <w:vAlign w:val="bottom"/>
            <w:hideMark/>
          </w:tcPr>
          <w:p w14:paraId="636692BC"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$16,738 </w:t>
            </w:r>
          </w:p>
        </w:tc>
        <w:tc>
          <w:tcPr>
            <w:tcW w:w="895" w:type="dxa"/>
            <w:gridSpan w:val="2"/>
            <w:tcBorders>
              <w:top w:val="nil"/>
              <w:left w:val="nil"/>
              <w:bottom w:val="nil"/>
              <w:right w:val="nil"/>
            </w:tcBorders>
            <w:noWrap/>
            <w:vAlign w:val="bottom"/>
            <w:hideMark/>
          </w:tcPr>
          <w:p w14:paraId="71181D65"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$3,014 </w:t>
            </w:r>
          </w:p>
        </w:tc>
        <w:tc>
          <w:tcPr>
            <w:tcW w:w="899" w:type="dxa"/>
            <w:gridSpan w:val="2"/>
            <w:tcBorders>
              <w:top w:val="nil"/>
              <w:left w:val="nil"/>
              <w:bottom w:val="nil"/>
              <w:right w:val="nil"/>
            </w:tcBorders>
            <w:noWrap/>
            <w:vAlign w:val="bottom"/>
            <w:hideMark/>
          </w:tcPr>
          <w:p w14:paraId="452CA97F"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$1,508 </w:t>
            </w:r>
          </w:p>
        </w:tc>
        <w:tc>
          <w:tcPr>
            <w:tcW w:w="990" w:type="dxa"/>
            <w:gridSpan w:val="3"/>
            <w:tcBorders>
              <w:top w:val="nil"/>
              <w:left w:val="nil"/>
              <w:bottom w:val="nil"/>
              <w:right w:val="nil"/>
            </w:tcBorders>
            <w:noWrap/>
            <w:vAlign w:val="bottom"/>
            <w:hideMark/>
          </w:tcPr>
          <w:p w14:paraId="5D6F4613"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0.8%</w:t>
            </w:r>
          </w:p>
        </w:tc>
      </w:tr>
      <w:tr w:rsidR="0078378D" w:rsidRPr="0053499C" w14:paraId="63789213" w14:textId="77777777" w:rsidTr="00592859">
        <w:trPr>
          <w:gridAfter w:val="3"/>
          <w:wAfter w:w="1433" w:type="dxa"/>
          <w:trHeight w:hRule="exact" w:val="173"/>
        </w:trPr>
        <w:tc>
          <w:tcPr>
            <w:tcW w:w="900" w:type="dxa"/>
            <w:tcBorders>
              <w:top w:val="nil"/>
              <w:left w:val="nil"/>
              <w:bottom w:val="nil"/>
              <w:right w:val="nil"/>
            </w:tcBorders>
            <w:noWrap/>
            <w:vAlign w:val="bottom"/>
            <w:hideMark/>
          </w:tcPr>
          <w:p w14:paraId="04D2E27B"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9</w:t>
            </w:r>
          </w:p>
        </w:tc>
        <w:tc>
          <w:tcPr>
            <w:tcW w:w="976" w:type="dxa"/>
            <w:tcBorders>
              <w:top w:val="nil"/>
              <w:left w:val="nil"/>
              <w:bottom w:val="nil"/>
              <w:right w:val="nil"/>
            </w:tcBorders>
            <w:noWrap/>
            <w:vAlign w:val="bottom"/>
            <w:hideMark/>
          </w:tcPr>
          <w:p w14:paraId="29472C0D"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$20,443 </w:t>
            </w:r>
          </w:p>
        </w:tc>
        <w:tc>
          <w:tcPr>
            <w:tcW w:w="1100" w:type="dxa"/>
            <w:tcBorders>
              <w:top w:val="nil"/>
              <w:left w:val="nil"/>
              <w:bottom w:val="nil"/>
              <w:right w:val="nil"/>
            </w:tcBorders>
            <w:noWrap/>
            <w:vAlign w:val="bottom"/>
            <w:hideMark/>
          </w:tcPr>
          <w:p w14:paraId="2A71BE60"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$16,738 </w:t>
            </w:r>
          </w:p>
        </w:tc>
        <w:tc>
          <w:tcPr>
            <w:tcW w:w="895" w:type="dxa"/>
            <w:gridSpan w:val="2"/>
            <w:tcBorders>
              <w:top w:val="nil"/>
              <w:left w:val="nil"/>
              <w:bottom w:val="nil"/>
              <w:right w:val="nil"/>
            </w:tcBorders>
            <w:noWrap/>
            <w:vAlign w:val="bottom"/>
            <w:hideMark/>
          </w:tcPr>
          <w:p w14:paraId="68A11F92"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$3,705 </w:t>
            </w:r>
          </w:p>
        </w:tc>
        <w:tc>
          <w:tcPr>
            <w:tcW w:w="899" w:type="dxa"/>
            <w:gridSpan w:val="2"/>
            <w:tcBorders>
              <w:top w:val="nil"/>
              <w:left w:val="nil"/>
              <w:bottom w:val="nil"/>
              <w:right w:val="nil"/>
            </w:tcBorders>
            <w:noWrap/>
            <w:vAlign w:val="bottom"/>
            <w:hideMark/>
          </w:tcPr>
          <w:p w14:paraId="084514CF"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$3,224 </w:t>
            </w:r>
          </w:p>
        </w:tc>
        <w:tc>
          <w:tcPr>
            <w:tcW w:w="990" w:type="dxa"/>
            <w:gridSpan w:val="3"/>
            <w:tcBorders>
              <w:top w:val="nil"/>
              <w:left w:val="nil"/>
              <w:bottom w:val="nil"/>
              <w:right w:val="nil"/>
            </w:tcBorders>
            <w:noWrap/>
            <w:vAlign w:val="bottom"/>
            <w:hideMark/>
          </w:tcPr>
          <w:p w14:paraId="5D3C0AD6"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1.6%</w:t>
            </w:r>
          </w:p>
        </w:tc>
      </w:tr>
      <w:tr w:rsidR="0078378D" w:rsidRPr="0053499C" w14:paraId="75B14D03" w14:textId="77777777" w:rsidTr="00592859">
        <w:trPr>
          <w:gridAfter w:val="3"/>
          <w:wAfter w:w="1433" w:type="dxa"/>
          <w:trHeight w:hRule="exact" w:val="173"/>
        </w:trPr>
        <w:tc>
          <w:tcPr>
            <w:tcW w:w="900" w:type="dxa"/>
            <w:tcBorders>
              <w:top w:val="nil"/>
              <w:left w:val="nil"/>
              <w:bottom w:val="nil"/>
              <w:right w:val="nil"/>
            </w:tcBorders>
            <w:noWrap/>
            <w:vAlign w:val="bottom"/>
            <w:hideMark/>
          </w:tcPr>
          <w:p w14:paraId="2388D70B"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10</w:t>
            </w:r>
          </w:p>
        </w:tc>
        <w:tc>
          <w:tcPr>
            <w:tcW w:w="976" w:type="dxa"/>
            <w:tcBorders>
              <w:top w:val="nil"/>
              <w:left w:val="nil"/>
              <w:bottom w:val="nil"/>
              <w:right w:val="nil"/>
            </w:tcBorders>
            <w:noWrap/>
            <w:vAlign w:val="bottom"/>
            <w:hideMark/>
          </w:tcPr>
          <w:p w14:paraId="53AE894D"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$21,159 </w:t>
            </w:r>
          </w:p>
        </w:tc>
        <w:tc>
          <w:tcPr>
            <w:tcW w:w="1100" w:type="dxa"/>
            <w:tcBorders>
              <w:top w:val="nil"/>
              <w:left w:val="nil"/>
              <w:bottom w:val="nil"/>
              <w:right w:val="nil"/>
            </w:tcBorders>
            <w:noWrap/>
            <w:vAlign w:val="bottom"/>
            <w:hideMark/>
          </w:tcPr>
          <w:p w14:paraId="69D633AD"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$16,738 </w:t>
            </w:r>
          </w:p>
        </w:tc>
        <w:tc>
          <w:tcPr>
            <w:tcW w:w="895" w:type="dxa"/>
            <w:gridSpan w:val="2"/>
            <w:tcBorders>
              <w:top w:val="nil"/>
              <w:left w:val="nil"/>
              <w:bottom w:val="nil"/>
              <w:right w:val="nil"/>
            </w:tcBorders>
            <w:noWrap/>
            <w:vAlign w:val="bottom"/>
            <w:hideMark/>
          </w:tcPr>
          <w:p w14:paraId="5989527B"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$4,421 </w:t>
            </w:r>
          </w:p>
        </w:tc>
        <w:tc>
          <w:tcPr>
            <w:tcW w:w="899" w:type="dxa"/>
            <w:gridSpan w:val="2"/>
            <w:tcBorders>
              <w:top w:val="nil"/>
              <w:left w:val="nil"/>
              <w:bottom w:val="nil"/>
              <w:right w:val="nil"/>
            </w:tcBorders>
            <w:noWrap/>
            <w:vAlign w:val="bottom"/>
            <w:hideMark/>
          </w:tcPr>
          <w:p w14:paraId="042E2256" w14:textId="77777777" w:rsidR="0078378D" w:rsidRPr="0053499C" w:rsidRDefault="0078378D" w:rsidP="004F55FC">
            <w:pPr>
              <w:keepNext/>
              <w:keepLines/>
              <w:ind w:firstLine="0"/>
              <w:jc w:val="right"/>
              <w:rPr>
                <w:rFonts w:eastAsia="Times New Roman" w:cs="Times New Roman"/>
                <w:color w:val="000000"/>
                <w:sz w:val="18"/>
                <w:szCs w:val="18"/>
                <w:lang w:bidi="ar-SA"/>
              </w:rPr>
            </w:pPr>
            <w:r w:rsidRPr="0053499C">
              <w:rPr>
                <w:rFonts w:eastAsia="Times New Roman" w:cs="Times New Roman"/>
                <w:color w:val="000000"/>
                <w:sz w:val="18"/>
                <w:szCs w:val="18"/>
                <w:lang w:bidi="ar-SA"/>
              </w:rPr>
              <w:t xml:space="preserve">$5,120 </w:t>
            </w:r>
          </w:p>
        </w:tc>
        <w:tc>
          <w:tcPr>
            <w:tcW w:w="990" w:type="dxa"/>
            <w:gridSpan w:val="3"/>
            <w:tcBorders>
              <w:top w:val="nil"/>
              <w:left w:val="nil"/>
              <w:bottom w:val="nil"/>
              <w:right w:val="nil"/>
            </w:tcBorders>
            <w:noWrap/>
            <w:vAlign w:val="bottom"/>
            <w:hideMark/>
          </w:tcPr>
          <w:p w14:paraId="78E7F510" w14:textId="77777777" w:rsidR="0078378D" w:rsidRPr="0053499C" w:rsidRDefault="0078378D" w:rsidP="004F55FC">
            <w:pPr>
              <w:keepNext/>
              <w:keepLines/>
              <w:ind w:firstLine="0"/>
              <w:jc w:val="center"/>
              <w:rPr>
                <w:rFonts w:eastAsia="Times New Roman" w:cs="Times New Roman"/>
                <w:color w:val="000000"/>
                <w:sz w:val="18"/>
                <w:szCs w:val="18"/>
                <w:lang w:bidi="ar-SA"/>
              </w:rPr>
            </w:pPr>
            <w:r w:rsidRPr="0053499C">
              <w:rPr>
                <w:rFonts w:eastAsia="Times New Roman" w:cs="Times New Roman"/>
                <w:color w:val="000000"/>
                <w:sz w:val="18"/>
                <w:szCs w:val="18"/>
                <w:lang w:bidi="ar-SA"/>
              </w:rPr>
              <w:t>2.6%</w:t>
            </w:r>
          </w:p>
        </w:tc>
      </w:tr>
    </w:tbl>
    <w:p w14:paraId="2DE46301" w14:textId="77777777" w:rsidR="0078378D" w:rsidRPr="00124B71" w:rsidRDefault="0078378D" w:rsidP="005A4CED">
      <w:pPr>
        <w:rPr>
          <w:rFonts w:cs="Times New Roman"/>
        </w:rPr>
      </w:pPr>
    </w:p>
    <w:p w14:paraId="2DB6DB08" w14:textId="77777777" w:rsidR="00F65F14" w:rsidRPr="00124B71" w:rsidRDefault="00A05139" w:rsidP="00A05139">
      <w:pPr>
        <w:rPr>
          <w:rFonts w:cs="Times New Roman"/>
        </w:rPr>
      </w:pPr>
      <w:r w:rsidRPr="00124B71">
        <w:rPr>
          <w:rFonts w:cs="Times New Roman"/>
        </w:rPr>
        <w:t>The above analysis assumes renters face the full brunt of increasing rental rates. For many apartment dwellers, this is true as landlords will raise rents every year knowing that if a renter moves out, there will be another to replace them at market rates. The circumstance is a bit different for private landlords. Most private individuals that rent out investment properties are far more concerned with the loss of cashflow resulting from the property sitting vacant than they are about maximizing income through raising rents each year. Most long-term landlords have conventional, fixed-rate financing on their properties, and because their costs are not increasing, and because they do not want to endure vacancy loss, they seldom raise rents</w:t>
      </w:r>
      <w:r w:rsidR="004963BA" w:rsidRPr="00124B71">
        <w:rPr>
          <w:rFonts w:cs="Times New Roman"/>
        </w:rPr>
        <w:t>. W</w:t>
      </w:r>
      <w:r w:rsidRPr="00124B71">
        <w:rPr>
          <w:rFonts w:cs="Times New Roman"/>
        </w:rPr>
        <w:t xml:space="preserve">hen they do, they do not tend to raise them to market for fear of the tenant moving out. The result of this is that housing costs are somewhat fixed for long-term renters who rent from private individuals. These renters get to enjoy </w:t>
      </w:r>
      <w:r w:rsidR="00786029" w:rsidRPr="00124B71">
        <w:rPr>
          <w:rFonts w:cs="Times New Roman"/>
        </w:rPr>
        <w:t xml:space="preserve">almost </w:t>
      </w:r>
      <w:r w:rsidRPr="00124B71">
        <w:rPr>
          <w:rFonts w:cs="Times New Roman"/>
        </w:rPr>
        <w:t xml:space="preserve">the same benefits of fixed housing costs as homeowners. The implication of this landlord behavior is that </w:t>
      </w:r>
      <w:r w:rsidR="00E259A7" w:rsidRPr="00124B71">
        <w:rPr>
          <w:rFonts w:cs="Times New Roman"/>
        </w:rPr>
        <w:t>homeowners do not necessarily see the dramatic savings over renting suggested in the calculation of the inflation premium</w:t>
      </w:r>
      <w:r w:rsidR="001858B5">
        <w:rPr>
          <w:rFonts w:cs="Times New Roman"/>
        </w:rPr>
        <w:fldChar w:fldCharType="begin"/>
      </w:r>
      <w:r w:rsidR="00E84A0F">
        <w:instrText xml:space="preserve"> XE "</w:instrText>
      </w:r>
      <w:r w:rsidR="00E84A0F" w:rsidRPr="00B35B28">
        <w:rPr>
          <w:rFonts w:cs="Times New Roman"/>
        </w:rPr>
        <w:instrText>inflation premium</w:instrText>
      </w:r>
      <w:r w:rsidR="00E84A0F">
        <w:instrText xml:space="preserve">" </w:instrText>
      </w:r>
      <w:r w:rsidR="001858B5">
        <w:rPr>
          <w:rFonts w:cs="Times New Roman"/>
        </w:rPr>
        <w:fldChar w:fldCharType="end"/>
      </w:r>
      <w:r w:rsidR="00E259A7" w:rsidRPr="00124B71">
        <w:rPr>
          <w:rFonts w:cs="Times New Roman"/>
        </w:rPr>
        <w:t>.</w:t>
      </w:r>
    </w:p>
    <w:p w14:paraId="5AFD8830" w14:textId="77777777" w:rsidR="00E259A7" w:rsidRPr="00124B71" w:rsidRDefault="00E259A7" w:rsidP="00A05139">
      <w:pPr>
        <w:rPr>
          <w:rFonts w:cs="Times New Roman"/>
        </w:rPr>
      </w:pPr>
      <w:r w:rsidRPr="00124B71">
        <w:rPr>
          <w:rFonts w:cs="Times New Roman"/>
        </w:rPr>
        <w:lastRenderedPageBreak/>
        <w:t>The investment value</w:t>
      </w:r>
      <w:r w:rsidR="001858B5">
        <w:rPr>
          <w:rFonts w:cs="Times New Roman"/>
        </w:rPr>
        <w:fldChar w:fldCharType="begin"/>
      </w:r>
      <w:r w:rsidR="00FF74AC">
        <w:instrText xml:space="preserve"> XE "</w:instrText>
      </w:r>
      <w:r w:rsidR="00FF74AC" w:rsidRPr="000E370D">
        <w:rPr>
          <w:rFonts w:cs="Times New Roman"/>
        </w:rPr>
        <w:instrText>investment value</w:instrText>
      </w:r>
      <w:r w:rsidR="00FF74AC">
        <w:instrText xml:space="preserve">" </w:instrText>
      </w:r>
      <w:r w:rsidR="001858B5">
        <w:rPr>
          <w:rFonts w:cs="Times New Roman"/>
        </w:rPr>
        <w:fldChar w:fldCharType="end"/>
      </w:r>
      <w:r w:rsidRPr="00124B71">
        <w:rPr>
          <w:rFonts w:cs="Times New Roman"/>
        </w:rPr>
        <w:t xml:space="preserve"> for home ownership is a combination of the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value and the inflation value. Both accrue to homeowners for different reasons. The appreciation value is caused by the general tendency of house prices to increase over time with the inflation of income and rents. The inflation value is a cashflow savings accruing to owners as rental rates increase while their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is fixed. There are many variables that influence the investment value, and much depends on the assumptions behind the variables selected. Based on a typical ownership period</w:t>
      </w:r>
      <w:r w:rsidR="001858B5">
        <w:rPr>
          <w:rFonts w:cs="Times New Roman"/>
        </w:rPr>
        <w:fldChar w:fldCharType="begin"/>
      </w:r>
      <w:r w:rsidR="00FF74AC">
        <w:instrText xml:space="preserve"> XE "</w:instrText>
      </w:r>
      <w:r w:rsidR="00FF74AC" w:rsidRPr="00106853">
        <w:rPr>
          <w:rFonts w:cs="Times New Roman"/>
        </w:rPr>
        <w:instrText>ownership period</w:instrText>
      </w:r>
      <w:r w:rsidR="00FF74AC">
        <w:instrText xml:space="preserve">" </w:instrText>
      </w:r>
      <w:r w:rsidR="001858B5">
        <w:rPr>
          <w:rFonts w:cs="Times New Roman"/>
        </w:rPr>
        <w:fldChar w:fldCharType="end"/>
      </w:r>
      <w:r w:rsidRPr="00124B71">
        <w:rPr>
          <w:rFonts w:cs="Times New Roman"/>
        </w:rPr>
        <w:t xml:space="preserve"> of 7 years, and an investment environment adhering to historic norms, residential real estate has an investment value of approximately 10% </w:t>
      </w:r>
      <w:r w:rsidR="00786029" w:rsidRPr="00124B71">
        <w:rPr>
          <w:rFonts w:cs="Times New Roman"/>
        </w:rPr>
        <w:t xml:space="preserve">of </w:t>
      </w:r>
      <w:r w:rsidRPr="00124B71">
        <w:rPr>
          <w:rFonts w:cs="Times New Roman"/>
        </w:rPr>
        <w:t>the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Pr="00124B71">
        <w:rPr>
          <w:rFonts w:cs="Times New Roman"/>
        </w:rPr>
        <w:t xml:space="preserve"> of the property. Buyers who pay this 10% premium will see a return on their investment if they stay in the property long enough. Buyers who pay premiums in excess of this amount or who own the property for shorter timeframes do not see a return on their investment. Buyers in the Great Housing Bubble paid well in excess of </w:t>
      </w:r>
      <w:r w:rsidR="00C86C7B" w:rsidRPr="00124B71">
        <w:rPr>
          <w:rFonts w:cs="Times New Roman"/>
        </w:rPr>
        <w:t>the fundamental and investment value of real estate primarily due to unrealistic expectations for appreciation. If a buyer believes properties are going to appreciate at a 15% rate every year forever, paying a 100% premium over fundamental value is justified; however, since house prices cannot rise at that rate in a sustained manner, such premiums are ill advised.</w:t>
      </w:r>
    </w:p>
    <w:p w14:paraId="4B5E81D0" w14:textId="77777777" w:rsidR="0027778B" w:rsidRPr="00EF0EDA" w:rsidRDefault="0027778B" w:rsidP="0027778B">
      <w:pPr>
        <w:pStyle w:val="Heading2"/>
      </w:pPr>
      <w:bookmarkStart w:id="75" w:name="_Toc238867309"/>
      <w:r w:rsidRPr="00EF0EDA">
        <w:t>Renting Versus Owning</w:t>
      </w:r>
      <w:bookmarkEnd w:id="75"/>
    </w:p>
    <w:p w14:paraId="03A6E361" w14:textId="77777777" w:rsidR="0027778B" w:rsidRPr="00124B71" w:rsidRDefault="0027778B" w:rsidP="00561342">
      <w:pPr>
        <w:rPr>
          <w:rFonts w:cs="Times New Roman"/>
        </w:rPr>
      </w:pPr>
      <w:r w:rsidRPr="00124B71">
        <w:rPr>
          <w:rFonts w:cs="Times New Roman"/>
        </w:rPr>
        <w:t xml:space="preserve">Renting versus owning is both an intellectual, financial decision and an emotional </w:t>
      </w:r>
      <w:r w:rsidR="004963BA" w:rsidRPr="00124B71">
        <w:rPr>
          <w:rFonts w:cs="Times New Roman"/>
        </w:rPr>
        <w:t>decision</w:t>
      </w:r>
      <w:r w:rsidRPr="00124B71">
        <w:rPr>
          <w:rFonts w:cs="Times New Roman"/>
        </w:rPr>
        <w:t xml:space="preserve">. The financial decision is first and foremost an analysis of the comparative cost of renting versus owning. The cost of a rental can be determined fairly easily as there are usually a number of comparable properties on the market to establish a realistic rental rate for any given property. Of course, it is easy to justify in one’s mind a comparative rent that is higher than the market will bear. </w:t>
      </w:r>
      <w:r w:rsidR="00786029" w:rsidRPr="00124B71">
        <w:rPr>
          <w:rFonts w:cs="Times New Roman"/>
        </w:rPr>
        <w:t>A person who is “in love” with a house will almost certainly imagine it will command a rent amount that exceeds the reality of the market.</w:t>
      </w:r>
      <w:r w:rsidRPr="00124B71">
        <w:rPr>
          <w:rFonts w:cs="Times New Roman"/>
        </w:rPr>
        <w:t xml:space="preserve"> It is probably a good idea to take 5% to 10% off comparable rental rates on properties offered on the market. Once </w:t>
      </w:r>
      <w:r w:rsidR="00F2292F" w:rsidRPr="00124B71">
        <w:rPr>
          <w:rFonts w:cs="Times New Roman"/>
        </w:rPr>
        <w:t>a</w:t>
      </w:r>
      <w:r w:rsidRPr="00124B71">
        <w:rPr>
          <w:rFonts w:cs="Times New Roman"/>
        </w:rPr>
        <w:t xml:space="preserve"> </w:t>
      </w:r>
      <w:r w:rsidR="00786029" w:rsidRPr="00124B71">
        <w:rPr>
          <w:rFonts w:cs="Times New Roman"/>
        </w:rPr>
        <w:t xml:space="preserve">realistic </w:t>
      </w:r>
      <w:r w:rsidRPr="00124B71">
        <w:rPr>
          <w:rFonts w:cs="Times New Roman"/>
        </w:rPr>
        <w:t>comparative rental rate</w:t>
      </w:r>
      <w:r w:rsidR="00F2292F" w:rsidRPr="00124B71">
        <w:rPr>
          <w:rFonts w:cs="Times New Roman"/>
        </w:rPr>
        <w:t xml:space="preserve"> is established</w:t>
      </w:r>
      <w:r w:rsidRPr="00124B71">
        <w:rPr>
          <w:rFonts w:cs="Times New Roman"/>
        </w:rPr>
        <w:t>, and  a realistic evaluation of the true costs of ownership as outlined above</w:t>
      </w:r>
      <w:r w:rsidR="00F2292F" w:rsidRPr="00124B71">
        <w:rPr>
          <w:rFonts w:cs="Times New Roman"/>
        </w:rPr>
        <w:t xml:space="preserve"> is complete</w:t>
      </w:r>
      <w:r w:rsidRPr="00124B71">
        <w:rPr>
          <w:rFonts w:cs="Times New Roman"/>
        </w:rPr>
        <w:t xml:space="preserve">, a simple comparison of the two figures will </w:t>
      </w:r>
      <w:r w:rsidR="00F2292F" w:rsidRPr="00124B71">
        <w:rPr>
          <w:rFonts w:cs="Times New Roman"/>
        </w:rPr>
        <w:t>reveal</w:t>
      </w:r>
      <w:r w:rsidRPr="00124B71">
        <w:rPr>
          <w:rFonts w:cs="Times New Roman"/>
        </w:rPr>
        <w:t xml:space="preserve"> if a property is overvalued, undervalued or </w:t>
      </w:r>
      <w:r w:rsidR="00F2292F" w:rsidRPr="00124B71">
        <w:rPr>
          <w:rFonts w:cs="Times New Roman"/>
        </w:rPr>
        <w:t>at parity</w:t>
      </w:r>
      <w:r w:rsidRPr="00124B71">
        <w:rPr>
          <w:rFonts w:cs="Times New Roman"/>
        </w:rPr>
        <w:t>.</w:t>
      </w:r>
    </w:p>
    <w:p w14:paraId="346DB969" w14:textId="77777777" w:rsidR="001767A9" w:rsidRPr="00124B71" w:rsidRDefault="00E027A0" w:rsidP="00561342">
      <w:pPr>
        <w:rPr>
          <w:rFonts w:cs="Times New Roman"/>
        </w:rPr>
      </w:pPr>
      <w:r w:rsidRPr="00124B71">
        <w:rPr>
          <w:rFonts w:cs="Times New Roman"/>
        </w:rPr>
        <w:t xml:space="preserve">Some people </w:t>
      </w:r>
      <w:r w:rsidR="00786029" w:rsidRPr="00124B71">
        <w:rPr>
          <w:rFonts w:cs="Times New Roman"/>
        </w:rPr>
        <w:t>expend</w:t>
      </w:r>
      <w:r w:rsidRPr="00124B71">
        <w:rPr>
          <w:rFonts w:cs="Times New Roman"/>
        </w:rPr>
        <w:t xml:space="preserve"> a great deal of effort evaluating the costs of ownership to determine if it is a correct decision, but many people do not. </w:t>
      </w:r>
      <w:r w:rsidR="0027778B" w:rsidRPr="00124B71">
        <w:rPr>
          <w:rFonts w:cs="Times New Roman"/>
        </w:rPr>
        <w:t xml:space="preserve">Some people make the decision to purchase the most expensive asset they will ever own with no analysis at all. The decision to buy a house is primarily an emotional one. Even those who go through all the analysis generally only do so to provide rationalizations for their emotional decision. During price rallies, greed becomes a powerful emotion motivating people to fudge </w:t>
      </w:r>
      <w:r w:rsidR="00786029" w:rsidRPr="00124B71">
        <w:rPr>
          <w:rFonts w:cs="Times New Roman"/>
        </w:rPr>
        <w:t>any</w:t>
      </w:r>
      <w:r w:rsidR="0027778B" w:rsidRPr="00124B71">
        <w:rPr>
          <w:rFonts w:cs="Times New Roman"/>
        </w:rPr>
        <w:t xml:space="preserve"> financial analysis </w:t>
      </w:r>
      <w:r w:rsidR="00786029" w:rsidRPr="00124B71">
        <w:rPr>
          <w:rFonts w:cs="Times New Roman"/>
        </w:rPr>
        <w:t>performed</w:t>
      </w:r>
      <w:r w:rsidR="0027778B" w:rsidRPr="00124B71">
        <w:rPr>
          <w:rFonts w:cs="Times New Roman"/>
        </w:rPr>
        <w:t>. Another factor often called the “nesting instinct” causes both men and women to want a place to call their own, particularly when there are children in the family</w:t>
      </w:r>
      <w:r w:rsidR="00786029" w:rsidRPr="00124B71">
        <w:rPr>
          <w:rFonts w:cs="Times New Roman"/>
        </w:rPr>
        <w:t xml:space="preserve"> or on the way</w:t>
      </w:r>
      <w:r w:rsidR="0027778B" w:rsidRPr="00124B71">
        <w:rPr>
          <w:rFonts w:cs="Times New Roman"/>
        </w:rPr>
        <w:t xml:space="preserve">. There is nothing wrong with </w:t>
      </w:r>
      <w:r w:rsidR="00786029" w:rsidRPr="00124B71">
        <w:rPr>
          <w:rFonts w:cs="Times New Roman"/>
        </w:rPr>
        <w:t>making decisions that are heavily influenced by emotions.</w:t>
      </w:r>
      <w:r w:rsidR="0027778B" w:rsidRPr="00124B71">
        <w:rPr>
          <w:rFonts w:cs="Times New Roman"/>
        </w:rPr>
        <w:t xml:space="preserve"> Most people pick a spouse </w:t>
      </w:r>
      <w:r w:rsidR="0027778B" w:rsidRPr="00124B71">
        <w:rPr>
          <w:rFonts w:cs="Times New Roman"/>
        </w:rPr>
        <w:lastRenderedPageBreak/>
        <w:t xml:space="preserve">this way. The real challenge is to have the emotions and the intellect working together to make a decision that is both fiscally sound and emotionally satisfying. </w:t>
      </w:r>
      <w:r w:rsidR="00194691" w:rsidRPr="00124B71">
        <w:rPr>
          <w:rFonts w:cs="Times New Roman"/>
        </w:rPr>
        <w:t>Of course, t</w:t>
      </w:r>
      <w:r w:rsidR="0027778B" w:rsidRPr="00124B71">
        <w:rPr>
          <w:rFonts w:cs="Times New Roman"/>
        </w:rPr>
        <w:t>his is easier said than done.</w:t>
      </w:r>
    </w:p>
    <w:p w14:paraId="706EBB52" w14:textId="77777777" w:rsidR="00B2025E" w:rsidRPr="00EF0EDA" w:rsidRDefault="000261EF" w:rsidP="00B2025E">
      <w:pPr>
        <w:pStyle w:val="Heading2"/>
      </w:pPr>
      <w:bookmarkStart w:id="76" w:name="_Toc238867310"/>
      <w:r w:rsidRPr="00EF0EDA">
        <w:t>Summary</w:t>
      </w:r>
      <w:bookmarkEnd w:id="76"/>
    </w:p>
    <w:p w14:paraId="6315323F" w14:textId="77777777" w:rsidR="008537F9" w:rsidRPr="00124B71" w:rsidRDefault="0065510E" w:rsidP="00561342">
      <w:pPr>
        <w:rPr>
          <w:rFonts w:cs="Times New Roman"/>
        </w:rPr>
      </w:pPr>
      <w:r w:rsidRPr="00124B71">
        <w:rPr>
          <w:rFonts w:cs="Times New Roman"/>
        </w:rPr>
        <w:t>The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Pr="00124B71">
        <w:rPr>
          <w:rFonts w:cs="Times New Roman"/>
        </w:rPr>
        <w:t xml:space="preserve"> of all housing prices is equivalent rents</w:t>
      </w:r>
      <w:r w:rsidR="001858B5">
        <w:rPr>
          <w:rFonts w:cs="Times New Roman"/>
        </w:rPr>
        <w:fldChar w:fldCharType="begin"/>
      </w:r>
      <w:r w:rsidR="00FA2AEF">
        <w:instrText xml:space="preserve"> XE "</w:instrText>
      </w:r>
      <w:r w:rsidR="00FA2AEF" w:rsidRPr="00DF333B">
        <w:rPr>
          <w:rFonts w:cs="Times New Roman"/>
        </w:rPr>
        <w:instrText>equivalent rents</w:instrText>
      </w:r>
      <w:r w:rsidR="00FA2AEF">
        <w:instrText xml:space="preserve">" </w:instrText>
      </w:r>
      <w:r w:rsidR="001858B5">
        <w:rPr>
          <w:rFonts w:cs="Times New Roman"/>
        </w:rPr>
        <w:fldChar w:fldCharType="end"/>
      </w:r>
      <w:r w:rsidRPr="00124B71">
        <w:rPr>
          <w:rFonts w:cs="Times New Roman"/>
        </w:rPr>
        <w:t xml:space="preserve"> because rental is a direct proxy for ownership.</w:t>
      </w:r>
      <w:r w:rsidR="004F3A68" w:rsidRPr="00124B71">
        <w:rPr>
          <w:rFonts w:cs="Times New Roman"/>
        </w:rPr>
        <w:t xml:space="preserve"> Unfortunately, during </w:t>
      </w:r>
      <w:r w:rsidR="001A34D5">
        <w:rPr>
          <w:rFonts w:cs="Times New Roman"/>
        </w:rPr>
        <w:t>the Great Housing Bubble</w:t>
      </w:r>
      <w:r w:rsidR="004F3A68" w:rsidRPr="00124B71">
        <w:rPr>
          <w:rFonts w:cs="Times New Roman"/>
        </w:rPr>
        <w:t xml:space="preserve">, appraisers used </w:t>
      </w:r>
      <w:r w:rsidR="0061670B" w:rsidRPr="00124B71">
        <w:rPr>
          <w:rFonts w:cs="Times New Roman"/>
        </w:rPr>
        <w:t>comparative-sales</w:t>
      </w:r>
      <w:r w:rsidR="004F3A68" w:rsidRPr="00124B71">
        <w:rPr>
          <w:rFonts w:cs="Times New Roman"/>
        </w:rPr>
        <w:t xml:space="preserve"> prices to establish value rather than an approach using rental income. This allowed prices to detach from fundamental valuations due to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004F3A68" w:rsidRPr="00124B71">
        <w:rPr>
          <w:rFonts w:cs="Times New Roman"/>
        </w:rPr>
        <w:t>.</w:t>
      </w:r>
      <w:r w:rsidRPr="00124B71">
        <w:rPr>
          <w:rFonts w:cs="Times New Roman"/>
        </w:rPr>
        <w:t xml:space="preserve"> To </w:t>
      </w:r>
      <w:r w:rsidR="008537F9" w:rsidRPr="00124B71">
        <w:rPr>
          <w:rFonts w:cs="Times New Roman"/>
        </w:rPr>
        <w:t xml:space="preserve">determine </w:t>
      </w:r>
      <w:r w:rsidR="00194691" w:rsidRPr="00124B71">
        <w:rPr>
          <w:rFonts w:cs="Times New Roman"/>
        </w:rPr>
        <w:t>the</w:t>
      </w:r>
      <w:r w:rsidR="008537F9" w:rsidRPr="00124B71">
        <w:rPr>
          <w:rFonts w:cs="Times New Roman"/>
        </w:rPr>
        <w:t xml:space="preserve"> value</w:t>
      </w:r>
      <w:r w:rsidR="00194691" w:rsidRPr="00124B71">
        <w:rPr>
          <w:rFonts w:cs="Times New Roman"/>
        </w:rPr>
        <w:t xml:space="preserve"> of a property</w:t>
      </w:r>
      <w:r w:rsidR="008537F9" w:rsidRPr="00124B71">
        <w:rPr>
          <w:rFonts w:cs="Times New Roman"/>
        </w:rPr>
        <w:t>, one must evaluate the local rental market to establish comparable rental rates, and one must carefully evaluate the true, total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008537F9" w:rsidRPr="00124B71">
        <w:rPr>
          <w:rFonts w:cs="Times New Roman"/>
        </w:rPr>
        <w:t xml:space="preserve">. A potential buyer can determine the maximum amount </w:t>
      </w:r>
      <w:r w:rsidR="00194691" w:rsidRPr="00124B71">
        <w:rPr>
          <w:rFonts w:cs="Times New Roman"/>
        </w:rPr>
        <w:t>that should be paid</w:t>
      </w:r>
      <w:r w:rsidR="008537F9" w:rsidRPr="00124B71">
        <w:rPr>
          <w:rFonts w:cs="Times New Roman"/>
        </w:rPr>
        <w:t xml:space="preserve"> for a property by manipulating the loan and downpayment amounts so the monthly cost of ownership matches the cost of a rental. Of course, in the real world most people do not bother with this type of analysis, but then, in the real world, many people mistakenly overpay for residential real estate.</w:t>
      </w:r>
    </w:p>
    <w:p w14:paraId="3F3585A9" w14:textId="77777777" w:rsidR="00B2025E" w:rsidRPr="00124B71" w:rsidRDefault="00B2025E" w:rsidP="00B2025E">
      <w:pPr>
        <w:ind w:firstLine="0"/>
        <w:rPr>
          <w:rFonts w:cs="Times New Roman"/>
        </w:rPr>
        <w:sectPr w:rsidR="00B2025E" w:rsidRPr="00124B71" w:rsidSect="009729DE">
          <w:headerReference w:type="even" r:id="rId40"/>
          <w:headerReference w:type="default" r:id="rId41"/>
          <w:endnotePr>
            <w:numFmt w:val="decimal"/>
          </w:endnotePr>
          <w:type w:val="oddPage"/>
          <w:pgSz w:w="8640" w:h="12960" w:code="173"/>
          <w:pgMar w:top="1008" w:right="936" w:bottom="1080" w:left="936" w:header="504" w:footer="504" w:gutter="0"/>
          <w:cols w:space="720"/>
          <w:titlePg/>
          <w:docGrid w:linePitch="360"/>
        </w:sectPr>
      </w:pPr>
    </w:p>
    <w:p w14:paraId="03557805" w14:textId="77777777" w:rsidR="00C409D3" w:rsidRPr="00EF0EDA" w:rsidRDefault="00C409D3" w:rsidP="00C409D3">
      <w:pPr>
        <w:pStyle w:val="Heading1"/>
      </w:pPr>
      <w:bookmarkStart w:id="77" w:name="_Toc238867311"/>
      <w:r w:rsidRPr="00EF0EDA">
        <w:lastRenderedPageBreak/>
        <w:t>Valuation of Lots and Raw Land</w:t>
      </w:r>
      <w:bookmarkEnd w:id="77"/>
    </w:p>
    <w:p w14:paraId="00EA0035" w14:textId="77777777" w:rsidR="00BF6754" w:rsidRPr="00124B71" w:rsidRDefault="00D06362" w:rsidP="00D06362">
      <w:pPr>
        <w:rPr>
          <w:rFonts w:cs="Times New Roman"/>
        </w:rPr>
      </w:pPr>
      <w:r w:rsidRPr="00124B71">
        <w:rPr>
          <w:rFonts w:cs="Times New Roman"/>
        </w:rPr>
        <w:t>The valuation of land used for residential housing is mysterious and often misunderstood</w:t>
      </w:r>
      <w:r w:rsidR="00325541" w:rsidRPr="00124B71">
        <w:rPr>
          <w:rFonts w:cs="Times New Roman"/>
        </w:rPr>
        <w:t xml:space="preserve">. </w:t>
      </w:r>
      <w:r w:rsidR="00AF6045" w:rsidRPr="00124B71">
        <w:rPr>
          <w:rStyle w:val="EndnoteReference"/>
          <w:rFonts w:cs="Times New Roman"/>
        </w:rPr>
        <w:endnoteReference w:id="59"/>
      </w:r>
      <w:r w:rsidRPr="00124B71">
        <w:rPr>
          <w:rFonts w:cs="Times New Roman"/>
        </w:rPr>
        <w:t xml:space="preserve"> </w:t>
      </w:r>
      <w:r w:rsidR="00B57C25" w:rsidRPr="00124B71">
        <w:rPr>
          <w:rFonts w:cs="Times New Roman"/>
        </w:rPr>
        <w:t>The valuation of lots and raw land requires a detailed knowledge of construction and marketing costs as well as a g</w:t>
      </w:r>
      <w:r w:rsidR="00BF6754" w:rsidRPr="00124B71">
        <w:rPr>
          <w:rFonts w:cs="Times New Roman"/>
        </w:rPr>
        <w:t>ood estimate of the sales price</w:t>
      </w:r>
      <w:r w:rsidR="00B57C25" w:rsidRPr="00124B71">
        <w:rPr>
          <w:rFonts w:cs="Times New Roman"/>
        </w:rPr>
        <w:t xml:space="preserve"> of the final product: a residential housing unit. </w:t>
      </w:r>
      <w:r w:rsidR="00BF6754" w:rsidRPr="00124B71">
        <w:rPr>
          <w:rFonts w:cs="Times New Roman"/>
        </w:rPr>
        <w:t>In short, the value of a lot is the total revenue (sales price of the home) minus the costs</w:t>
      </w:r>
      <w:r w:rsidR="001429DA" w:rsidRPr="00124B71">
        <w:rPr>
          <w:rFonts w:cs="Times New Roman"/>
        </w:rPr>
        <w:t xml:space="preserve"> of production</w:t>
      </w:r>
      <w:r w:rsidR="00BF6754" w:rsidRPr="00124B71">
        <w:rPr>
          <w:rFonts w:cs="Times New Roman"/>
        </w:rPr>
        <w:t xml:space="preserve"> and the necessary profit. Land value is a residual calculation.</w:t>
      </w:r>
    </w:p>
    <w:p w14:paraId="2C16A10F" w14:textId="77777777" w:rsidR="00D06362" w:rsidRPr="00124B71" w:rsidRDefault="00B57C25" w:rsidP="00D06362">
      <w:pPr>
        <w:rPr>
          <w:rFonts w:cs="Times New Roman"/>
        </w:rPr>
      </w:pPr>
      <w:r w:rsidRPr="00124B71">
        <w:rPr>
          <w:rFonts w:cs="Times New Roman"/>
        </w:rPr>
        <w:t>Irvine, California</w:t>
      </w:r>
      <w:r w:rsidR="00955CD4">
        <w:rPr>
          <w:rFonts w:cs="Times New Roman"/>
        </w:rPr>
        <w:t>,</w:t>
      </w:r>
      <w:r w:rsidRPr="00124B71">
        <w:rPr>
          <w:rFonts w:cs="Times New Roman"/>
        </w:rPr>
        <w:t xml:space="preserve"> has been almost entirely developed by a single land owner, The Irvine Company</w:t>
      </w:r>
      <w:r w:rsidR="001858B5">
        <w:rPr>
          <w:rFonts w:cs="Times New Roman"/>
        </w:rPr>
        <w:fldChar w:fldCharType="begin"/>
      </w:r>
      <w:r w:rsidR="00FF74AC">
        <w:instrText xml:space="preserve"> XE "</w:instrText>
      </w:r>
      <w:r w:rsidR="00FF74AC" w:rsidRPr="00BE37E9">
        <w:rPr>
          <w:rFonts w:cs="Times New Roman"/>
        </w:rPr>
        <w:instrText>The Irvine Company</w:instrText>
      </w:r>
      <w:r w:rsidR="00FF74AC">
        <w:instrText xml:space="preserve">" </w:instrText>
      </w:r>
      <w:r w:rsidR="001858B5">
        <w:rPr>
          <w:rFonts w:cs="Times New Roman"/>
        </w:rPr>
        <w:fldChar w:fldCharType="end"/>
      </w:r>
      <w:r w:rsidR="00BF6754" w:rsidRPr="00124B71">
        <w:rPr>
          <w:rFonts w:cs="Times New Roman"/>
        </w:rPr>
        <w:t>, as a large, master-planned community</w:t>
      </w:r>
      <w:r w:rsidRPr="00124B71">
        <w:rPr>
          <w:rFonts w:cs="Times New Roman"/>
        </w:rPr>
        <w:t>.</w:t>
      </w:r>
      <w:r w:rsidR="008C3BDC" w:rsidRPr="00124B71">
        <w:rPr>
          <w:rFonts w:cs="Times New Roman"/>
        </w:rPr>
        <w:t xml:space="preserve"> The development has been wildly successful. The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008C3BDC" w:rsidRPr="00124B71">
        <w:rPr>
          <w:rFonts w:cs="Times New Roman"/>
        </w:rPr>
        <w:t xml:space="preserve"> income of buyers on The Ranch is 30% above the Orange County</w:t>
      </w:r>
      <w:r w:rsidR="001858B5">
        <w:rPr>
          <w:rFonts w:cs="Times New Roman"/>
        </w:rPr>
        <w:fldChar w:fldCharType="begin"/>
      </w:r>
      <w:r w:rsidR="00AE7D38">
        <w:instrText xml:space="preserve"> XE "</w:instrText>
      </w:r>
      <w:r w:rsidR="00AE7D38" w:rsidRPr="0005034B">
        <w:rPr>
          <w:rFonts w:cs="Times New Roman"/>
        </w:rPr>
        <w:instrText>Orange County</w:instrText>
      </w:r>
      <w:r w:rsidR="00AE7D38">
        <w:instrText xml:space="preserve">" </w:instrText>
      </w:r>
      <w:r w:rsidR="001858B5">
        <w:rPr>
          <w:rFonts w:cs="Times New Roman"/>
        </w:rPr>
        <w:fldChar w:fldCharType="end"/>
      </w:r>
      <w:r w:rsidR="008C3BDC" w:rsidRPr="00124B71">
        <w:rPr>
          <w:rFonts w:cs="Times New Roman"/>
        </w:rPr>
        <w:t xml:space="preserve"> median. This translates into higher home prices and higher land values.</w:t>
      </w:r>
      <w:r w:rsidR="00BF6754" w:rsidRPr="00124B71">
        <w:rPr>
          <w:rFonts w:cs="Times New Roman"/>
        </w:rPr>
        <w:t xml:space="preserve"> The Irvine Company makes a profit by selling its land to builders who build and sell houses in the community.</w:t>
      </w:r>
      <w:r w:rsidR="008C3BDC" w:rsidRPr="00124B71">
        <w:rPr>
          <w:rFonts w:cs="Times New Roman"/>
        </w:rPr>
        <w:t xml:space="preserve"> </w:t>
      </w:r>
      <w:r w:rsidR="00D06362" w:rsidRPr="00124B71">
        <w:rPr>
          <w:rFonts w:cs="Times New Roman"/>
        </w:rPr>
        <w:t>Once the forces governing land value</w:t>
      </w:r>
      <w:r w:rsidR="001858B5">
        <w:rPr>
          <w:rFonts w:cs="Times New Roman"/>
        </w:rPr>
        <w:fldChar w:fldCharType="begin"/>
      </w:r>
      <w:r w:rsidR="00FF74AC">
        <w:instrText xml:space="preserve"> XE "</w:instrText>
      </w:r>
      <w:r w:rsidR="00FF74AC" w:rsidRPr="006D4891">
        <w:rPr>
          <w:rFonts w:cs="Times New Roman"/>
        </w:rPr>
        <w:instrText>land value</w:instrText>
      </w:r>
      <w:r w:rsidR="00FF74AC">
        <w:instrText xml:space="preserve">" </w:instrText>
      </w:r>
      <w:r w:rsidR="001858B5">
        <w:rPr>
          <w:rFonts w:cs="Times New Roman"/>
        </w:rPr>
        <w:fldChar w:fldCharType="end"/>
      </w:r>
      <w:r w:rsidR="00D06362" w:rsidRPr="00124B71">
        <w:rPr>
          <w:rFonts w:cs="Times New Roman"/>
        </w:rPr>
        <w:t xml:space="preserve"> are understood, it becomes obvious why the Irvine Company is protective of house prices in Irvine, and why </w:t>
      </w:r>
      <w:r w:rsidR="006A3CBE" w:rsidRPr="00124B71">
        <w:rPr>
          <w:rFonts w:cs="Times New Roman"/>
        </w:rPr>
        <w:t>T</w:t>
      </w:r>
      <w:r w:rsidR="00D06362" w:rsidRPr="00124B71">
        <w:rPr>
          <w:rFonts w:cs="Times New Roman"/>
        </w:rPr>
        <w:t>he Irvine Company wants to maximize salable density on its land holdings</w:t>
      </w:r>
      <w:r w:rsidR="008C3BDC" w:rsidRPr="00124B71">
        <w:rPr>
          <w:rFonts w:cs="Times New Roman"/>
        </w:rPr>
        <w:t xml:space="preserve"> like any other developer would</w:t>
      </w:r>
      <w:r w:rsidR="00D06362" w:rsidRPr="00124B71">
        <w:rPr>
          <w:rFonts w:cs="Times New Roman"/>
        </w:rPr>
        <w:t>.</w:t>
      </w:r>
    </w:p>
    <w:p w14:paraId="7B2D91F1" w14:textId="77777777" w:rsidR="00744C7C" w:rsidRPr="00EF0EDA" w:rsidRDefault="00744C7C" w:rsidP="00744C7C">
      <w:pPr>
        <w:pStyle w:val="Heading2"/>
      </w:pPr>
      <w:bookmarkStart w:id="78" w:name="_Toc238867312"/>
      <w:r w:rsidRPr="00EF0EDA">
        <w:t>Land Price as a Residual Value</w:t>
      </w:r>
      <w:bookmarkEnd w:id="78"/>
      <w:r w:rsidRPr="00EF0EDA">
        <w:t xml:space="preserve"> </w:t>
      </w:r>
    </w:p>
    <w:p w14:paraId="1E44B98F" w14:textId="77777777" w:rsidR="00744C7C" w:rsidRPr="00124B71" w:rsidRDefault="00744C7C" w:rsidP="00744C7C">
      <w:pPr>
        <w:rPr>
          <w:rFonts w:cs="Times New Roman"/>
        </w:rPr>
      </w:pPr>
      <w:r w:rsidRPr="00124B71">
        <w:rPr>
          <w:rFonts w:cs="Times New Roman"/>
        </w:rPr>
        <w:t>The value of a piece of land is whatever is “left over” after all the other costs of production</w:t>
      </w:r>
      <w:r w:rsidR="00BF6754" w:rsidRPr="00124B71">
        <w:rPr>
          <w:rFonts w:cs="Times New Roman"/>
        </w:rPr>
        <w:t xml:space="preserve"> and profits</w:t>
      </w:r>
      <w:r w:rsidRPr="00124B71">
        <w:rPr>
          <w:rFonts w:cs="Times New Roman"/>
        </w:rPr>
        <w:t xml:space="preserve"> are subtracted from revenue. This is a key point.</w:t>
      </w:r>
      <w:r w:rsidR="00BF6754" w:rsidRPr="00124B71">
        <w:rPr>
          <w:rFonts w:cs="Times New Roman"/>
        </w:rPr>
        <w:t xml:space="preserve"> Land for residential home use has no intrinsic value. It is a commodity useful for the production of houses just like lumber or concrete. A finished lot is a manufactured product, and it is subject to many of the same market forces as commodity markets. If land or lots become scarce, the price increases</w:t>
      </w:r>
      <w:r w:rsidR="00C4622B" w:rsidRPr="00124B71">
        <w:rPr>
          <w:rFonts w:cs="Times New Roman"/>
        </w:rPr>
        <w:t>;</w:t>
      </w:r>
      <w:r w:rsidR="00BF6754" w:rsidRPr="00124B71">
        <w:rPr>
          <w:rFonts w:cs="Times New Roman"/>
        </w:rPr>
        <w:t xml:space="preserve"> if this commodity is plentiful, the price decrease</w:t>
      </w:r>
      <w:r w:rsidR="00B20143" w:rsidRPr="00124B71">
        <w:rPr>
          <w:rFonts w:cs="Times New Roman"/>
        </w:rPr>
        <w:t>s</w:t>
      </w:r>
      <w:r w:rsidR="00BF6754" w:rsidRPr="00124B71">
        <w:rPr>
          <w:rFonts w:cs="Times New Roman"/>
        </w:rPr>
        <w:t xml:space="preserve">. </w:t>
      </w:r>
      <w:r w:rsidRPr="00124B71">
        <w:rPr>
          <w:rFonts w:cs="Times New Roman"/>
        </w:rPr>
        <w:t xml:space="preserve"> If </w:t>
      </w:r>
      <w:r w:rsidR="00A66C47" w:rsidRPr="00124B71">
        <w:rPr>
          <w:rFonts w:cs="Times New Roman"/>
        </w:rPr>
        <w:t>the sales price of the final product increases revenue</w:t>
      </w:r>
      <w:r w:rsidR="007C469A">
        <w:rPr>
          <w:rFonts w:cs="Times New Roman"/>
        </w:rPr>
        <w:t>–</w:t>
      </w:r>
      <w:r w:rsidRPr="00124B71">
        <w:rPr>
          <w:rFonts w:cs="Times New Roman"/>
        </w:rPr>
        <w:t>like in a bubble</w:t>
      </w:r>
      <w:r w:rsidR="007C469A">
        <w:rPr>
          <w:rFonts w:cs="Times New Roman"/>
        </w:rPr>
        <w:t>–</w:t>
      </w:r>
      <w:r w:rsidRPr="00124B71">
        <w:rPr>
          <w:rFonts w:cs="Times New Roman"/>
        </w:rPr>
        <w:t>the value of land increases; however, i</w:t>
      </w:r>
      <w:r w:rsidR="00C4622B" w:rsidRPr="00124B71">
        <w:rPr>
          <w:rFonts w:cs="Times New Roman"/>
        </w:rPr>
        <w:t>f</w:t>
      </w:r>
      <w:r w:rsidRPr="00124B71">
        <w:rPr>
          <w:rFonts w:cs="Times New Roman"/>
        </w:rPr>
        <w:t xml:space="preserve"> revenue decreases</w:t>
      </w:r>
      <w:r w:rsidR="007C469A">
        <w:rPr>
          <w:rFonts w:cs="Times New Roman"/>
        </w:rPr>
        <w:t>–</w:t>
      </w:r>
      <w:r w:rsidRPr="00124B71">
        <w:rPr>
          <w:rFonts w:cs="Times New Roman"/>
        </w:rPr>
        <w:t>like after a bubble</w:t>
      </w:r>
      <w:r w:rsidR="007C469A">
        <w:rPr>
          <w:rFonts w:cs="Times New Roman"/>
        </w:rPr>
        <w:t>–</w:t>
      </w:r>
      <w:r w:rsidRPr="00124B71">
        <w:rPr>
          <w:rFonts w:cs="Times New Roman"/>
        </w:rPr>
        <w:t>the value of land decreases.</w:t>
      </w:r>
      <w:r w:rsidR="00A66C47" w:rsidRPr="00124B71">
        <w:rPr>
          <w:rFonts w:cs="Times New Roman"/>
        </w:rPr>
        <w:t xml:space="preserve"> </w:t>
      </w:r>
      <w:r w:rsidR="004F3A68" w:rsidRPr="00124B71">
        <w:rPr>
          <w:rFonts w:cs="Times New Roman"/>
        </w:rPr>
        <w:t>For a given price level, i</w:t>
      </w:r>
      <w:r w:rsidR="00A66C47" w:rsidRPr="00124B71">
        <w:rPr>
          <w:rFonts w:cs="Times New Roman"/>
        </w:rPr>
        <w:t>f the cost of house construction increases, the value of land decreases; if the cost of house construction decreases, the value of land increases. This last point is often confusing as the inverse relationship between building cost and land value</w:t>
      </w:r>
      <w:r w:rsidR="001858B5">
        <w:rPr>
          <w:rFonts w:cs="Times New Roman"/>
        </w:rPr>
        <w:fldChar w:fldCharType="begin"/>
      </w:r>
      <w:r w:rsidR="00FF74AC">
        <w:instrText xml:space="preserve"> XE "</w:instrText>
      </w:r>
      <w:r w:rsidR="00FF74AC" w:rsidRPr="006D4891">
        <w:rPr>
          <w:rFonts w:cs="Times New Roman"/>
        </w:rPr>
        <w:instrText>land value</w:instrText>
      </w:r>
      <w:r w:rsidR="00FF74AC">
        <w:instrText xml:space="preserve">" </w:instrText>
      </w:r>
      <w:r w:rsidR="001858B5">
        <w:rPr>
          <w:rFonts w:cs="Times New Roman"/>
        </w:rPr>
        <w:fldChar w:fldCharType="end"/>
      </w:r>
      <w:r w:rsidR="00A66C47" w:rsidRPr="00124B71">
        <w:rPr>
          <w:rFonts w:cs="Times New Roman"/>
        </w:rPr>
        <w:t xml:space="preserve"> does not seem intuitive, but since land value is a </w:t>
      </w:r>
      <w:r w:rsidR="00A66C47" w:rsidRPr="00124B71">
        <w:rPr>
          <w:rFonts w:cs="Times New Roman"/>
        </w:rPr>
        <w:lastRenderedPageBreak/>
        <w:t>residual calculation, this relationship is the reality of the marketplace.</w:t>
      </w:r>
      <w:r w:rsidRPr="00124B71">
        <w:rPr>
          <w:rFonts w:cs="Times New Roman"/>
        </w:rPr>
        <w:t xml:space="preserve"> The value of a piece of land used for residential housing is directly tied to the revenues and costs of house construction.</w:t>
      </w:r>
    </w:p>
    <w:p w14:paraId="4D8F6D81" w14:textId="77777777" w:rsidR="00D06362" w:rsidRPr="00EF0EDA" w:rsidRDefault="00D06362" w:rsidP="00652DA3">
      <w:pPr>
        <w:pStyle w:val="Heading3"/>
      </w:pPr>
      <w:bookmarkStart w:id="79" w:name="_Toc238867313"/>
      <w:r w:rsidRPr="00EF0EDA">
        <w:t>Individual Lots</w:t>
      </w:r>
      <w:bookmarkEnd w:id="79"/>
      <w:r w:rsidRPr="00EF0EDA">
        <w:t xml:space="preserve"> </w:t>
      </w:r>
    </w:p>
    <w:p w14:paraId="1268BD71" w14:textId="77777777" w:rsidR="00D06362" w:rsidRPr="00124B71" w:rsidRDefault="00B57C25" w:rsidP="00652DA3">
      <w:pPr>
        <w:rPr>
          <w:rFonts w:cs="Times New Roman"/>
        </w:rPr>
      </w:pPr>
      <w:r w:rsidRPr="00124B71">
        <w:rPr>
          <w:rFonts w:cs="Times New Roman"/>
        </w:rPr>
        <w:t xml:space="preserve">The equations which govern the valuations of large parcels are very similar those which determine the value of an individual lot; therefore, to better understand the valuation of large parcels, one should fully understand how to evaluate an individual lot. </w:t>
      </w:r>
      <w:r w:rsidR="00D06362" w:rsidRPr="00124B71">
        <w:rPr>
          <w:rFonts w:cs="Times New Roman"/>
        </w:rPr>
        <w:t xml:space="preserve">The market value of </w:t>
      </w:r>
      <w:r w:rsidR="001D0176" w:rsidRPr="00124B71">
        <w:rPr>
          <w:rFonts w:cs="Times New Roman"/>
        </w:rPr>
        <w:t>an</w:t>
      </w:r>
      <w:r w:rsidR="00D06362" w:rsidRPr="00124B71">
        <w:rPr>
          <w:rFonts w:cs="Times New Roman"/>
        </w:rPr>
        <w:t xml:space="preserve"> individual lot is equal to the revenue it could generate</w:t>
      </w:r>
      <w:r w:rsidR="005E226A" w:rsidRPr="00124B71">
        <w:rPr>
          <w:rFonts w:cs="Times New Roman"/>
        </w:rPr>
        <w:t xml:space="preserve"> when a residential housing unit is built on it</w:t>
      </w:r>
      <w:r w:rsidR="00D06362" w:rsidRPr="00124B71">
        <w:rPr>
          <w:rFonts w:cs="Times New Roman"/>
        </w:rPr>
        <w:t xml:space="preserve"> minus the cost of creating that revenue</w:t>
      </w:r>
      <w:r w:rsidR="005E226A" w:rsidRPr="00124B71">
        <w:rPr>
          <w:rFonts w:cs="Times New Roman"/>
        </w:rPr>
        <w:t xml:space="preserve"> (construction cost, marketing, profit,</w:t>
      </w:r>
      <w:r w:rsidR="00B20143" w:rsidRPr="00124B71">
        <w:rPr>
          <w:rFonts w:cs="Times New Roman"/>
        </w:rPr>
        <w:t xml:space="preserve"> and other costs</w:t>
      </w:r>
      <w:r w:rsidR="00A40CA5" w:rsidRPr="00124B71">
        <w:rPr>
          <w:rFonts w:cs="Times New Roman"/>
        </w:rPr>
        <w:t>).</w:t>
      </w:r>
      <w:r w:rsidR="00664828" w:rsidRPr="00124B71">
        <w:rPr>
          <w:rFonts w:cs="Times New Roman"/>
        </w:rPr>
        <w:t xml:space="preserve"> </w:t>
      </w:r>
      <w:r w:rsidR="00D06362" w:rsidRPr="00124B71">
        <w:rPr>
          <w:rFonts w:cs="Times New Roman"/>
        </w:rPr>
        <w:t xml:space="preserve">Sales revenue will largely be determined by what can be built on the lot and how much that </w:t>
      </w:r>
      <w:r w:rsidRPr="00124B71">
        <w:rPr>
          <w:rFonts w:cs="Times New Roman"/>
        </w:rPr>
        <w:t>unit</w:t>
      </w:r>
      <w:r w:rsidR="00D06362" w:rsidRPr="00124B71">
        <w:rPr>
          <w:rFonts w:cs="Times New Roman"/>
        </w:rPr>
        <w:t xml:space="preserve"> would sell for in the market. The dimensions of the lot, building codes, and the local zoning ordinances create constraints on what can be built. Most often there </w:t>
      </w:r>
      <w:r w:rsidR="00B20143" w:rsidRPr="00124B71">
        <w:rPr>
          <w:rFonts w:cs="Times New Roman"/>
        </w:rPr>
        <w:t>is</w:t>
      </w:r>
      <w:r w:rsidR="00D06362" w:rsidRPr="00124B71">
        <w:rPr>
          <w:rFonts w:cs="Times New Roman"/>
        </w:rPr>
        <w:t xml:space="preserve"> some variety in choices available to construct on a given lot. Each of these options </w:t>
      </w:r>
      <w:r w:rsidR="00B20143" w:rsidRPr="00124B71">
        <w:rPr>
          <w:rFonts w:cs="Times New Roman"/>
        </w:rPr>
        <w:t>has a</w:t>
      </w:r>
      <w:r w:rsidR="00D06362" w:rsidRPr="00124B71">
        <w:rPr>
          <w:rFonts w:cs="Times New Roman"/>
        </w:rPr>
        <w:t xml:space="preserve"> </w:t>
      </w:r>
      <w:r w:rsidR="00B20143" w:rsidRPr="00124B71">
        <w:rPr>
          <w:rFonts w:cs="Times New Roman"/>
        </w:rPr>
        <w:t xml:space="preserve">revenue </w:t>
      </w:r>
      <w:r w:rsidR="00D06362" w:rsidRPr="00124B71">
        <w:rPr>
          <w:rFonts w:cs="Times New Roman"/>
        </w:rPr>
        <w:t xml:space="preserve">potential and an estimated cost. </w:t>
      </w:r>
      <w:r w:rsidRPr="00124B71">
        <w:rPr>
          <w:rFonts w:cs="Times New Roman"/>
        </w:rPr>
        <w:t>Builders produce t</w:t>
      </w:r>
      <w:r w:rsidR="00D06362" w:rsidRPr="00124B71">
        <w:rPr>
          <w:rFonts w:cs="Times New Roman"/>
        </w:rPr>
        <w:t>he combination which yields the greatest profit.</w:t>
      </w:r>
    </w:p>
    <w:p w14:paraId="573847C7" w14:textId="77777777" w:rsidR="00D06362" w:rsidRPr="00124B71" w:rsidRDefault="00D06362" w:rsidP="00652DA3">
      <w:pPr>
        <w:rPr>
          <w:rFonts w:cs="Times New Roman"/>
        </w:rPr>
      </w:pPr>
      <w:r w:rsidRPr="00124B71">
        <w:rPr>
          <w:rFonts w:cs="Times New Roman"/>
        </w:rPr>
        <w:t>Imagine a 6,000 Square Foot</w:t>
      </w:r>
      <w:r w:rsidR="006A3CBE" w:rsidRPr="00124B71">
        <w:rPr>
          <w:rFonts w:cs="Times New Roman"/>
        </w:rPr>
        <w:t xml:space="preserve"> (SF)</w:t>
      </w:r>
      <w:r w:rsidRPr="00124B71">
        <w:rPr>
          <w:rFonts w:cs="Times New Roman"/>
        </w:rPr>
        <w:t xml:space="preserve"> lot that is 60</w:t>
      </w:r>
      <w:r w:rsidR="00C844C0">
        <w:rPr>
          <w:rFonts w:cs="Times New Roman"/>
        </w:rPr>
        <w:t>'</w:t>
      </w:r>
      <w:r w:rsidRPr="00124B71">
        <w:rPr>
          <w:rFonts w:cs="Times New Roman"/>
        </w:rPr>
        <w:t xml:space="preserve"> wide by 100</w:t>
      </w:r>
      <w:r w:rsidR="00C844C0">
        <w:rPr>
          <w:rFonts w:cs="Times New Roman"/>
        </w:rPr>
        <w:t>'</w:t>
      </w:r>
      <w:r w:rsidRPr="00124B71">
        <w:rPr>
          <w:rFonts w:cs="Times New Roman"/>
        </w:rPr>
        <w:t xml:space="preserve"> deep. A typical lot such as this would have a front setback of 20</w:t>
      </w:r>
      <w:r w:rsidR="00C844C0">
        <w:rPr>
          <w:rFonts w:cs="Times New Roman"/>
        </w:rPr>
        <w:t>'</w:t>
      </w:r>
      <w:r w:rsidRPr="00124B71">
        <w:rPr>
          <w:rFonts w:cs="Times New Roman"/>
        </w:rPr>
        <w:t>, side setbacks of 5</w:t>
      </w:r>
      <w:r w:rsidR="00C844C0">
        <w:rPr>
          <w:rFonts w:cs="Times New Roman"/>
        </w:rPr>
        <w:t>'</w:t>
      </w:r>
      <w:r w:rsidRPr="00124B71">
        <w:rPr>
          <w:rFonts w:cs="Times New Roman"/>
        </w:rPr>
        <w:t>, and a rear setback of 30</w:t>
      </w:r>
      <w:r w:rsidR="00C844C0">
        <w:rPr>
          <w:rFonts w:cs="Times New Roman"/>
        </w:rPr>
        <w:t>'</w:t>
      </w:r>
      <w:r w:rsidRPr="00124B71">
        <w:rPr>
          <w:rFonts w:cs="Times New Roman"/>
        </w:rPr>
        <w:t xml:space="preserve"> leaving a 50</w:t>
      </w:r>
      <w:r w:rsidR="00C844C0">
        <w:rPr>
          <w:rFonts w:cs="Times New Roman"/>
        </w:rPr>
        <w:t>'</w:t>
      </w:r>
      <w:r w:rsidRPr="00124B71">
        <w:rPr>
          <w:rFonts w:cs="Times New Roman"/>
        </w:rPr>
        <w:t xml:space="preserve"> wide by 50</w:t>
      </w:r>
      <w:r w:rsidR="00C844C0">
        <w:rPr>
          <w:rFonts w:cs="Times New Roman"/>
        </w:rPr>
        <w:t>'</w:t>
      </w:r>
      <w:r w:rsidRPr="00124B71">
        <w:rPr>
          <w:rFonts w:cs="Times New Roman"/>
        </w:rPr>
        <w:t xml:space="preserve"> deep</w:t>
      </w:r>
      <w:r w:rsidR="00664828" w:rsidRPr="00124B71">
        <w:rPr>
          <w:rFonts w:cs="Times New Roman"/>
        </w:rPr>
        <w:t xml:space="preserve"> building</w:t>
      </w:r>
      <w:r w:rsidRPr="00124B71">
        <w:rPr>
          <w:rFonts w:cs="Times New Roman"/>
        </w:rPr>
        <w:t xml:space="preserve"> envelope for the house foundation. This site could comfortably accommodate a 2,000 SF</w:t>
      </w:r>
      <w:r w:rsidR="00B57C25" w:rsidRPr="00124B71">
        <w:rPr>
          <w:rFonts w:cs="Times New Roman"/>
        </w:rPr>
        <w:t xml:space="preserve"> single-story</w:t>
      </w:r>
      <w:r w:rsidRPr="00124B71">
        <w:rPr>
          <w:rFonts w:cs="Times New Roman"/>
        </w:rPr>
        <w:t xml:space="preserve"> house (some area is lost by not making the house a perfect rectangle</w:t>
      </w:r>
      <w:r w:rsidR="00A40CA5" w:rsidRPr="00124B71">
        <w:rPr>
          <w:rFonts w:cs="Times New Roman"/>
        </w:rPr>
        <w:t>).</w:t>
      </w:r>
      <w:r w:rsidRPr="00124B71">
        <w:rPr>
          <w:rFonts w:cs="Times New Roman"/>
        </w:rPr>
        <w:t xml:space="preserve"> For the sake of making the calculations easy</w:t>
      </w:r>
      <w:r w:rsidR="00664828" w:rsidRPr="00124B71">
        <w:rPr>
          <w:rFonts w:cs="Times New Roman"/>
        </w:rPr>
        <w:t xml:space="preserve"> to follow</w:t>
      </w:r>
      <w:r w:rsidRPr="00124B71">
        <w:rPr>
          <w:rFonts w:cs="Times New Roman"/>
        </w:rPr>
        <w:t>,</w:t>
      </w:r>
      <w:r w:rsidR="00664828" w:rsidRPr="00124B71">
        <w:rPr>
          <w:rFonts w:cs="Times New Roman"/>
        </w:rPr>
        <w:t xml:space="preserve"> assume</w:t>
      </w:r>
      <w:r w:rsidRPr="00124B71">
        <w:rPr>
          <w:rFonts w:cs="Times New Roman"/>
        </w:rPr>
        <w:t xml:space="preserve"> this house could sell for $1,000,000 (peak prices</w:t>
      </w:r>
      <w:r w:rsidR="00B57C25" w:rsidRPr="00124B71">
        <w:rPr>
          <w:rFonts w:cs="Times New Roman"/>
        </w:rPr>
        <w:t xml:space="preserve"> in Irvine were around $500 / SF</w:t>
      </w:r>
      <w:r w:rsidRPr="00124B71">
        <w:rPr>
          <w:rFonts w:cs="Times New Roman"/>
        </w:rPr>
        <w:t>).</w:t>
      </w:r>
    </w:p>
    <w:p w14:paraId="2526922F" w14:textId="77777777" w:rsidR="00D06362" w:rsidRPr="00124B71" w:rsidRDefault="00D06362" w:rsidP="00652DA3">
      <w:pPr>
        <w:rPr>
          <w:rFonts w:cs="Times New Roman"/>
        </w:rPr>
      </w:pPr>
      <w:r w:rsidRPr="00124B71">
        <w:rPr>
          <w:rFonts w:cs="Times New Roman"/>
        </w:rPr>
        <w:t>An individual speculator would be paying retail prices for house construction. This would be upwards of $150 SF. The cost of construction would be around $300,000 (2000 * 150 = $300,000</w:t>
      </w:r>
      <w:r w:rsidR="00A40CA5" w:rsidRPr="00124B71">
        <w:rPr>
          <w:rFonts w:cs="Times New Roman"/>
        </w:rPr>
        <w:t>).</w:t>
      </w:r>
      <w:r w:rsidRPr="00124B71">
        <w:rPr>
          <w:rFonts w:cs="Times New Roman"/>
        </w:rPr>
        <w:t xml:space="preserve"> There would be a 6% sales commission (1,000,000 * 0.06 = $60,000), plus financing costs, overhead costs, and other miscellaneous costs which will add up to about 10% of the project cost (1,000,000 * 0.1 = $100,000</w:t>
      </w:r>
      <w:r w:rsidR="00A40CA5" w:rsidRPr="00124B71">
        <w:rPr>
          <w:rFonts w:cs="Times New Roman"/>
        </w:rPr>
        <w:t>).</w:t>
      </w:r>
      <w:r w:rsidR="00B57C25" w:rsidRPr="00124B71">
        <w:rPr>
          <w:rFonts w:cs="Times New Roman"/>
        </w:rPr>
        <w:t xml:space="preserve"> </w:t>
      </w:r>
      <w:r w:rsidRPr="00124B71">
        <w:rPr>
          <w:rFonts w:cs="Times New Roman"/>
        </w:rPr>
        <w:t>Therefore, your revenue minus expenses would be $1,000,000 - $60,000 - $100,000 - $300,000 = $540,000. This is how much money would be available to pay for a lot at the breakeven point. Since a speculator would want to make a profit, the lot is discounted from $540,000 until an amount is reached to compensate for the risk and the headaches that go along with the project.</w:t>
      </w:r>
      <w:r w:rsidR="00B57C25" w:rsidRPr="00124B71">
        <w:rPr>
          <w:rFonts w:cs="Times New Roman"/>
        </w:rPr>
        <w:t xml:space="preserve"> </w:t>
      </w:r>
      <w:r w:rsidRPr="00124B71">
        <w:rPr>
          <w:rFonts w:cs="Times New Roman"/>
        </w:rPr>
        <w:t>Perhaps the speculator would want to make $120,000 (approximately 12% of sales price) in order to do this work? If so, the speculator would be able to offer $420,000 ($540,000 - $120,000 = $420,000) for the lot. If they are the highest bidder, they get the lot, and the project is theirs. (</w:t>
      </w:r>
      <w:r w:rsidR="00B57C25" w:rsidRPr="00124B71">
        <w:rPr>
          <w:rFonts w:cs="Times New Roman"/>
        </w:rPr>
        <w:t>T</w:t>
      </w:r>
      <w:r w:rsidRPr="00124B71">
        <w:rPr>
          <w:rFonts w:cs="Times New Roman"/>
        </w:rPr>
        <w:t xml:space="preserve">his same basic calculation also works for tear-down projects </w:t>
      </w:r>
      <w:r w:rsidR="00B20143" w:rsidRPr="00124B71">
        <w:rPr>
          <w:rFonts w:cs="Times New Roman"/>
        </w:rPr>
        <w:t>known as</w:t>
      </w:r>
      <w:r w:rsidRPr="00124B71">
        <w:rPr>
          <w:rFonts w:cs="Times New Roman"/>
        </w:rPr>
        <w:t xml:space="preserve"> “scrapers</w:t>
      </w:r>
      <w:r w:rsidR="001858B5">
        <w:rPr>
          <w:rFonts w:cs="Times New Roman"/>
        </w:rPr>
        <w:fldChar w:fldCharType="begin"/>
      </w:r>
      <w:r w:rsidR="00FF74AC">
        <w:instrText xml:space="preserve"> XE "</w:instrText>
      </w:r>
      <w:r w:rsidR="00FF74AC" w:rsidRPr="00E829ED">
        <w:rPr>
          <w:rFonts w:cs="Times New Roman"/>
        </w:rPr>
        <w:instrText>scrapers</w:instrText>
      </w:r>
      <w:r w:rsidR="00FF74AC">
        <w:instrText xml:space="preserve">" </w:instrText>
      </w:r>
      <w:r w:rsidR="001858B5">
        <w:rPr>
          <w:rFonts w:cs="Times New Roman"/>
        </w:rPr>
        <w:fldChar w:fldCharType="end"/>
      </w:r>
      <w:r w:rsidRPr="00124B71">
        <w:rPr>
          <w:rFonts w:cs="Times New Roman"/>
        </w:rPr>
        <w:t>”</w:t>
      </w:r>
      <w:r w:rsidR="006A3CBE" w:rsidRPr="00124B71">
        <w:rPr>
          <w:rFonts w:cs="Times New Roman"/>
        </w:rPr>
        <w:t>)</w:t>
      </w:r>
      <w:r w:rsidR="004963BA" w:rsidRPr="00124B71">
        <w:rPr>
          <w:rFonts w:cs="Times New Roman"/>
        </w:rPr>
        <w:t>.</w:t>
      </w:r>
    </w:p>
    <w:p w14:paraId="53C2D656" w14:textId="77777777" w:rsidR="00D06362" w:rsidRPr="00EF0EDA" w:rsidRDefault="00D06362" w:rsidP="00652DA3">
      <w:pPr>
        <w:pStyle w:val="Heading3"/>
      </w:pPr>
      <w:bookmarkStart w:id="80" w:name="_Toc238867314"/>
      <w:r w:rsidRPr="00EF0EDA">
        <w:t>Multiple Lots</w:t>
      </w:r>
      <w:bookmarkEnd w:id="80"/>
    </w:p>
    <w:p w14:paraId="74A58318" w14:textId="77777777" w:rsidR="00D06362" w:rsidRPr="00124B71" w:rsidRDefault="00D06362" w:rsidP="00652DA3">
      <w:pPr>
        <w:rPr>
          <w:rFonts w:cs="Times New Roman"/>
        </w:rPr>
      </w:pPr>
      <w:r w:rsidRPr="00124B71">
        <w:rPr>
          <w:rFonts w:cs="Times New Roman"/>
        </w:rPr>
        <w:t>Production homebuilders</w:t>
      </w:r>
      <w:r w:rsidR="001858B5">
        <w:rPr>
          <w:rFonts w:cs="Times New Roman"/>
        </w:rPr>
        <w:fldChar w:fldCharType="begin"/>
      </w:r>
      <w:r w:rsidR="00FF74AC">
        <w:instrText xml:space="preserve"> XE "</w:instrText>
      </w:r>
      <w:r w:rsidR="00FF74AC" w:rsidRPr="00616E0E">
        <w:rPr>
          <w:rFonts w:cs="Times New Roman"/>
        </w:rPr>
        <w:instrText>Production homebuilders</w:instrText>
      </w:r>
      <w:r w:rsidR="00FF74AC">
        <w:instrText xml:space="preserve">" </w:instrText>
      </w:r>
      <w:r w:rsidR="001858B5">
        <w:rPr>
          <w:rFonts w:cs="Times New Roman"/>
        </w:rPr>
        <w:fldChar w:fldCharType="end"/>
      </w:r>
      <w:r w:rsidRPr="00124B71">
        <w:rPr>
          <w:rFonts w:cs="Times New Roman"/>
        </w:rPr>
        <w:t xml:space="preserve"> control the price of larger parcels with multiple lots because </w:t>
      </w:r>
      <w:r w:rsidR="00B57C25" w:rsidRPr="00124B71">
        <w:rPr>
          <w:rFonts w:cs="Times New Roman"/>
        </w:rPr>
        <w:t xml:space="preserve">they have the larger sums required to complete the purchase, and </w:t>
      </w:r>
      <w:r w:rsidRPr="00124B71">
        <w:rPr>
          <w:rFonts w:cs="Times New Roman"/>
        </w:rPr>
        <w:lastRenderedPageBreak/>
        <w:t xml:space="preserve">they can bid higher than individuals and still make a healthy profit. </w:t>
      </w:r>
      <w:r w:rsidR="00B57C25" w:rsidRPr="00124B71">
        <w:rPr>
          <w:rFonts w:cs="Times New Roman"/>
        </w:rPr>
        <w:t>Production builders</w:t>
      </w:r>
      <w:r w:rsidRPr="00124B71">
        <w:rPr>
          <w:rFonts w:cs="Times New Roman"/>
        </w:rPr>
        <w:t xml:space="preserve"> have a much lower construction cost than any individual because they are geared up for mass production. They have the buying power to squeeze costs down far lower than any individual working on their own or with a custom home builder. </w:t>
      </w:r>
      <w:r w:rsidR="001D0176" w:rsidRPr="00124B71">
        <w:rPr>
          <w:rFonts w:cs="Times New Roman"/>
        </w:rPr>
        <w:t>Production builders</w:t>
      </w:r>
      <w:r w:rsidR="006A3CBE" w:rsidRPr="00124B71">
        <w:rPr>
          <w:rFonts w:cs="Times New Roman"/>
        </w:rPr>
        <w:t>’</w:t>
      </w:r>
      <w:r w:rsidR="001D0176" w:rsidRPr="00124B71">
        <w:rPr>
          <w:rFonts w:cs="Times New Roman"/>
        </w:rPr>
        <w:t xml:space="preserve"> cost</w:t>
      </w:r>
      <w:r w:rsidR="00664828" w:rsidRPr="00124B71">
        <w:rPr>
          <w:rFonts w:cs="Times New Roman"/>
        </w:rPr>
        <w:t>s</w:t>
      </w:r>
      <w:r w:rsidRPr="00124B71">
        <w:rPr>
          <w:rFonts w:cs="Times New Roman"/>
        </w:rPr>
        <w:t xml:space="preserve"> in </w:t>
      </w:r>
      <w:r w:rsidR="00B57C25" w:rsidRPr="00124B71">
        <w:rPr>
          <w:rFonts w:cs="Times New Roman"/>
        </w:rPr>
        <w:t>the</w:t>
      </w:r>
      <w:r w:rsidR="00A02F7A" w:rsidRPr="00124B71">
        <w:rPr>
          <w:rFonts w:cs="Times New Roman"/>
        </w:rPr>
        <w:t xml:space="preserve"> California</w:t>
      </w:r>
      <w:r w:rsidR="00B57C25" w:rsidRPr="00124B71">
        <w:rPr>
          <w:rFonts w:cs="Times New Roman"/>
        </w:rPr>
        <w:t xml:space="preserve"> </w:t>
      </w:r>
      <w:r w:rsidRPr="00124B71">
        <w:rPr>
          <w:rFonts w:cs="Times New Roman"/>
        </w:rPr>
        <w:t>market</w:t>
      </w:r>
      <w:r w:rsidR="00B57C25" w:rsidRPr="00124B71">
        <w:rPr>
          <w:rFonts w:cs="Times New Roman"/>
        </w:rPr>
        <w:t xml:space="preserve"> in 2007</w:t>
      </w:r>
      <w:r w:rsidRPr="00124B71">
        <w:rPr>
          <w:rFonts w:cs="Times New Roman"/>
        </w:rPr>
        <w:t xml:space="preserve"> average</w:t>
      </w:r>
      <w:r w:rsidR="00664828" w:rsidRPr="00124B71">
        <w:rPr>
          <w:rFonts w:cs="Times New Roman"/>
        </w:rPr>
        <w:t>d</w:t>
      </w:r>
      <w:r w:rsidRPr="00124B71">
        <w:rPr>
          <w:rFonts w:cs="Times New Roman"/>
        </w:rPr>
        <w:t xml:space="preserve"> around $85 </w:t>
      </w:r>
      <w:r w:rsidR="004963BA" w:rsidRPr="00124B71">
        <w:rPr>
          <w:rFonts w:cs="Times New Roman"/>
        </w:rPr>
        <w:t>per square foot (</w:t>
      </w:r>
      <w:r w:rsidRPr="00124B71">
        <w:rPr>
          <w:rFonts w:cs="Times New Roman"/>
        </w:rPr>
        <w:t>SF</w:t>
      </w:r>
      <w:r w:rsidR="004963BA" w:rsidRPr="00124B71">
        <w:rPr>
          <w:rFonts w:cs="Times New Roman"/>
        </w:rPr>
        <w:t>).</w:t>
      </w:r>
      <w:r w:rsidR="00635AA0" w:rsidRPr="00124B71">
        <w:rPr>
          <w:rFonts w:cs="Times New Roman"/>
        </w:rPr>
        <w:t xml:space="preserve"> </w:t>
      </w:r>
      <w:r w:rsidR="00A707C2" w:rsidRPr="00124B71">
        <w:rPr>
          <w:rStyle w:val="EndnoteReference"/>
          <w:rFonts w:cs="Times New Roman"/>
        </w:rPr>
        <w:endnoteReference w:id="60"/>
      </w:r>
    </w:p>
    <w:p w14:paraId="0CA33877" w14:textId="77777777" w:rsidR="00B57C25" w:rsidRPr="00124B71" w:rsidRDefault="00D06362" w:rsidP="00652DA3">
      <w:pPr>
        <w:rPr>
          <w:rFonts w:cs="Times New Roman"/>
        </w:rPr>
      </w:pPr>
      <w:r w:rsidRPr="00124B71">
        <w:rPr>
          <w:rFonts w:cs="Times New Roman"/>
        </w:rPr>
        <w:t xml:space="preserve">A note about the numbers: </w:t>
      </w:r>
      <w:r w:rsidR="006A3CBE" w:rsidRPr="00124B71">
        <w:rPr>
          <w:rFonts w:cs="Times New Roman"/>
        </w:rPr>
        <w:t>p</w:t>
      </w:r>
      <w:r w:rsidRPr="00124B71">
        <w:rPr>
          <w:rFonts w:cs="Times New Roman"/>
        </w:rPr>
        <w:t xml:space="preserve">art of the process </w:t>
      </w:r>
      <w:r w:rsidR="00664828" w:rsidRPr="00124B71">
        <w:rPr>
          <w:rFonts w:cs="Times New Roman"/>
        </w:rPr>
        <w:t>of selling</w:t>
      </w:r>
      <w:r w:rsidRPr="00124B71">
        <w:rPr>
          <w:rFonts w:cs="Times New Roman"/>
        </w:rPr>
        <w:t xml:space="preserve"> a large parcel to a production homebuilder is </w:t>
      </w:r>
      <w:r w:rsidR="006A3CBE" w:rsidRPr="00124B71">
        <w:rPr>
          <w:rFonts w:cs="Times New Roman"/>
        </w:rPr>
        <w:t>coming</w:t>
      </w:r>
      <w:r w:rsidRPr="00124B71">
        <w:rPr>
          <w:rFonts w:cs="Times New Roman"/>
        </w:rPr>
        <w:t xml:space="preserve"> to an agreement as to the costs to complete the infrastructure of the project. In order to facilitate this negotiation, both parties often turn to a neutral third party to establish costs.</w:t>
      </w:r>
      <w:r w:rsidR="00664828" w:rsidRPr="00124B71">
        <w:rPr>
          <w:rFonts w:cs="Times New Roman"/>
        </w:rPr>
        <w:t xml:space="preserve"> Specialized consulting firms meet this need.</w:t>
      </w:r>
      <w:r w:rsidRPr="00124B71">
        <w:rPr>
          <w:rFonts w:cs="Times New Roman"/>
        </w:rPr>
        <w:t xml:space="preserve"> </w:t>
      </w:r>
      <w:r w:rsidR="00664828" w:rsidRPr="00124B71">
        <w:rPr>
          <w:rFonts w:cs="Times New Roman"/>
        </w:rPr>
        <w:t>These firms provide cost estimates with</w:t>
      </w:r>
      <w:r w:rsidRPr="00124B71">
        <w:rPr>
          <w:rFonts w:cs="Times New Roman"/>
        </w:rPr>
        <w:t xml:space="preserve"> much more detail than what </w:t>
      </w:r>
      <w:r w:rsidR="00B57C25" w:rsidRPr="00124B71">
        <w:rPr>
          <w:rFonts w:cs="Times New Roman"/>
        </w:rPr>
        <w:t>is presented here</w:t>
      </w:r>
      <w:r w:rsidRPr="00124B71">
        <w:rPr>
          <w:rFonts w:cs="Times New Roman"/>
        </w:rPr>
        <w:t xml:space="preserve">, but the numbers are reflective of a typical situation. </w:t>
      </w:r>
    </w:p>
    <w:p w14:paraId="6CB9F3BC" w14:textId="77777777" w:rsidR="00D06362" w:rsidRPr="00124B71" w:rsidRDefault="00664828" w:rsidP="00652DA3">
      <w:pPr>
        <w:rPr>
          <w:rFonts w:cs="Times New Roman"/>
        </w:rPr>
      </w:pPr>
      <w:r w:rsidRPr="00124B71">
        <w:rPr>
          <w:rFonts w:cs="Times New Roman"/>
        </w:rPr>
        <w:t>The following</w:t>
      </w:r>
      <w:r w:rsidR="006A3CBE" w:rsidRPr="00124B71">
        <w:rPr>
          <w:rFonts w:cs="Times New Roman"/>
        </w:rPr>
        <w:t xml:space="preserve"> exercise</w:t>
      </w:r>
      <w:r w:rsidRPr="00124B71">
        <w:rPr>
          <w:rFonts w:cs="Times New Roman"/>
        </w:rPr>
        <w:t xml:space="preserve"> is</w:t>
      </w:r>
      <w:r w:rsidR="00D06362" w:rsidRPr="00124B71">
        <w:rPr>
          <w:rFonts w:cs="Times New Roman"/>
        </w:rPr>
        <w:t xml:space="preserve"> </w:t>
      </w:r>
      <w:r w:rsidR="006A3CBE" w:rsidRPr="00124B71">
        <w:rPr>
          <w:rFonts w:cs="Times New Roman"/>
        </w:rPr>
        <w:t xml:space="preserve">an example of </w:t>
      </w:r>
      <w:r w:rsidR="00D06362" w:rsidRPr="00124B71">
        <w:rPr>
          <w:rFonts w:cs="Times New Roman"/>
        </w:rPr>
        <w:t xml:space="preserve">how a production builder would analyze a 100-lot subdivision in which </w:t>
      </w:r>
      <w:r w:rsidR="006A3CBE" w:rsidRPr="00124B71">
        <w:rPr>
          <w:rFonts w:cs="Times New Roman"/>
        </w:rPr>
        <w:t>it</w:t>
      </w:r>
      <w:r w:rsidR="00D06362" w:rsidRPr="00124B71">
        <w:rPr>
          <w:rFonts w:cs="Times New Roman"/>
        </w:rPr>
        <w:t xml:space="preserve"> believe</w:t>
      </w:r>
      <w:r w:rsidR="006A3CBE" w:rsidRPr="00124B71">
        <w:rPr>
          <w:rFonts w:cs="Times New Roman"/>
        </w:rPr>
        <w:t>s</w:t>
      </w:r>
      <w:r w:rsidR="00D06362" w:rsidRPr="00124B71">
        <w:rPr>
          <w:rFonts w:cs="Times New Roman"/>
        </w:rPr>
        <w:t xml:space="preserve"> homes </w:t>
      </w:r>
      <w:r w:rsidR="006A3CBE" w:rsidRPr="00124B71">
        <w:rPr>
          <w:rFonts w:cs="Times New Roman"/>
        </w:rPr>
        <w:t xml:space="preserve">could be sold </w:t>
      </w:r>
      <w:r w:rsidR="00D06362" w:rsidRPr="00124B71">
        <w:rPr>
          <w:rFonts w:cs="Times New Roman"/>
        </w:rPr>
        <w:t>for an average of $1,000,000 per unit.</w:t>
      </w:r>
    </w:p>
    <w:p w14:paraId="34C87094" w14:textId="661B7B88" w:rsidR="00861B6D" w:rsidRPr="00EF0EDA" w:rsidRDefault="00DE0510" w:rsidP="00DE0510">
      <w:pPr>
        <w:pStyle w:val="Caption"/>
      </w:pPr>
      <w:bookmarkStart w:id="81" w:name="_Toc238867424"/>
      <w:r>
        <w:t xml:space="preserve">Equation </w:t>
      </w:r>
      <w:fldSimple w:instr=" SEQ Equation \* ARABIC ">
        <w:r w:rsidR="00493733">
          <w:rPr>
            <w:noProof/>
          </w:rPr>
          <w:t>2</w:t>
        </w:r>
      </w:fldSimple>
      <w:r w:rsidR="00317936">
        <w:t xml:space="preserve">: </w:t>
      </w:r>
      <w:r w:rsidR="00861B6D" w:rsidRPr="00EF0EDA">
        <w:t>Value of Hypothetical 100-Lot Subdivision</w:t>
      </w:r>
      <w:bookmarkEnd w:id="81"/>
    </w:p>
    <w:tbl>
      <w:tblPr>
        <w:tblW w:w="5935" w:type="dxa"/>
        <w:tblInd w:w="93" w:type="dxa"/>
        <w:tblLook w:val="04A0" w:firstRow="1" w:lastRow="0" w:firstColumn="1" w:lastColumn="0" w:noHBand="0" w:noVBand="1"/>
      </w:tblPr>
      <w:tblGrid>
        <w:gridCol w:w="222"/>
        <w:gridCol w:w="1776"/>
        <w:gridCol w:w="740"/>
        <w:gridCol w:w="157"/>
        <w:gridCol w:w="2883"/>
        <w:gridCol w:w="157"/>
      </w:tblGrid>
      <w:tr w:rsidR="00744C7C" w:rsidRPr="00FB5E2A" w14:paraId="0BF24ACF" w14:textId="77777777" w:rsidTr="002A2E21">
        <w:trPr>
          <w:gridAfter w:val="1"/>
          <w:wAfter w:w="157" w:type="dxa"/>
          <w:trHeight w:hRule="exact" w:val="173"/>
        </w:trPr>
        <w:tc>
          <w:tcPr>
            <w:tcW w:w="1998" w:type="dxa"/>
            <w:gridSpan w:val="2"/>
            <w:tcBorders>
              <w:top w:val="nil"/>
              <w:left w:val="nil"/>
              <w:bottom w:val="nil"/>
              <w:right w:val="nil"/>
            </w:tcBorders>
            <w:noWrap/>
            <w:vAlign w:val="bottom"/>
            <w:hideMark/>
          </w:tcPr>
          <w:p w14:paraId="0893AC38"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Revenue</w:t>
            </w:r>
          </w:p>
        </w:tc>
        <w:tc>
          <w:tcPr>
            <w:tcW w:w="740" w:type="dxa"/>
            <w:tcBorders>
              <w:top w:val="nil"/>
              <w:left w:val="nil"/>
              <w:bottom w:val="nil"/>
              <w:right w:val="nil"/>
            </w:tcBorders>
            <w:noWrap/>
            <w:vAlign w:val="bottom"/>
            <w:hideMark/>
          </w:tcPr>
          <w:p w14:paraId="24429AA4" w14:textId="77777777" w:rsidR="00744C7C" w:rsidRPr="00FB5E2A" w:rsidRDefault="00744C7C" w:rsidP="00652DA3">
            <w:pPr>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2A334532" w14:textId="77777777" w:rsidR="00744C7C" w:rsidRPr="00FB5E2A" w:rsidRDefault="00744C7C" w:rsidP="00652DA3">
            <w:pPr>
              <w:ind w:firstLine="0"/>
              <w:rPr>
                <w:rFonts w:eastAsia="Times New Roman" w:cs="Times New Roman"/>
                <w:color w:val="000000"/>
                <w:sz w:val="18"/>
                <w:szCs w:val="18"/>
                <w:lang w:bidi="ar-SA"/>
              </w:rPr>
            </w:pPr>
          </w:p>
        </w:tc>
      </w:tr>
      <w:tr w:rsidR="00744C7C" w:rsidRPr="00FB5E2A" w14:paraId="32E865E3"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692CB127"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729509B8"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1,000,000 </w:t>
            </w:r>
          </w:p>
        </w:tc>
        <w:tc>
          <w:tcPr>
            <w:tcW w:w="3780" w:type="dxa"/>
            <w:gridSpan w:val="3"/>
            <w:tcBorders>
              <w:top w:val="nil"/>
              <w:left w:val="nil"/>
              <w:bottom w:val="nil"/>
              <w:right w:val="nil"/>
            </w:tcBorders>
            <w:noWrap/>
            <w:vAlign w:val="bottom"/>
            <w:hideMark/>
          </w:tcPr>
          <w:p w14:paraId="5AA2CEE7"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Sales Price</w:t>
            </w:r>
          </w:p>
        </w:tc>
      </w:tr>
      <w:tr w:rsidR="00744C7C" w:rsidRPr="00FB5E2A" w14:paraId="4402917B"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18997382"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51F104FD" w14:textId="77777777" w:rsidR="00744C7C" w:rsidRPr="00FB5E2A" w:rsidRDefault="00744C7C" w:rsidP="00652DA3">
            <w:pPr>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265931AF" w14:textId="77777777" w:rsidR="00744C7C" w:rsidRPr="00FB5E2A" w:rsidRDefault="00744C7C" w:rsidP="00652DA3">
            <w:pPr>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46D3BCE6" w14:textId="77777777" w:rsidR="00744C7C" w:rsidRPr="00FB5E2A" w:rsidRDefault="00744C7C" w:rsidP="00652DA3">
            <w:pPr>
              <w:ind w:firstLine="0"/>
              <w:rPr>
                <w:rFonts w:eastAsia="Times New Roman" w:cs="Times New Roman"/>
                <w:color w:val="000000"/>
                <w:sz w:val="18"/>
                <w:szCs w:val="18"/>
                <w:lang w:bidi="ar-SA"/>
              </w:rPr>
            </w:pPr>
          </w:p>
        </w:tc>
      </w:tr>
      <w:tr w:rsidR="00744C7C" w:rsidRPr="00FB5E2A" w14:paraId="6D04AD7B" w14:textId="77777777" w:rsidTr="002A2E21">
        <w:trPr>
          <w:gridAfter w:val="1"/>
          <w:wAfter w:w="157" w:type="dxa"/>
          <w:trHeight w:hRule="exact" w:val="173"/>
        </w:trPr>
        <w:tc>
          <w:tcPr>
            <w:tcW w:w="1998" w:type="dxa"/>
            <w:gridSpan w:val="2"/>
            <w:tcBorders>
              <w:top w:val="nil"/>
              <w:left w:val="nil"/>
              <w:bottom w:val="nil"/>
              <w:right w:val="nil"/>
            </w:tcBorders>
            <w:noWrap/>
            <w:vAlign w:val="bottom"/>
            <w:hideMark/>
          </w:tcPr>
          <w:p w14:paraId="3193F1ED"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Costs</w:t>
            </w:r>
          </w:p>
        </w:tc>
        <w:tc>
          <w:tcPr>
            <w:tcW w:w="740" w:type="dxa"/>
            <w:tcBorders>
              <w:top w:val="nil"/>
              <w:left w:val="nil"/>
              <w:bottom w:val="nil"/>
              <w:right w:val="nil"/>
            </w:tcBorders>
            <w:noWrap/>
            <w:vAlign w:val="bottom"/>
            <w:hideMark/>
          </w:tcPr>
          <w:p w14:paraId="13B4ED90" w14:textId="77777777" w:rsidR="00744C7C" w:rsidRPr="00FB5E2A" w:rsidRDefault="00744C7C" w:rsidP="00652DA3">
            <w:pPr>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1F0A6656" w14:textId="77777777" w:rsidR="00744C7C" w:rsidRPr="00FB5E2A" w:rsidRDefault="00744C7C" w:rsidP="00652DA3">
            <w:pPr>
              <w:ind w:firstLine="0"/>
              <w:rPr>
                <w:rFonts w:eastAsia="Times New Roman" w:cs="Times New Roman"/>
                <w:color w:val="000000"/>
                <w:sz w:val="18"/>
                <w:szCs w:val="18"/>
                <w:lang w:bidi="ar-SA"/>
              </w:rPr>
            </w:pPr>
          </w:p>
        </w:tc>
      </w:tr>
      <w:tr w:rsidR="00744C7C" w:rsidRPr="00FB5E2A" w14:paraId="7AB877AD"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67804962"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3F8C1EA0"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Fixed Costs</w:t>
            </w:r>
          </w:p>
        </w:tc>
        <w:tc>
          <w:tcPr>
            <w:tcW w:w="740" w:type="dxa"/>
            <w:tcBorders>
              <w:top w:val="nil"/>
              <w:left w:val="nil"/>
              <w:bottom w:val="nil"/>
              <w:right w:val="nil"/>
            </w:tcBorders>
            <w:noWrap/>
            <w:vAlign w:val="bottom"/>
            <w:hideMark/>
          </w:tcPr>
          <w:p w14:paraId="7D7FBAC9" w14:textId="77777777" w:rsidR="00744C7C" w:rsidRPr="00FB5E2A" w:rsidRDefault="00744C7C" w:rsidP="00652DA3">
            <w:pPr>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282DA8FB" w14:textId="77777777" w:rsidR="00744C7C" w:rsidRPr="00FB5E2A" w:rsidRDefault="00744C7C" w:rsidP="00652DA3">
            <w:pPr>
              <w:ind w:firstLine="0"/>
              <w:rPr>
                <w:rFonts w:eastAsia="Times New Roman" w:cs="Times New Roman"/>
                <w:color w:val="000000"/>
                <w:sz w:val="18"/>
                <w:szCs w:val="18"/>
                <w:lang w:bidi="ar-SA"/>
              </w:rPr>
            </w:pPr>
          </w:p>
        </w:tc>
      </w:tr>
      <w:tr w:rsidR="00744C7C" w:rsidRPr="00FB5E2A" w14:paraId="1C6058BB" w14:textId="77777777" w:rsidTr="002A2E21">
        <w:trPr>
          <w:trHeight w:hRule="exact" w:val="173"/>
        </w:trPr>
        <w:tc>
          <w:tcPr>
            <w:tcW w:w="222" w:type="dxa"/>
            <w:tcBorders>
              <w:top w:val="nil"/>
              <w:left w:val="nil"/>
              <w:bottom w:val="nil"/>
              <w:right w:val="nil"/>
            </w:tcBorders>
            <w:noWrap/>
            <w:vAlign w:val="bottom"/>
            <w:hideMark/>
          </w:tcPr>
          <w:p w14:paraId="11D42787"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12FD2D4E" w14:textId="77777777" w:rsidR="00744C7C" w:rsidRPr="00FB5E2A" w:rsidRDefault="00744C7C" w:rsidP="00652DA3">
            <w:pPr>
              <w:ind w:firstLine="0"/>
              <w:rPr>
                <w:rFonts w:eastAsia="Times New Roman" w:cs="Times New Roman"/>
                <w:color w:val="000000"/>
                <w:sz w:val="18"/>
                <w:szCs w:val="18"/>
                <w:lang w:bidi="ar-SA"/>
              </w:rPr>
            </w:pPr>
          </w:p>
        </w:tc>
        <w:tc>
          <w:tcPr>
            <w:tcW w:w="897" w:type="dxa"/>
            <w:gridSpan w:val="2"/>
            <w:tcBorders>
              <w:top w:val="nil"/>
              <w:left w:val="nil"/>
              <w:bottom w:val="nil"/>
              <w:right w:val="nil"/>
            </w:tcBorders>
            <w:noWrap/>
            <w:vAlign w:val="bottom"/>
            <w:hideMark/>
          </w:tcPr>
          <w:p w14:paraId="15BFB2D9"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2,000 </w:t>
            </w:r>
          </w:p>
        </w:tc>
        <w:tc>
          <w:tcPr>
            <w:tcW w:w="3040" w:type="dxa"/>
            <w:gridSpan w:val="2"/>
            <w:tcBorders>
              <w:top w:val="nil"/>
              <w:left w:val="nil"/>
              <w:bottom w:val="nil"/>
              <w:right w:val="nil"/>
            </w:tcBorders>
            <w:noWrap/>
            <w:vAlign w:val="bottom"/>
            <w:hideMark/>
          </w:tcPr>
          <w:p w14:paraId="763CFA6F"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House Square Footage</w:t>
            </w:r>
          </w:p>
        </w:tc>
      </w:tr>
      <w:tr w:rsidR="00744C7C" w:rsidRPr="00FB5E2A" w14:paraId="06CA03B3" w14:textId="77777777" w:rsidTr="002A2E21">
        <w:trPr>
          <w:trHeight w:hRule="exact" w:val="173"/>
        </w:trPr>
        <w:tc>
          <w:tcPr>
            <w:tcW w:w="222" w:type="dxa"/>
            <w:tcBorders>
              <w:top w:val="nil"/>
              <w:left w:val="nil"/>
              <w:bottom w:val="nil"/>
              <w:right w:val="nil"/>
            </w:tcBorders>
            <w:noWrap/>
            <w:vAlign w:val="bottom"/>
            <w:hideMark/>
          </w:tcPr>
          <w:p w14:paraId="3738C0B2"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double" w:sz="6" w:space="0" w:color="auto"/>
              <w:right w:val="nil"/>
            </w:tcBorders>
            <w:noWrap/>
            <w:vAlign w:val="bottom"/>
            <w:hideMark/>
          </w:tcPr>
          <w:p w14:paraId="17454070"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w:t>
            </w:r>
          </w:p>
        </w:tc>
        <w:tc>
          <w:tcPr>
            <w:tcW w:w="897" w:type="dxa"/>
            <w:gridSpan w:val="2"/>
            <w:tcBorders>
              <w:top w:val="nil"/>
              <w:left w:val="nil"/>
              <w:bottom w:val="double" w:sz="6" w:space="0" w:color="auto"/>
              <w:right w:val="nil"/>
            </w:tcBorders>
            <w:noWrap/>
            <w:vAlign w:val="bottom"/>
            <w:hideMark/>
          </w:tcPr>
          <w:p w14:paraId="56C5BF02"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85 </w:t>
            </w:r>
          </w:p>
        </w:tc>
        <w:tc>
          <w:tcPr>
            <w:tcW w:w="3040" w:type="dxa"/>
            <w:gridSpan w:val="2"/>
            <w:tcBorders>
              <w:top w:val="nil"/>
              <w:left w:val="nil"/>
              <w:bottom w:val="double" w:sz="6" w:space="0" w:color="auto"/>
              <w:right w:val="nil"/>
            </w:tcBorders>
            <w:noWrap/>
            <w:vAlign w:val="bottom"/>
            <w:hideMark/>
          </w:tcPr>
          <w:p w14:paraId="7B3DA403"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Cost per Square Foot</w:t>
            </w:r>
          </w:p>
        </w:tc>
      </w:tr>
      <w:tr w:rsidR="00744C7C" w:rsidRPr="00FB5E2A" w14:paraId="50375E6B" w14:textId="77777777" w:rsidTr="002A2E21">
        <w:trPr>
          <w:gridAfter w:val="1"/>
          <w:wAfter w:w="157" w:type="dxa"/>
          <w:trHeight w:hRule="exact" w:val="288"/>
        </w:trPr>
        <w:tc>
          <w:tcPr>
            <w:tcW w:w="222" w:type="dxa"/>
            <w:tcBorders>
              <w:top w:val="nil"/>
              <w:left w:val="nil"/>
              <w:bottom w:val="nil"/>
              <w:right w:val="nil"/>
            </w:tcBorders>
            <w:noWrap/>
            <w:vAlign w:val="bottom"/>
            <w:hideMark/>
          </w:tcPr>
          <w:p w14:paraId="0EFCA034"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0C9AAAE2"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170,000 </w:t>
            </w:r>
          </w:p>
        </w:tc>
        <w:tc>
          <w:tcPr>
            <w:tcW w:w="3780" w:type="dxa"/>
            <w:gridSpan w:val="3"/>
            <w:tcBorders>
              <w:top w:val="nil"/>
              <w:left w:val="nil"/>
              <w:bottom w:val="nil"/>
              <w:right w:val="nil"/>
            </w:tcBorders>
            <w:noWrap/>
            <w:vAlign w:val="bottom"/>
            <w:hideMark/>
          </w:tcPr>
          <w:p w14:paraId="249A583A"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Cost of Physical Structure</w:t>
            </w:r>
          </w:p>
        </w:tc>
      </w:tr>
      <w:tr w:rsidR="00744C7C" w:rsidRPr="00FB5E2A" w14:paraId="00F83939"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772E154C"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double" w:sz="6" w:space="0" w:color="auto"/>
              <w:right w:val="nil"/>
            </w:tcBorders>
            <w:noWrap/>
            <w:vAlign w:val="bottom"/>
            <w:hideMark/>
          </w:tcPr>
          <w:p w14:paraId="3DF3EA10"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40,000 </w:t>
            </w:r>
          </w:p>
        </w:tc>
        <w:tc>
          <w:tcPr>
            <w:tcW w:w="3780" w:type="dxa"/>
            <w:gridSpan w:val="3"/>
            <w:tcBorders>
              <w:top w:val="nil"/>
              <w:left w:val="nil"/>
              <w:bottom w:val="double" w:sz="6" w:space="0" w:color="auto"/>
              <w:right w:val="nil"/>
            </w:tcBorders>
            <w:noWrap/>
            <w:vAlign w:val="bottom"/>
            <w:hideMark/>
          </w:tcPr>
          <w:p w14:paraId="51673F67"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Per-Lot Cost of Infrastructure</w:t>
            </w:r>
          </w:p>
        </w:tc>
      </w:tr>
      <w:tr w:rsidR="00744C7C" w:rsidRPr="00FB5E2A" w14:paraId="1A6855A2" w14:textId="77777777" w:rsidTr="002A2E21">
        <w:trPr>
          <w:gridAfter w:val="1"/>
          <w:wAfter w:w="157" w:type="dxa"/>
          <w:trHeight w:hRule="exact" w:val="288"/>
        </w:trPr>
        <w:tc>
          <w:tcPr>
            <w:tcW w:w="222" w:type="dxa"/>
            <w:tcBorders>
              <w:top w:val="nil"/>
              <w:left w:val="nil"/>
              <w:bottom w:val="nil"/>
              <w:right w:val="nil"/>
            </w:tcBorders>
            <w:noWrap/>
            <w:vAlign w:val="bottom"/>
            <w:hideMark/>
          </w:tcPr>
          <w:p w14:paraId="4DB7FB46"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262F95C8"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210,000 </w:t>
            </w:r>
          </w:p>
        </w:tc>
        <w:tc>
          <w:tcPr>
            <w:tcW w:w="3780" w:type="dxa"/>
            <w:gridSpan w:val="3"/>
            <w:tcBorders>
              <w:top w:val="nil"/>
              <w:left w:val="nil"/>
              <w:bottom w:val="nil"/>
              <w:right w:val="nil"/>
            </w:tcBorders>
            <w:noWrap/>
            <w:vAlign w:val="bottom"/>
            <w:hideMark/>
          </w:tcPr>
          <w:p w14:paraId="0A91E76F"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Total Average Fixed Construction Costs</w:t>
            </w:r>
          </w:p>
        </w:tc>
      </w:tr>
      <w:tr w:rsidR="00744C7C" w:rsidRPr="00FB5E2A" w14:paraId="16D926C8"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2FA9E631"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23F0C470" w14:textId="77777777" w:rsidR="00744C7C" w:rsidRPr="00FB5E2A" w:rsidRDefault="00744C7C" w:rsidP="00652DA3">
            <w:pPr>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66ACBFF9" w14:textId="77777777" w:rsidR="00744C7C" w:rsidRPr="00FB5E2A" w:rsidRDefault="00744C7C" w:rsidP="00652DA3">
            <w:pPr>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0C4D91A5" w14:textId="77777777" w:rsidR="00744C7C" w:rsidRPr="00FB5E2A" w:rsidRDefault="00744C7C" w:rsidP="00652DA3">
            <w:pPr>
              <w:ind w:firstLine="0"/>
              <w:rPr>
                <w:rFonts w:eastAsia="Times New Roman" w:cs="Times New Roman"/>
                <w:color w:val="000000"/>
                <w:sz w:val="18"/>
                <w:szCs w:val="18"/>
                <w:lang w:bidi="ar-SA"/>
              </w:rPr>
            </w:pPr>
          </w:p>
        </w:tc>
      </w:tr>
      <w:tr w:rsidR="00744C7C" w:rsidRPr="00FB5E2A" w14:paraId="3D65FD7F"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23B19735"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6F0289D8"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Variable Costs</w:t>
            </w:r>
          </w:p>
        </w:tc>
        <w:tc>
          <w:tcPr>
            <w:tcW w:w="740" w:type="dxa"/>
            <w:tcBorders>
              <w:top w:val="nil"/>
              <w:left w:val="nil"/>
              <w:bottom w:val="nil"/>
              <w:right w:val="nil"/>
            </w:tcBorders>
            <w:noWrap/>
            <w:vAlign w:val="bottom"/>
            <w:hideMark/>
          </w:tcPr>
          <w:p w14:paraId="4F6F0925" w14:textId="77777777" w:rsidR="00744C7C" w:rsidRPr="00FB5E2A" w:rsidRDefault="00744C7C" w:rsidP="00652DA3">
            <w:pPr>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71BEBD03" w14:textId="77777777" w:rsidR="00744C7C" w:rsidRPr="00FB5E2A" w:rsidRDefault="00744C7C" w:rsidP="00652DA3">
            <w:pPr>
              <w:ind w:firstLine="0"/>
              <w:rPr>
                <w:rFonts w:eastAsia="Times New Roman" w:cs="Times New Roman"/>
                <w:color w:val="000000"/>
                <w:sz w:val="18"/>
                <w:szCs w:val="18"/>
                <w:lang w:bidi="ar-SA"/>
              </w:rPr>
            </w:pPr>
          </w:p>
        </w:tc>
      </w:tr>
      <w:tr w:rsidR="00744C7C" w:rsidRPr="00FB5E2A" w14:paraId="3B7AAFC3"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0CBAD013"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75CD21B2" w14:textId="77777777" w:rsidR="00744C7C" w:rsidRPr="00FB5E2A" w:rsidRDefault="00744C7C" w:rsidP="002A2E21">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120,000</w:t>
            </w:r>
          </w:p>
        </w:tc>
        <w:tc>
          <w:tcPr>
            <w:tcW w:w="740" w:type="dxa"/>
            <w:tcBorders>
              <w:top w:val="nil"/>
              <w:left w:val="nil"/>
              <w:bottom w:val="nil"/>
              <w:right w:val="nil"/>
            </w:tcBorders>
            <w:noWrap/>
            <w:vAlign w:val="bottom"/>
            <w:hideMark/>
          </w:tcPr>
          <w:p w14:paraId="59929DBA" w14:textId="77777777" w:rsidR="00744C7C" w:rsidRPr="00FB5E2A" w:rsidRDefault="00744C7C" w:rsidP="00652DA3">
            <w:pPr>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12%</w:t>
            </w:r>
          </w:p>
        </w:tc>
        <w:tc>
          <w:tcPr>
            <w:tcW w:w="3040" w:type="dxa"/>
            <w:gridSpan w:val="2"/>
            <w:tcBorders>
              <w:top w:val="nil"/>
              <w:left w:val="nil"/>
              <w:bottom w:val="nil"/>
              <w:right w:val="nil"/>
            </w:tcBorders>
            <w:noWrap/>
            <w:vAlign w:val="bottom"/>
            <w:hideMark/>
          </w:tcPr>
          <w:p w14:paraId="68B9D058"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Profit Margin</w:t>
            </w:r>
          </w:p>
        </w:tc>
      </w:tr>
      <w:tr w:rsidR="00744C7C" w:rsidRPr="00FB5E2A" w14:paraId="6D8CF13A" w14:textId="77777777" w:rsidTr="00A61076">
        <w:trPr>
          <w:gridAfter w:val="1"/>
          <w:wAfter w:w="157" w:type="dxa"/>
          <w:trHeight w:hRule="exact" w:val="202"/>
        </w:trPr>
        <w:tc>
          <w:tcPr>
            <w:tcW w:w="222" w:type="dxa"/>
            <w:tcBorders>
              <w:top w:val="nil"/>
              <w:left w:val="nil"/>
              <w:bottom w:val="nil"/>
              <w:right w:val="nil"/>
            </w:tcBorders>
            <w:noWrap/>
            <w:vAlign w:val="bottom"/>
            <w:hideMark/>
          </w:tcPr>
          <w:p w14:paraId="6CB5A5FA"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0FAD555E"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50,000 </w:t>
            </w:r>
          </w:p>
        </w:tc>
        <w:tc>
          <w:tcPr>
            <w:tcW w:w="740" w:type="dxa"/>
            <w:tcBorders>
              <w:top w:val="nil"/>
              <w:left w:val="nil"/>
              <w:bottom w:val="nil"/>
              <w:right w:val="nil"/>
            </w:tcBorders>
            <w:noWrap/>
            <w:vAlign w:val="bottom"/>
            <w:hideMark/>
          </w:tcPr>
          <w:p w14:paraId="07B0C00F" w14:textId="77777777" w:rsidR="00744C7C" w:rsidRPr="00FB5E2A" w:rsidRDefault="00744C7C" w:rsidP="00652DA3">
            <w:pPr>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5%</w:t>
            </w:r>
          </w:p>
        </w:tc>
        <w:tc>
          <w:tcPr>
            <w:tcW w:w="3040" w:type="dxa"/>
            <w:gridSpan w:val="2"/>
            <w:tcBorders>
              <w:top w:val="nil"/>
              <w:left w:val="nil"/>
              <w:bottom w:val="nil"/>
              <w:right w:val="nil"/>
            </w:tcBorders>
            <w:noWrap/>
            <w:vAlign w:val="bottom"/>
            <w:hideMark/>
          </w:tcPr>
          <w:p w14:paraId="22C4A8D0"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Marketing</w:t>
            </w:r>
          </w:p>
        </w:tc>
      </w:tr>
      <w:tr w:rsidR="00744C7C" w:rsidRPr="00FB5E2A" w14:paraId="4B98BC8A"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530F2AB7"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07E696DC"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30,000 </w:t>
            </w:r>
          </w:p>
        </w:tc>
        <w:tc>
          <w:tcPr>
            <w:tcW w:w="740" w:type="dxa"/>
            <w:tcBorders>
              <w:top w:val="nil"/>
              <w:left w:val="nil"/>
              <w:bottom w:val="nil"/>
              <w:right w:val="nil"/>
            </w:tcBorders>
            <w:noWrap/>
            <w:vAlign w:val="bottom"/>
            <w:hideMark/>
          </w:tcPr>
          <w:p w14:paraId="34362A5F" w14:textId="77777777" w:rsidR="00744C7C" w:rsidRPr="00FB5E2A" w:rsidRDefault="00744C7C" w:rsidP="00652DA3">
            <w:pPr>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3%</w:t>
            </w:r>
          </w:p>
        </w:tc>
        <w:tc>
          <w:tcPr>
            <w:tcW w:w="3040" w:type="dxa"/>
            <w:gridSpan w:val="2"/>
            <w:tcBorders>
              <w:top w:val="nil"/>
              <w:left w:val="nil"/>
              <w:bottom w:val="nil"/>
              <w:right w:val="nil"/>
            </w:tcBorders>
            <w:noWrap/>
            <w:vAlign w:val="bottom"/>
            <w:hideMark/>
          </w:tcPr>
          <w:p w14:paraId="1D045E0C"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Overhead</w:t>
            </w:r>
          </w:p>
        </w:tc>
      </w:tr>
      <w:tr w:rsidR="00744C7C" w:rsidRPr="00FB5E2A" w14:paraId="31F3D4C6"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3D85CD3B"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511F14C4"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50,000 </w:t>
            </w:r>
          </w:p>
        </w:tc>
        <w:tc>
          <w:tcPr>
            <w:tcW w:w="740" w:type="dxa"/>
            <w:tcBorders>
              <w:top w:val="nil"/>
              <w:left w:val="nil"/>
              <w:bottom w:val="nil"/>
              <w:right w:val="nil"/>
            </w:tcBorders>
            <w:noWrap/>
            <w:vAlign w:val="bottom"/>
            <w:hideMark/>
          </w:tcPr>
          <w:p w14:paraId="306C9638" w14:textId="77777777" w:rsidR="00744C7C" w:rsidRPr="00FB5E2A" w:rsidRDefault="00744C7C" w:rsidP="00652DA3">
            <w:pPr>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5%</w:t>
            </w:r>
          </w:p>
        </w:tc>
        <w:tc>
          <w:tcPr>
            <w:tcW w:w="3040" w:type="dxa"/>
            <w:gridSpan w:val="2"/>
            <w:tcBorders>
              <w:top w:val="nil"/>
              <w:left w:val="nil"/>
              <w:bottom w:val="nil"/>
              <w:right w:val="nil"/>
            </w:tcBorders>
            <w:noWrap/>
            <w:vAlign w:val="bottom"/>
            <w:hideMark/>
          </w:tcPr>
          <w:p w14:paraId="50CBB537"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Finance</w:t>
            </w:r>
          </w:p>
        </w:tc>
      </w:tr>
      <w:tr w:rsidR="00744C7C" w:rsidRPr="00FB5E2A" w14:paraId="08C6345E"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723688F1"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double" w:sz="6" w:space="0" w:color="auto"/>
              <w:right w:val="nil"/>
            </w:tcBorders>
            <w:noWrap/>
            <w:vAlign w:val="bottom"/>
            <w:hideMark/>
          </w:tcPr>
          <w:p w14:paraId="31307DA9"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30,000 </w:t>
            </w:r>
          </w:p>
        </w:tc>
        <w:tc>
          <w:tcPr>
            <w:tcW w:w="740" w:type="dxa"/>
            <w:tcBorders>
              <w:top w:val="nil"/>
              <w:left w:val="nil"/>
              <w:bottom w:val="double" w:sz="6" w:space="0" w:color="auto"/>
              <w:right w:val="nil"/>
            </w:tcBorders>
            <w:noWrap/>
            <w:vAlign w:val="bottom"/>
            <w:hideMark/>
          </w:tcPr>
          <w:p w14:paraId="2C519CD4" w14:textId="77777777" w:rsidR="00744C7C" w:rsidRPr="00FB5E2A" w:rsidRDefault="00744C7C" w:rsidP="00652DA3">
            <w:pPr>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3%</w:t>
            </w:r>
          </w:p>
        </w:tc>
        <w:tc>
          <w:tcPr>
            <w:tcW w:w="3040" w:type="dxa"/>
            <w:gridSpan w:val="2"/>
            <w:tcBorders>
              <w:top w:val="nil"/>
              <w:left w:val="nil"/>
              <w:bottom w:val="double" w:sz="6" w:space="0" w:color="auto"/>
              <w:right w:val="nil"/>
            </w:tcBorders>
            <w:noWrap/>
            <w:vAlign w:val="bottom"/>
            <w:hideMark/>
          </w:tcPr>
          <w:p w14:paraId="51FA4216"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Other</w:t>
            </w:r>
          </w:p>
        </w:tc>
      </w:tr>
      <w:tr w:rsidR="00744C7C" w:rsidRPr="00FB5E2A" w14:paraId="31617590" w14:textId="77777777" w:rsidTr="002A2E21">
        <w:trPr>
          <w:gridAfter w:val="1"/>
          <w:wAfter w:w="157" w:type="dxa"/>
          <w:trHeight w:hRule="exact" w:val="288"/>
        </w:trPr>
        <w:tc>
          <w:tcPr>
            <w:tcW w:w="222" w:type="dxa"/>
            <w:tcBorders>
              <w:top w:val="nil"/>
              <w:left w:val="nil"/>
              <w:bottom w:val="nil"/>
              <w:right w:val="nil"/>
            </w:tcBorders>
            <w:noWrap/>
            <w:vAlign w:val="bottom"/>
            <w:hideMark/>
          </w:tcPr>
          <w:p w14:paraId="36D39C9E"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6F2C2227"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280,000 </w:t>
            </w:r>
          </w:p>
        </w:tc>
        <w:tc>
          <w:tcPr>
            <w:tcW w:w="740" w:type="dxa"/>
            <w:tcBorders>
              <w:top w:val="nil"/>
              <w:left w:val="nil"/>
              <w:bottom w:val="nil"/>
              <w:right w:val="nil"/>
            </w:tcBorders>
            <w:noWrap/>
            <w:vAlign w:val="bottom"/>
            <w:hideMark/>
          </w:tcPr>
          <w:p w14:paraId="0B271A52" w14:textId="77777777" w:rsidR="00744C7C" w:rsidRPr="00FB5E2A" w:rsidRDefault="00744C7C" w:rsidP="00652DA3">
            <w:pPr>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28%</w:t>
            </w:r>
          </w:p>
        </w:tc>
        <w:tc>
          <w:tcPr>
            <w:tcW w:w="3040" w:type="dxa"/>
            <w:gridSpan w:val="2"/>
            <w:tcBorders>
              <w:top w:val="nil"/>
              <w:left w:val="nil"/>
              <w:bottom w:val="nil"/>
              <w:right w:val="nil"/>
            </w:tcBorders>
            <w:noWrap/>
            <w:vAlign w:val="bottom"/>
            <w:hideMark/>
          </w:tcPr>
          <w:p w14:paraId="762981B2"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Total Variable Costs</w:t>
            </w:r>
          </w:p>
        </w:tc>
      </w:tr>
      <w:tr w:rsidR="00744C7C" w:rsidRPr="00FB5E2A" w14:paraId="27FD442E"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02E7DE5F"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144A99D0" w14:textId="77777777" w:rsidR="00744C7C" w:rsidRPr="00FB5E2A" w:rsidRDefault="00744C7C" w:rsidP="00652DA3">
            <w:pPr>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0CFB75FE" w14:textId="77777777" w:rsidR="00744C7C" w:rsidRPr="00FB5E2A" w:rsidRDefault="00744C7C" w:rsidP="00652DA3">
            <w:pPr>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25EA48F2" w14:textId="77777777" w:rsidR="00744C7C" w:rsidRPr="00FB5E2A" w:rsidRDefault="00744C7C" w:rsidP="00652DA3">
            <w:pPr>
              <w:ind w:firstLine="0"/>
              <w:rPr>
                <w:rFonts w:eastAsia="Times New Roman" w:cs="Times New Roman"/>
                <w:color w:val="000000"/>
                <w:sz w:val="18"/>
                <w:szCs w:val="18"/>
                <w:lang w:bidi="ar-SA"/>
              </w:rPr>
            </w:pPr>
          </w:p>
        </w:tc>
      </w:tr>
      <w:tr w:rsidR="00744C7C" w:rsidRPr="00FB5E2A" w14:paraId="52993D97"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3A2D7180"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7C681EB4"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490,000 </w:t>
            </w:r>
          </w:p>
        </w:tc>
        <w:tc>
          <w:tcPr>
            <w:tcW w:w="3780" w:type="dxa"/>
            <w:gridSpan w:val="3"/>
            <w:tcBorders>
              <w:top w:val="nil"/>
              <w:left w:val="nil"/>
              <w:bottom w:val="nil"/>
              <w:right w:val="nil"/>
            </w:tcBorders>
            <w:noWrap/>
            <w:vAlign w:val="bottom"/>
            <w:hideMark/>
          </w:tcPr>
          <w:p w14:paraId="416ECC1D"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Total Costs (Fixed plus Variable)</w:t>
            </w:r>
          </w:p>
        </w:tc>
      </w:tr>
      <w:tr w:rsidR="00744C7C" w:rsidRPr="00FB5E2A" w14:paraId="369D78EA"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5BDCA784"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3B134EBE" w14:textId="77777777" w:rsidR="00744C7C" w:rsidRPr="00FB5E2A" w:rsidRDefault="00744C7C" w:rsidP="00652DA3">
            <w:pPr>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6EC0960E" w14:textId="77777777" w:rsidR="00744C7C" w:rsidRPr="00FB5E2A" w:rsidRDefault="00744C7C" w:rsidP="00652DA3">
            <w:pPr>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6D49786A" w14:textId="77777777" w:rsidR="00744C7C" w:rsidRPr="00FB5E2A" w:rsidRDefault="00744C7C" w:rsidP="00652DA3">
            <w:pPr>
              <w:ind w:firstLine="0"/>
              <w:rPr>
                <w:rFonts w:eastAsia="Times New Roman" w:cs="Times New Roman"/>
                <w:color w:val="000000"/>
                <w:sz w:val="18"/>
                <w:szCs w:val="18"/>
                <w:lang w:bidi="ar-SA"/>
              </w:rPr>
            </w:pPr>
          </w:p>
        </w:tc>
      </w:tr>
      <w:tr w:rsidR="00744C7C" w:rsidRPr="00FB5E2A" w14:paraId="393CD6A2" w14:textId="77777777" w:rsidTr="002A2E21">
        <w:trPr>
          <w:gridAfter w:val="1"/>
          <w:wAfter w:w="157" w:type="dxa"/>
          <w:trHeight w:hRule="exact" w:val="173"/>
        </w:trPr>
        <w:tc>
          <w:tcPr>
            <w:tcW w:w="1998" w:type="dxa"/>
            <w:gridSpan w:val="2"/>
            <w:tcBorders>
              <w:top w:val="nil"/>
              <w:left w:val="nil"/>
              <w:bottom w:val="nil"/>
              <w:right w:val="nil"/>
            </w:tcBorders>
            <w:noWrap/>
            <w:vAlign w:val="bottom"/>
            <w:hideMark/>
          </w:tcPr>
          <w:p w14:paraId="52346CF8"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Residual Lot Value</w:t>
            </w:r>
          </w:p>
        </w:tc>
        <w:tc>
          <w:tcPr>
            <w:tcW w:w="740" w:type="dxa"/>
            <w:tcBorders>
              <w:top w:val="nil"/>
              <w:left w:val="nil"/>
              <w:bottom w:val="nil"/>
              <w:right w:val="nil"/>
            </w:tcBorders>
            <w:noWrap/>
            <w:vAlign w:val="bottom"/>
            <w:hideMark/>
          </w:tcPr>
          <w:p w14:paraId="40453644" w14:textId="77777777" w:rsidR="00744C7C" w:rsidRPr="00FB5E2A" w:rsidRDefault="00744C7C" w:rsidP="00652DA3">
            <w:pPr>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3A3FB62E" w14:textId="77777777" w:rsidR="00744C7C" w:rsidRPr="00FB5E2A" w:rsidRDefault="00744C7C" w:rsidP="00652DA3">
            <w:pPr>
              <w:ind w:firstLine="0"/>
              <w:rPr>
                <w:rFonts w:eastAsia="Times New Roman" w:cs="Times New Roman"/>
                <w:color w:val="000000"/>
                <w:sz w:val="18"/>
                <w:szCs w:val="18"/>
                <w:lang w:bidi="ar-SA"/>
              </w:rPr>
            </w:pPr>
          </w:p>
        </w:tc>
      </w:tr>
      <w:tr w:rsidR="00744C7C" w:rsidRPr="00FB5E2A" w14:paraId="5C3EA2BC"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6E02C91C"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7BEA2337" w14:textId="77777777" w:rsidR="00744C7C" w:rsidRPr="00FB5E2A" w:rsidRDefault="002A2E21"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510,000</w:t>
            </w:r>
          </w:p>
        </w:tc>
        <w:tc>
          <w:tcPr>
            <w:tcW w:w="3780" w:type="dxa"/>
            <w:gridSpan w:val="3"/>
            <w:tcBorders>
              <w:top w:val="nil"/>
              <w:left w:val="nil"/>
              <w:bottom w:val="nil"/>
              <w:right w:val="nil"/>
            </w:tcBorders>
            <w:noWrap/>
            <w:vAlign w:val="bottom"/>
            <w:hideMark/>
          </w:tcPr>
          <w:p w14:paraId="6055F255"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(Revenue minus Costs)</w:t>
            </w:r>
          </w:p>
        </w:tc>
      </w:tr>
      <w:tr w:rsidR="00744C7C" w:rsidRPr="00FB5E2A" w14:paraId="09635E72"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69F5E9CD"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1A173FB5"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100 </w:t>
            </w:r>
          </w:p>
        </w:tc>
        <w:tc>
          <w:tcPr>
            <w:tcW w:w="3780" w:type="dxa"/>
            <w:gridSpan w:val="3"/>
            <w:tcBorders>
              <w:top w:val="nil"/>
              <w:left w:val="nil"/>
              <w:bottom w:val="nil"/>
              <w:right w:val="nil"/>
            </w:tcBorders>
            <w:noWrap/>
            <w:vAlign w:val="bottom"/>
            <w:hideMark/>
          </w:tcPr>
          <w:p w14:paraId="08F3BB41"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Number of Lots</w:t>
            </w:r>
          </w:p>
        </w:tc>
      </w:tr>
      <w:tr w:rsidR="00744C7C" w:rsidRPr="00FB5E2A" w14:paraId="6AAC805B" w14:textId="77777777" w:rsidTr="002A2E21">
        <w:trPr>
          <w:gridAfter w:val="1"/>
          <w:wAfter w:w="157" w:type="dxa"/>
          <w:trHeight w:hRule="exact" w:val="173"/>
        </w:trPr>
        <w:tc>
          <w:tcPr>
            <w:tcW w:w="222" w:type="dxa"/>
            <w:tcBorders>
              <w:top w:val="nil"/>
              <w:left w:val="nil"/>
              <w:bottom w:val="nil"/>
              <w:right w:val="nil"/>
            </w:tcBorders>
            <w:noWrap/>
            <w:vAlign w:val="bottom"/>
            <w:hideMark/>
          </w:tcPr>
          <w:p w14:paraId="442AE6DF" w14:textId="77777777" w:rsidR="00744C7C" w:rsidRPr="00FB5E2A" w:rsidRDefault="00744C7C" w:rsidP="00652DA3">
            <w:pPr>
              <w:ind w:firstLine="0"/>
              <w:rPr>
                <w:rFonts w:eastAsia="Times New Roman" w:cs="Times New Roman"/>
                <w:color w:val="000000"/>
                <w:sz w:val="18"/>
                <w:szCs w:val="18"/>
                <w:lang w:bidi="ar-SA"/>
              </w:rPr>
            </w:pPr>
          </w:p>
        </w:tc>
        <w:tc>
          <w:tcPr>
            <w:tcW w:w="1776" w:type="dxa"/>
            <w:tcBorders>
              <w:top w:val="nil"/>
              <w:left w:val="nil"/>
              <w:bottom w:val="nil"/>
              <w:right w:val="nil"/>
            </w:tcBorders>
            <w:noWrap/>
            <w:vAlign w:val="bottom"/>
            <w:hideMark/>
          </w:tcPr>
          <w:p w14:paraId="3CE7E057" w14:textId="77777777" w:rsidR="00744C7C" w:rsidRPr="00FB5E2A" w:rsidRDefault="002A2E21"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51,000,000</w:t>
            </w:r>
          </w:p>
        </w:tc>
        <w:tc>
          <w:tcPr>
            <w:tcW w:w="3780" w:type="dxa"/>
            <w:gridSpan w:val="3"/>
            <w:tcBorders>
              <w:top w:val="nil"/>
              <w:left w:val="nil"/>
              <w:bottom w:val="nil"/>
              <w:right w:val="nil"/>
            </w:tcBorders>
            <w:noWrap/>
            <w:vAlign w:val="bottom"/>
            <w:hideMark/>
          </w:tcPr>
          <w:p w14:paraId="26962F97" w14:textId="77777777" w:rsidR="00744C7C" w:rsidRPr="00FB5E2A" w:rsidRDefault="00744C7C" w:rsidP="00652DA3">
            <w:pPr>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Finished Lot Land Value</w:t>
            </w:r>
          </w:p>
        </w:tc>
      </w:tr>
    </w:tbl>
    <w:p w14:paraId="76C50E5A" w14:textId="77777777" w:rsidR="00744C7C" w:rsidRPr="00124B71" w:rsidRDefault="00744C7C" w:rsidP="00652DA3">
      <w:pPr>
        <w:rPr>
          <w:rFonts w:cs="Times New Roman"/>
        </w:rPr>
      </w:pPr>
    </w:p>
    <w:p w14:paraId="00C49719" w14:textId="77777777" w:rsidR="00D06362" w:rsidRPr="00124B71" w:rsidRDefault="00D06362" w:rsidP="00652DA3">
      <w:pPr>
        <w:rPr>
          <w:rFonts w:cs="Times New Roman"/>
        </w:rPr>
      </w:pPr>
      <w:r w:rsidRPr="00124B71">
        <w:rPr>
          <w:rFonts w:cs="Times New Roman"/>
        </w:rPr>
        <w:t xml:space="preserve">The production builder can pay more for each lot because of </w:t>
      </w:r>
      <w:r w:rsidR="006A3CBE" w:rsidRPr="00124B71">
        <w:rPr>
          <w:rFonts w:cs="Times New Roman"/>
        </w:rPr>
        <w:t>its</w:t>
      </w:r>
      <w:r w:rsidRPr="00124B71">
        <w:rPr>
          <w:rFonts w:cs="Times New Roman"/>
        </w:rPr>
        <w:t xml:space="preserve"> advantage in construction costs. Notice the very large dollar amount builders were paying for finished lots during the peak of the bubble. </w:t>
      </w:r>
      <w:r w:rsidR="00744C7C" w:rsidRPr="00124B71">
        <w:rPr>
          <w:rFonts w:cs="Times New Roman"/>
        </w:rPr>
        <w:t xml:space="preserve"> After the bubble peaked, the value of the land began to drop </w:t>
      </w:r>
      <w:r w:rsidR="001C09F0" w:rsidRPr="00124B71">
        <w:rPr>
          <w:rFonts w:cs="Times New Roman"/>
        </w:rPr>
        <w:t>quickly</w:t>
      </w:r>
      <w:r w:rsidR="00744C7C" w:rsidRPr="00124B71">
        <w:rPr>
          <w:rFonts w:cs="Times New Roman"/>
        </w:rPr>
        <w:t>. The builders were forced to take “impairment” write-offs because t</w:t>
      </w:r>
      <w:r w:rsidRPr="00124B71">
        <w:rPr>
          <w:rFonts w:cs="Times New Roman"/>
        </w:rPr>
        <w:t xml:space="preserve">hey overpaid for land, and the asset on their books </w:t>
      </w:r>
      <w:r w:rsidR="006A3CBE" w:rsidRPr="00124B71">
        <w:rPr>
          <w:rFonts w:cs="Times New Roman"/>
        </w:rPr>
        <w:t>was no longer</w:t>
      </w:r>
      <w:r w:rsidRPr="00124B71">
        <w:rPr>
          <w:rFonts w:cs="Times New Roman"/>
        </w:rPr>
        <w:t xml:space="preserve"> worth what they paid for it</w:t>
      </w:r>
      <w:r w:rsidR="004963BA" w:rsidRPr="00124B71">
        <w:rPr>
          <w:rFonts w:cs="Times New Roman"/>
        </w:rPr>
        <w:t>.</w:t>
      </w:r>
      <w:r w:rsidR="00635AA0" w:rsidRPr="00124B71">
        <w:rPr>
          <w:rFonts w:cs="Times New Roman"/>
        </w:rPr>
        <w:t xml:space="preserve"> </w:t>
      </w:r>
      <w:r w:rsidR="001C09F0" w:rsidRPr="00124B71">
        <w:rPr>
          <w:rStyle w:val="EndnoteReference"/>
          <w:rFonts w:cs="Times New Roman"/>
        </w:rPr>
        <w:endnoteReference w:id="61"/>
      </w:r>
      <w:r w:rsidRPr="00124B71">
        <w:rPr>
          <w:rFonts w:cs="Times New Roman"/>
        </w:rPr>
        <w:t xml:space="preserve"> </w:t>
      </w:r>
      <w:r w:rsidR="00744C7C" w:rsidRPr="00124B71">
        <w:rPr>
          <w:rFonts w:cs="Times New Roman"/>
        </w:rPr>
        <w:t>Land prices are particularly sensitive to</w:t>
      </w:r>
      <w:r w:rsidR="006A3CBE" w:rsidRPr="00124B71">
        <w:rPr>
          <w:rFonts w:cs="Times New Roman"/>
        </w:rPr>
        <w:t xml:space="preserve"> changes in housing</w:t>
      </w:r>
      <w:r w:rsidRPr="00124B71">
        <w:rPr>
          <w:rFonts w:cs="Times New Roman"/>
        </w:rPr>
        <w:t xml:space="preserve"> price</w:t>
      </w:r>
      <w:r w:rsidR="006A3CBE" w:rsidRPr="00124B71">
        <w:rPr>
          <w:rFonts w:cs="Times New Roman"/>
        </w:rPr>
        <w:t>s</w:t>
      </w:r>
      <w:r w:rsidRPr="00124B71">
        <w:rPr>
          <w:rFonts w:cs="Times New Roman"/>
        </w:rPr>
        <w:t>.</w:t>
      </w:r>
    </w:p>
    <w:p w14:paraId="10E54C10" w14:textId="77777777" w:rsidR="00D06362" w:rsidRPr="00EF0EDA" w:rsidRDefault="00D06362" w:rsidP="00C409D3">
      <w:pPr>
        <w:pStyle w:val="Heading2"/>
      </w:pPr>
      <w:bookmarkStart w:id="82" w:name="_Toc238867315"/>
      <w:r w:rsidRPr="00EF0EDA">
        <w:lastRenderedPageBreak/>
        <w:t>Density and the Value of Land</w:t>
      </w:r>
      <w:bookmarkEnd w:id="82"/>
    </w:p>
    <w:p w14:paraId="47A3BB35" w14:textId="77777777" w:rsidR="00D06362" w:rsidRPr="00124B71" w:rsidRDefault="00D06362" w:rsidP="00D06362">
      <w:pPr>
        <w:rPr>
          <w:rFonts w:cs="Times New Roman"/>
        </w:rPr>
      </w:pPr>
      <w:r w:rsidRPr="00124B71">
        <w:rPr>
          <w:rFonts w:cs="Times New Roman"/>
        </w:rPr>
        <w:t>A builder bid</w:t>
      </w:r>
      <w:r w:rsidR="001C09F0" w:rsidRPr="00124B71">
        <w:rPr>
          <w:rFonts w:cs="Times New Roman"/>
        </w:rPr>
        <w:t>s</w:t>
      </w:r>
      <w:r w:rsidRPr="00124B71">
        <w:rPr>
          <w:rFonts w:cs="Times New Roman"/>
        </w:rPr>
        <w:t xml:space="preserve"> for land based on the</w:t>
      </w:r>
      <w:r w:rsidR="00897148" w:rsidRPr="00124B71">
        <w:rPr>
          <w:rFonts w:cs="Times New Roman"/>
        </w:rPr>
        <w:t xml:space="preserve"> potential</w:t>
      </w:r>
      <w:r w:rsidRPr="00124B71">
        <w:rPr>
          <w:rFonts w:cs="Times New Roman"/>
        </w:rPr>
        <w:t xml:space="preserve"> number of units</w:t>
      </w:r>
      <w:r w:rsidR="00897148" w:rsidRPr="00124B71">
        <w:rPr>
          <w:rFonts w:cs="Times New Roman"/>
        </w:rPr>
        <w:t xml:space="preserve"> to be built</w:t>
      </w:r>
      <w:r w:rsidRPr="00124B71">
        <w:rPr>
          <w:rFonts w:cs="Times New Roman"/>
        </w:rPr>
        <w:t xml:space="preserve">. </w:t>
      </w:r>
      <w:r w:rsidR="001C09F0" w:rsidRPr="00124B71">
        <w:rPr>
          <w:rFonts w:cs="Times New Roman"/>
        </w:rPr>
        <w:t>The size and configuration is not as important as the unit count</w:t>
      </w:r>
      <w:r w:rsidRPr="00124B71">
        <w:rPr>
          <w:rFonts w:cs="Times New Roman"/>
        </w:rPr>
        <w:t xml:space="preserve">: </w:t>
      </w:r>
      <w:r w:rsidR="00897148" w:rsidRPr="00124B71">
        <w:rPr>
          <w:rFonts w:cs="Times New Roman"/>
        </w:rPr>
        <w:t>b</w:t>
      </w:r>
      <w:r w:rsidRPr="00124B71">
        <w:rPr>
          <w:rFonts w:cs="Times New Roman"/>
        </w:rPr>
        <w:t>uilders pay for lots, not land. Therefore, seller</w:t>
      </w:r>
      <w:r w:rsidR="001A5388" w:rsidRPr="00124B71">
        <w:rPr>
          <w:rFonts w:cs="Times New Roman"/>
        </w:rPr>
        <w:t>s</w:t>
      </w:r>
      <w:r w:rsidRPr="00124B71">
        <w:rPr>
          <w:rFonts w:cs="Times New Roman"/>
        </w:rPr>
        <w:t xml:space="preserve"> of land </w:t>
      </w:r>
      <w:r w:rsidR="001A5388" w:rsidRPr="00124B71">
        <w:rPr>
          <w:rFonts w:cs="Times New Roman"/>
        </w:rPr>
        <w:t xml:space="preserve">(like </w:t>
      </w:r>
      <w:r w:rsidR="00897148" w:rsidRPr="00124B71">
        <w:rPr>
          <w:rFonts w:cs="Times New Roman"/>
        </w:rPr>
        <w:t>T</w:t>
      </w:r>
      <w:r w:rsidR="001A5388" w:rsidRPr="00124B71">
        <w:rPr>
          <w:rFonts w:cs="Times New Roman"/>
        </w:rPr>
        <w:t>he Irvine Company</w:t>
      </w:r>
      <w:r w:rsidR="001858B5">
        <w:rPr>
          <w:rFonts w:cs="Times New Roman"/>
        </w:rPr>
        <w:fldChar w:fldCharType="begin"/>
      </w:r>
      <w:r w:rsidR="00FF74AC">
        <w:instrText xml:space="preserve"> XE "</w:instrText>
      </w:r>
      <w:r w:rsidR="00FF74AC" w:rsidRPr="00BE37E9">
        <w:rPr>
          <w:rFonts w:cs="Times New Roman"/>
        </w:rPr>
        <w:instrText>The Irvine Company</w:instrText>
      </w:r>
      <w:r w:rsidR="00FF74AC">
        <w:instrText xml:space="preserve">" </w:instrText>
      </w:r>
      <w:r w:rsidR="001858B5">
        <w:rPr>
          <w:rFonts w:cs="Times New Roman"/>
        </w:rPr>
        <w:fldChar w:fldCharType="end"/>
      </w:r>
      <w:r w:rsidR="001A5388" w:rsidRPr="00124B71">
        <w:rPr>
          <w:rFonts w:cs="Times New Roman"/>
        </w:rPr>
        <w:t xml:space="preserve">) </w:t>
      </w:r>
      <w:r w:rsidRPr="00124B71">
        <w:rPr>
          <w:rFonts w:cs="Times New Roman"/>
        </w:rPr>
        <w:t xml:space="preserve">want to maximize salable density. </w:t>
      </w:r>
      <w:r w:rsidR="00336B3D" w:rsidRPr="00124B71">
        <w:rPr>
          <w:rFonts w:cs="Times New Roman"/>
        </w:rPr>
        <w:t>Developers</w:t>
      </w:r>
      <w:r w:rsidR="001858B5">
        <w:rPr>
          <w:rFonts w:cs="Times New Roman"/>
        </w:rPr>
        <w:fldChar w:fldCharType="begin"/>
      </w:r>
      <w:r w:rsidR="00FF74AC">
        <w:instrText xml:space="preserve"> XE "</w:instrText>
      </w:r>
      <w:r w:rsidR="00FF74AC" w:rsidRPr="00C97E9D">
        <w:rPr>
          <w:rFonts w:cs="Times New Roman"/>
        </w:rPr>
        <w:instrText>Developers</w:instrText>
      </w:r>
      <w:r w:rsidR="00FF74AC">
        <w:instrText xml:space="preserve">" </w:instrText>
      </w:r>
      <w:r w:rsidR="001858B5">
        <w:rPr>
          <w:rFonts w:cs="Times New Roman"/>
        </w:rPr>
        <w:fldChar w:fldCharType="end"/>
      </w:r>
      <w:r w:rsidR="00336B3D" w:rsidRPr="00124B71">
        <w:rPr>
          <w:rFonts w:cs="Times New Roman"/>
        </w:rPr>
        <w:t xml:space="preserve"> and builders</w:t>
      </w:r>
      <w:r w:rsidRPr="00124B71">
        <w:rPr>
          <w:rFonts w:cs="Times New Roman"/>
        </w:rPr>
        <w:t xml:space="preserve"> want to get the highest number of units per acre </w:t>
      </w:r>
      <w:r w:rsidR="001A5388" w:rsidRPr="00124B71">
        <w:rPr>
          <w:rFonts w:cs="Times New Roman"/>
        </w:rPr>
        <w:t>they can</w:t>
      </w:r>
      <w:r w:rsidRPr="00124B71">
        <w:rPr>
          <w:rFonts w:cs="Times New Roman"/>
        </w:rPr>
        <w:t xml:space="preserve"> possibly sell.</w:t>
      </w:r>
      <w:r w:rsidR="00664828" w:rsidRPr="00124B71">
        <w:rPr>
          <w:rFonts w:cs="Times New Roman"/>
        </w:rPr>
        <w:t xml:space="preserve"> Density is a multiplying factor. For instance, if the million dollar home in the production builder example required a full acre of land, the land value</w:t>
      </w:r>
      <w:r w:rsidR="001858B5">
        <w:rPr>
          <w:rFonts w:cs="Times New Roman"/>
        </w:rPr>
        <w:fldChar w:fldCharType="begin"/>
      </w:r>
      <w:r w:rsidR="00FF74AC">
        <w:instrText xml:space="preserve"> XE "</w:instrText>
      </w:r>
      <w:r w:rsidR="00FF74AC" w:rsidRPr="006D4891">
        <w:rPr>
          <w:rFonts w:cs="Times New Roman"/>
        </w:rPr>
        <w:instrText>land value</w:instrText>
      </w:r>
      <w:r w:rsidR="00FF74AC">
        <w:instrText xml:space="preserve">" </w:instrText>
      </w:r>
      <w:r w:rsidR="001858B5">
        <w:rPr>
          <w:rFonts w:cs="Times New Roman"/>
        </w:rPr>
        <w:fldChar w:fldCharType="end"/>
      </w:r>
      <w:r w:rsidR="00664828" w:rsidRPr="00124B71">
        <w:rPr>
          <w:rFonts w:cs="Times New Roman"/>
        </w:rPr>
        <w:t xml:space="preserve"> would be $510,000 per acre; however, if the builder can fit 5 homes on the acre of land and still obtain the $1,000,000 sales price, the value of </w:t>
      </w:r>
      <w:r w:rsidR="002541D8" w:rsidRPr="00124B71">
        <w:rPr>
          <w:rFonts w:cs="Times New Roman"/>
        </w:rPr>
        <w:t>the land would be $2,550,000 or 5 times as much. For obvious reasons, landowners like high densities</w:t>
      </w:r>
      <w:r w:rsidR="00664828" w:rsidRPr="00124B71">
        <w:rPr>
          <w:rFonts w:cs="Times New Roman"/>
        </w:rPr>
        <w:t>.</w:t>
      </w:r>
      <w:r w:rsidR="001A5388" w:rsidRPr="00124B71">
        <w:rPr>
          <w:rFonts w:cs="Times New Roman"/>
        </w:rPr>
        <w:t xml:space="preserve"> The Irvine Company is widely known in the industry for creating innovative high-density product. This is born from the necessity to increase unit yield to maximize land value.</w:t>
      </w:r>
    </w:p>
    <w:p w14:paraId="6F51CAD6" w14:textId="77777777" w:rsidR="00D06362" w:rsidRPr="00EF0EDA" w:rsidRDefault="00D06362" w:rsidP="00C409D3">
      <w:pPr>
        <w:pStyle w:val="Heading2"/>
      </w:pPr>
      <w:bookmarkStart w:id="83" w:name="_Toc238867316"/>
      <w:r w:rsidRPr="00EF0EDA">
        <w:t>House Price and the Value of Land</w:t>
      </w:r>
      <w:bookmarkEnd w:id="83"/>
      <w:r w:rsidRPr="00EF0EDA">
        <w:t xml:space="preserve"> </w:t>
      </w:r>
    </w:p>
    <w:p w14:paraId="2FDF6F86" w14:textId="77777777" w:rsidR="001A5388" w:rsidRPr="00124B71" w:rsidRDefault="001A5388" w:rsidP="00D06362">
      <w:pPr>
        <w:rPr>
          <w:rFonts w:cs="Times New Roman"/>
        </w:rPr>
      </w:pPr>
      <w:r w:rsidRPr="00124B71">
        <w:rPr>
          <w:rFonts w:cs="Times New Roman"/>
        </w:rPr>
        <w:t>The Irvine Company</w:t>
      </w:r>
      <w:r w:rsidR="001858B5">
        <w:rPr>
          <w:rFonts w:cs="Times New Roman"/>
        </w:rPr>
        <w:fldChar w:fldCharType="begin"/>
      </w:r>
      <w:r w:rsidR="00FF74AC">
        <w:instrText xml:space="preserve"> XE "</w:instrText>
      </w:r>
      <w:r w:rsidR="00FF74AC" w:rsidRPr="00BE37E9">
        <w:rPr>
          <w:rFonts w:cs="Times New Roman"/>
        </w:rPr>
        <w:instrText>The Irvine Company</w:instrText>
      </w:r>
      <w:r w:rsidR="00FF74AC">
        <w:instrText xml:space="preserve">" </w:instrText>
      </w:r>
      <w:r w:rsidR="001858B5">
        <w:rPr>
          <w:rFonts w:cs="Times New Roman"/>
        </w:rPr>
        <w:fldChar w:fldCharType="end"/>
      </w:r>
      <w:r w:rsidRPr="00124B71">
        <w:rPr>
          <w:rFonts w:cs="Times New Roman"/>
        </w:rPr>
        <w:t>, or any land developer, is very motivated to see home prices increase rather than decrease because land prices are extremely sensitive to changes in house prices. The residual land value</w:t>
      </w:r>
      <w:r w:rsidR="001858B5">
        <w:rPr>
          <w:rFonts w:cs="Times New Roman"/>
        </w:rPr>
        <w:fldChar w:fldCharType="begin"/>
      </w:r>
      <w:r w:rsidR="00FF74AC">
        <w:instrText xml:space="preserve"> XE "</w:instrText>
      </w:r>
      <w:r w:rsidR="00FF74AC" w:rsidRPr="006D4891">
        <w:rPr>
          <w:rFonts w:cs="Times New Roman"/>
        </w:rPr>
        <w:instrText>land value</w:instrText>
      </w:r>
      <w:r w:rsidR="00FF74AC">
        <w:instrText xml:space="preserve">" </w:instrText>
      </w:r>
      <w:r w:rsidR="001858B5">
        <w:rPr>
          <w:rFonts w:cs="Times New Roman"/>
        </w:rPr>
        <w:fldChar w:fldCharType="end"/>
      </w:r>
      <w:r w:rsidRPr="00124B71">
        <w:rPr>
          <w:rFonts w:cs="Times New Roman"/>
        </w:rPr>
        <w:t xml:space="preserve"> calculation reveals that only 28% of the costs vary with the sales price of the final product. The other 72% pays for the fixed costs of construction and provides residual land value. Assuming the final sales price covers the fixed </w:t>
      </w:r>
      <w:r w:rsidR="001D0176" w:rsidRPr="00124B71">
        <w:rPr>
          <w:rFonts w:cs="Times New Roman"/>
        </w:rPr>
        <w:t>costs (</w:t>
      </w:r>
      <w:r w:rsidR="00CC6464" w:rsidRPr="00124B71">
        <w:rPr>
          <w:rFonts w:cs="Times New Roman"/>
        </w:rPr>
        <w:t>residual land values for residential construction can go negative</w:t>
      </w:r>
      <w:r w:rsidRPr="00124B71">
        <w:rPr>
          <w:rFonts w:cs="Times New Roman"/>
        </w:rPr>
        <w:t>,</w:t>
      </w:r>
      <w:r w:rsidR="00CC6464" w:rsidRPr="00124B71">
        <w:rPr>
          <w:rFonts w:cs="Times New Roman"/>
        </w:rPr>
        <w:t>)</w:t>
      </w:r>
      <w:r w:rsidRPr="00124B71">
        <w:rPr>
          <w:rFonts w:cs="Times New Roman"/>
        </w:rPr>
        <w:t xml:space="preserve"> of each additional dollar, $0.72 falls to land value. In other words, </w:t>
      </w:r>
      <w:r w:rsidR="002541D8" w:rsidRPr="00124B71">
        <w:rPr>
          <w:rFonts w:cs="Times New Roman"/>
        </w:rPr>
        <w:t xml:space="preserve">owners and </w:t>
      </w:r>
      <w:r w:rsidRPr="00124B71">
        <w:rPr>
          <w:rFonts w:cs="Times New Roman"/>
        </w:rPr>
        <w:t xml:space="preserve">developers of land make $7,200 </w:t>
      </w:r>
      <w:r w:rsidR="00CC6464" w:rsidRPr="00124B71">
        <w:rPr>
          <w:rFonts w:cs="Times New Roman"/>
        </w:rPr>
        <w:t xml:space="preserve">per unit </w:t>
      </w:r>
      <w:r w:rsidRPr="00124B71">
        <w:rPr>
          <w:rFonts w:cs="Times New Roman"/>
        </w:rPr>
        <w:t>for each</w:t>
      </w:r>
      <w:r w:rsidR="00CC6464" w:rsidRPr="00124B71">
        <w:rPr>
          <w:rFonts w:cs="Times New Roman"/>
        </w:rPr>
        <w:t xml:space="preserve"> $10,000 increase in house sales price. If a piece of land is being developed at </w:t>
      </w:r>
      <w:r w:rsidR="002541D8" w:rsidRPr="00124B71">
        <w:rPr>
          <w:rFonts w:cs="Times New Roman"/>
        </w:rPr>
        <w:t xml:space="preserve">5 </w:t>
      </w:r>
      <w:r w:rsidR="00CC6464" w:rsidRPr="00124B71">
        <w:rPr>
          <w:rFonts w:cs="Times New Roman"/>
        </w:rPr>
        <w:t>units per acre, the land developer would make $</w:t>
      </w:r>
      <w:r w:rsidR="002541D8" w:rsidRPr="00124B71">
        <w:rPr>
          <w:rFonts w:cs="Times New Roman"/>
        </w:rPr>
        <w:t>36</w:t>
      </w:r>
      <w:r w:rsidR="00CC6464" w:rsidRPr="00124B71">
        <w:rPr>
          <w:rFonts w:cs="Times New Roman"/>
        </w:rPr>
        <w:t>,</w:t>
      </w:r>
      <w:r w:rsidR="002541D8" w:rsidRPr="00124B71">
        <w:rPr>
          <w:rFonts w:cs="Times New Roman"/>
        </w:rPr>
        <w:t>0</w:t>
      </w:r>
      <w:r w:rsidR="00CC6464" w:rsidRPr="00124B71">
        <w:rPr>
          <w:rFonts w:cs="Times New Roman"/>
        </w:rPr>
        <w:t>00 per acre for each $10,000 increase in house sales price. From 2000 to 2006, the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00CC6464" w:rsidRPr="00124B71">
        <w:rPr>
          <w:rFonts w:cs="Times New Roman"/>
        </w:rPr>
        <w:t xml:space="preserve"> sales price in Irvine increased over $400,000. This added $1,</w:t>
      </w:r>
      <w:r w:rsidR="002541D8" w:rsidRPr="00124B71">
        <w:rPr>
          <w:rFonts w:cs="Times New Roman"/>
        </w:rPr>
        <w:t>440</w:t>
      </w:r>
      <w:r w:rsidR="00CC6464" w:rsidRPr="00124B71">
        <w:rPr>
          <w:rFonts w:cs="Times New Roman"/>
        </w:rPr>
        <w:t xml:space="preserve">,000 in land value to every acre of land the Irvine Company could develop at </w:t>
      </w:r>
      <w:r w:rsidR="002541D8" w:rsidRPr="00124B71">
        <w:rPr>
          <w:rFonts w:cs="Times New Roman"/>
        </w:rPr>
        <w:t>5</w:t>
      </w:r>
      <w:r w:rsidR="00CC6464" w:rsidRPr="00124B71">
        <w:rPr>
          <w:rFonts w:cs="Times New Roman"/>
        </w:rPr>
        <w:t xml:space="preserve"> units per acre. </w:t>
      </w:r>
      <w:r w:rsidR="00091858" w:rsidRPr="00124B71">
        <w:rPr>
          <w:rFonts w:cs="Times New Roman"/>
        </w:rPr>
        <w:t>With the thousands of acres of developable land in their portfolio, this</w:t>
      </w:r>
      <w:r w:rsidR="00CC6464" w:rsidRPr="00124B71">
        <w:rPr>
          <w:rFonts w:cs="Times New Roman"/>
        </w:rPr>
        <w:t xml:space="preserve"> </w:t>
      </w:r>
      <w:r w:rsidR="00091858" w:rsidRPr="00124B71">
        <w:rPr>
          <w:rFonts w:cs="Times New Roman"/>
        </w:rPr>
        <w:t>add</w:t>
      </w:r>
      <w:r w:rsidR="00897148" w:rsidRPr="00124B71">
        <w:rPr>
          <w:rFonts w:cs="Times New Roman"/>
        </w:rPr>
        <w:t>ed</w:t>
      </w:r>
      <w:r w:rsidR="00091858" w:rsidRPr="00124B71">
        <w:rPr>
          <w:rFonts w:cs="Times New Roman"/>
        </w:rPr>
        <w:t xml:space="preserve"> up to</w:t>
      </w:r>
      <w:r w:rsidR="00CC6464" w:rsidRPr="00124B71">
        <w:rPr>
          <w:rFonts w:cs="Times New Roman"/>
        </w:rPr>
        <w:t xml:space="preserve"> a great deal of money. </w:t>
      </w:r>
    </w:p>
    <w:p w14:paraId="29C64438" w14:textId="77777777" w:rsidR="00D06362" w:rsidRPr="00EF0EDA" w:rsidRDefault="00DA2337" w:rsidP="001A5388">
      <w:pPr>
        <w:pStyle w:val="Heading3"/>
      </w:pPr>
      <w:bookmarkStart w:id="84" w:name="_Toc238867317"/>
      <w:r>
        <w:t xml:space="preserve">Irvine’s </w:t>
      </w:r>
      <w:r w:rsidR="00D06362" w:rsidRPr="00EF0EDA">
        <w:t>Woodbury</w:t>
      </w:r>
      <w:bookmarkEnd w:id="84"/>
      <w:r w:rsidR="001858B5">
        <w:fldChar w:fldCharType="begin"/>
      </w:r>
      <w:r w:rsidR="00FF74AC">
        <w:instrText xml:space="preserve"> XE "</w:instrText>
      </w:r>
      <w:r w:rsidR="00FF74AC" w:rsidRPr="00F40421">
        <w:rPr>
          <w:rFonts w:cs="Times New Roman"/>
        </w:rPr>
        <w:instrText>Woodbury</w:instrText>
      </w:r>
      <w:r w:rsidR="00FF74AC">
        <w:instrText xml:space="preserve">" </w:instrText>
      </w:r>
      <w:r w:rsidR="001858B5">
        <w:fldChar w:fldCharType="end"/>
      </w:r>
    </w:p>
    <w:p w14:paraId="3633D855" w14:textId="77777777" w:rsidR="00D06362" w:rsidRPr="00124B71" w:rsidRDefault="00D06362" w:rsidP="00D06362">
      <w:pPr>
        <w:rPr>
          <w:rFonts w:cs="Times New Roman"/>
        </w:rPr>
      </w:pPr>
      <w:r w:rsidRPr="00124B71">
        <w:rPr>
          <w:rFonts w:cs="Times New Roman"/>
        </w:rPr>
        <w:t>Woodbury</w:t>
      </w:r>
      <w:r w:rsidR="001858B5">
        <w:rPr>
          <w:rFonts w:cs="Times New Roman"/>
        </w:rPr>
        <w:fldChar w:fldCharType="begin"/>
      </w:r>
      <w:r w:rsidR="00FF74AC">
        <w:instrText xml:space="preserve"> XE "</w:instrText>
      </w:r>
      <w:r w:rsidR="00FF74AC" w:rsidRPr="00F40421">
        <w:rPr>
          <w:rFonts w:cs="Times New Roman"/>
        </w:rPr>
        <w:instrText>Woodbury</w:instrText>
      </w:r>
      <w:r w:rsidR="00FF74AC">
        <w:instrText xml:space="preserve">" </w:instrText>
      </w:r>
      <w:r w:rsidR="001858B5">
        <w:rPr>
          <w:rFonts w:cs="Times New Roman"/>
        </w:rPr>
        <w:fldChar w:fldCharType="end"/>
      </w:r>
      <w:r w:rsidRPr="00124B71">
        <w:rPr>
          <w:rFonts w:cs="Times New Roman"/>
        </w:rPr>
        <w:t xml:space="preserve"> is </w:t>
      </w:r>
      <w:r w:rsidR="00D76581" w:rsidRPr="00124B71">
        <w:rPr>
          <w:rFonts w:cs="Times New Roman"/>
        </w:rPr>
        <w:t>an</w:t>
      </w:r>
      <w:r w:rsidRPr="00124B71">
        <w:rPr>
          <w:rFonts w:cs="Times New Roman"/>
        </w:rPr>
        <w:t xml:space="preserve"> Irvine Compan</w:t>
      </w:r>
      <w:r w:rsidR="00D76581" w:rsidRPr="00124B71">
        <w:rPr>
          <w:rFonts w:cs="Times New Roman"/>
        </w:rPr>
        <w:t>y</w:t>
      </w:r>
      <w:r w:rsidRPr="00124B71">
        <w:rPr>
          <w:rFonts w:cs="Times New Roman"/>
        </w:rPr>
        <w:t xml:space="preserve"> </w:t>
      </w:r>
      <w:r w:rsidR="00897148" w:rsidRPr="00124B71">
        <w:rPr>
          <w:rFonts w:cs="Times New Roman"/>
        </w:rPr>
        <w:t>Village</w:t>
      </w:r>
      <w:r w:rsidR="00D76581" w:rsidRPr="00124B71">
        <w:rPr>
          <w:rFonts w:cs="Times New Roman"/>
        </w:rPr>
        <w:t xml:space="preserve"> of 4,270 units started in 2004</w:t>
      </w:r>
      <w:r w:rsidR="00635AA0" w:rsidRPr="00124B71">
        <w:rPr>
          <w:rFonts w:cs="Times New Roman"/>
        </w:rPr>
        <w:t xml:space="preserve">. </w:t>
      </w:r>
      <w:r w:rsidR="00D76581" w:rsidRPr="00124B71">
        <w:rPr>
          <w:rStyle w:val="EndnoteReference"/>
          <w:rFonts w:cs="Times New Roman"/>
        </w:rPr>
        <w:endnoteReference w:id="62"/>
      </w:r>
      <w:r w:rsidRPr="00124B71">
        <w:rPr>
          <w:rFonts w:cs="Times New Roman"/>
        </w:rPr>
        <w:t xml:space="preserve"> As this Village is constructed on a 1 mile square, it sits on 640 acres for a density of 6.67 dwelling units per acre (DU/AC).</w:t>
      </w:r>
      <w:r w:rsidR="00CC6464" w:rsidRPr="00124B71">
        <w:rPr>
          <w:rFonts w:cs="Times New Roman"/>
        </w:rPr>
        <w:t xml:space="preserve"> </w:t>
      </w:r>
      <w:r w:rsidRPr="00124B71">
        <w:rPr>
          <w:rFonts w:cs="Times New Roman"/>
        </w:rPr>
        <w:t xml:space="preserve">Based on the </w:t>
      </w:r>
      <w:r w:rsidR="00CC6464" w:rsidRPr="00124B71">
        <w:rPr>
          <w:rFonts w:cs="Times New Roman"/>
        </w:rPr>
        <w:t>discussion</w:t>
      </w:r>
      <w:r w:rsidRPr="00124B71">
        <w:rPr>
          <w:rFonts w:cs="Times New Roman"/>
        </w:rPr>
        <w:t xml:space="preserve"> above, the total land value</w:t>
      </w:r>
      <w:r w:rsidR="001858B5">
        <w:rPr>
          <w:rFonts w:cs="Times New Roman"/>
        </w:rPr>
        <w:fldChar w:fldCharType="begin"/>
      </w:r>
      <w:r w:rsidR="00FF74AC">
        <w:instrText xml:space="preserve"> XE "</w:instrText>
      </w:r>
      <w:r w:rsidR="00FF74AC" w:rsidRPr="006D4891">
        <w:rPr>
          <w:rFonts w:cs="Times New Roman"/>
        </w:rPr>
        <w:instrText>land value</w:instrText>
      </w:r>
      <w:r w:rsidR="00FF74AC">
        <w:instrText xml:space="preserve">" </w:instrText>
      </w:r>
      <w:r w:rsidR="001858B5">
        <w:rPr>
          <w:rFonts w:cs="Times New Roman"/>
        </w:rPr>
        <w:fldChar w:fldCharType="end"/>
      </w:r>
      <w:r w:rsidRPr="00124B71">
        <w:rPr>
          <w:rFonts w:cs="Times New Roman"/>
        </w:rPr>
        <w:t xml:space="preserve"> of the residential portion of the Woodbury Village</w:t>
      </w:r>
      <w:r w:rsidR="00CC6464" w:rsidRPr="00124B71">
        <w:rPr>
          <w:rFonts w:cs="Times New Roman"/>
        </w:rPr>
        <w:t xml:space="preserve"> can be estimated</w:t>
      </w:r>
      <w:r w:rsidRPr="00124B71">
        <w:rPr>
          <w:rFonts w:cs="Times New Roman"/>
        </w:rPr>
        <w:t>:</w:t>
      </w:r>
    </w:p>
    <w:p w14:paraId="7DFF135C" w14:textId="2DE1DD59" w:rsidR="00861B6D" w:rsidRPr="00EF0EDA" w:rsidRDefault="00DE0510" w:rsidP="00DE0510">
      <w:pPr>
        <w:pStyle w:val="Caption"/>
      </w:pPr>
      <w:bookmarkStart w:id="85" w:name="_Toc238867425"/>
      <w:r>
        <w:lastRenderedPageBreak/>
        <w:t xml:space="preserve">Equation </w:t>
      </w:r>
      <w:fldSimple w:instr=" SEQ Equation \* ARABIC ">
        <w:r w:rsidR="00493733">
          <w:rPr>
            <w:noProof/>
          </w:rPr>
          <w:t>3</w:t>
        </w:r>
      </w:fldSimple>
      <w:r w:rsidR="00317936">
        <w:t xml:space="preserve">: </w:t>
      </w:r>
      <w:r w:rsidR="00861B6D" w:rsidRPr="00EF0EDA">
        <w:t>Valuation of Woodbury</w:t>
      </w:r>
      <w:r w:rsidR="001858B5">
        <w:fldChar w:fldCharType="begin"/>
      </w:r>
      <w:r w:rsidR="00FF74AC">
        <w:instrText xml:space="preserve"> XE "</w:instrText>
      </w:r>
      <w:r w:rsidR="00FF74AC" w:rsidRPr="00F40421">
        <w:rPr>
          <w:rFonts w:cs="Times New Roman"/>
        </w:rPr>
        <w:instrText>Woodbury</w:instrText>
      </w:r>
      <w:r w:rsidR="00FF74AC">
        <w:instrText xml:space="preserve">" </w:instrText>
      </w:r>
      <w:r w:rsidR="001858B5">
        <w:fldChar w:fldCharType="end"/>
      </w:r>
      <w:r w:rsidR="00861B6D" w:rsidRPr="00EF0EDA">
        <w:t xml:space="preserve"> Community at Peak House Pricing</w:t>
      </w:r>
      <w:bookmarkEnd w:id="85"/>
    </w:p>
    <w:tbl>
      <w:tblPr>
        <w:tblW w:w="6115" w:type="dxa"/>
        <w:tblInd w:w="93" w:type="dxa"/>
        <w:tblLook w:val="04A0" w:firstRow="1" w:lastRow="0" w:firstColumn="1" w:lastColumn="0" w:noHBand="0" w:noVBand="1"/>
      </w:tblPr>
      <w:tblGrid>
        <w:gridCol w:w="222"/>
        <w:gridCol w:w="1976"/>
        <w:gridCol w:w="740"/>
        <w:gridCol w:w="137"/>
        <w:gridCol w:w="2903"/>
        <w:gridCol w:w="137"/>
      </w:tblGrid>
      <w:tr w:rsidR="00CC6464" w:rsidRPr="00FB5E2A" w14:paraId="2A6F83CC" w14:textId="77777777" w:rsidTr="002A2E21">
        <w:trPr>
          <w:gridAfter w:val="1"/>
          <w:wAfter w:w="137" w:type="dxa"/>
          <w:trHeight w:hRule="exact" w:val="173"/>
        </w:trPr>
        <w:tc>
          <w:tcPr>
            <w:tcW w:w="2198" w:type="dxa"/>
            <w:gridSpan w:val="2"/>
            <w:tcBorders>
              <w:top w:val="nil"/>
              <w:left w:val="nil"/>
              <w:bottom w:val="nil"/>
              <w:right w:val="nil"/>
            </w:tcBorders>
            <w:noWrap/>
            <w:vAlign w:val="bottom"/>
            <w:hideMark/>
          </w:tcPr>
          <w:p w14:paraId="3D96B27F"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Revenue</w:t>
            </w:r>
          </w:p>
        </w:tc>
        <w:tc>
          <w:tcPr>
            <w:tcW w:w="740" w:type="dxa"/>
            <w:tcBorders>
              <w:top w:val="nil"/>
              <w:left w:val="nil"/>
              <w:bottom w:val="nil"/>
              <w:right w:val="nil"/>
            </w:tcBorders>
            <w:noWrap/>
            <w:vAlign w:val="bottom"/>
            <w:hideMark/>
          </w:tcPr>
          <w:p w14:paraId="594A9890"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1DCBB1C5" w14:textId="77777777" w:rsidR="00CC6464" w:rsidRPr="00FB5E2A" w:rsidRDefault="00CC6464" w:rsidP="00B62AAE">
            <w:pPr>
              <w:keepNext/>
              <w:keepLines/>
              <w:ind w:firstLine="0"/>
              <w:rPr>
                <w:rFonts w:eastAsia="Times New Roman" w:cs="Times New Roman"/>
                <w:color w:val="000000"/>
                <w:sz w:val="18"/>
                <w:szCs w:val="18"/>
                <w:lang w:bidi="ar-SA"/>
              </w:rPr>
            </w:pPr>
          </w:p>
        </w:tc>
      </w:tr>
      <w:tr w:rsidR="00CC6464" w:rsidRPr="00FB5E2A" w14:paraId="2C55ED9C"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131FE98D"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4A4F81CA"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722,928 </w:t>
            </w:r>
          </w:p>
        </w:tc>
        <w:tc>
          <w:tcPr>
            <w:tcW w:w="3780" w:type="dxa"/>
            <w:gridSpan w:val="3"/>
            <w:tcBorders>
              <w:top w:val="nil"/>
              <w:left w:val="nil"/>
              <w:bottom w:val="nil"/>
              <w:right w:val="nil"/>
            </w:tcBorders>
            <w:noWrap/>
            <w:vAlign w:val="bottom"/>
            <w:hideMark/>
          </w:tcPr>
          <w:p w14:paraId="67330BBB"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Sales Price</w:t>
            </w:r>
            <w:r w:rsidR="00091858" w:rsidRPr="00FB5E2A">
              <w:rPr>
                <w:rFonts w:eastAsia="Times New Roman" w:cs="Times New Roman"/>
                <w:color w:val="000000"/>
                <w:sz w:val="18"/>
                <w:szCs w:val="18"/>
                <w:lang w:bidi="ar-SA"/>
              </w:rPr>
              <w:t xml:space="preserve"> at 2006 Median</w:t>
            </w:r>
          </w:p>
        </w:tc>
      </w:tr>
      <w:tr w:rsidR="00CC6464" w:rsidRPr="00FB5E2A" w14:paraId="1666C3AE"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778949FE"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68E88AAF"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3C1D4DB1"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4B3A4B47" w14:textId="77777777" w:rsidR="00CC6464" w:rsidRPr="00FB5E2A" w:rsidRDefault="00CC6464" w:rsidP="00B62AAE">
            <w:pPr>
              <w:keepNext/>
              <w:keepLines/>
              <w:ind w:firstLine="0"/>
              <w:rPr>
                <w:rFonts w:eastAsia="Times New Roman" w:cs="Times New Roman"/>
                <w:color w:val="000000"/>
                <w:sz w:val="18"/>
                <w:szCs w:val="18"/>
                <w:lang w:bidi="ar-SA"/>
              </w:rPr>
            </w:pPr>
          </w:p>
        </w:tc>
      </w:tr>
      <w:tr w:rsidR="00CC6464" w:rsidRPr="00FB5E2A" w14:paraId="446B7183" w14:textId="77777777" w:rsidTr="002A2E21">
        <w:trPr>
          <w:gridAfter w:val="1"/>
          <w:wAfter w:w="137" w:type="dxa"/>
          <w:trHeight w:hRule="exact" w:val="173"/>
        </w:trPr>
        <w:tc>
          <w:tcPr>
            <w:tcW w:w="2198" w:type="dxa"/>
            <w:gridSpan w:val="2"/>
            <w:tcBorders>
              <w:top w:val="nil"/>
              <w:left w:val="nil"/>
              <w:bottom w:val="nil"/>
              <w:right w:val="nil"/>
            </w:tcBorders>
            <w:noWrap/>
            <w:vAlign w:val="bottom"/>
            <w:hideMark/>
          </w:tcPr>
          <w:p w14:paraId="7F6D985D"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Costs</w:t>
            </w:r>
          </w:p>
        </w:tc>
        <w:tc>
          <w:tcPr>
            <w:tcW w:w="740" w:type="dxa"/>
            <w:tcBorders>
              <w:top w:val="nil"/>
              <w:left w:val="nil"/>
              <w:bottom w:val="nil"/>
              <w:right w:val="nil"/>
            </w:tcBorders>
            <w:noWrap/>
            <w:vAlign w:val="bottom"/>
            <w:hideMark/>
          </w:tcPr>
          <w:p w14:paraId="2A7B23CB"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5118EDE6" w14:textId="77777777" w:rsidR="00CC6464" w:rsidRPr="00FB5E2A" w:rsidRDefault="00CC6464" w:rsidP="00B62AAE">
            <w:pPr>
              <w:keepNext/>
              <w:keepLines/>
              <w:ind w:firstLine="0"/>
              <w:rPr>
                <w:rFonts w:eastAsia="Times New Roman" w:cs="Times New Roman"/>
                <w:color w:val="000000"/>
                <w:sz w:val="18"/>
                <w:szCs w:val="18"/>
                <w:lang w:bidi="ar-SA"/>
              </w:rPr>
            </w:pPr>
          </w:p>
        </w:tc>
      </w:tr>
      <w:tr w:rsidR="00CC6464" w:rsidRPr="00FB5E2A" w14:paraId="6A88749E"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68EE8A13"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2233F2CA"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Fixed Costs</w:t>
            </w:r>
          </w:p>
        </w:tc>
        <w:tc>
          <w:tcPr>
            <w:tcW w:w="740" w:type="dxa"/>
            <w:tcBorders>
              <w:top w:val="nil"/>
              <w:left w:val="nil"/>
              <w:bottom w:val="nil"/>
              <w:right w:val="nil"/>
            </w:tcBorders>
            <w:noWrap/>
            <w:vAlign w:val="bottom"/>
            <w:hideMark/>
          </w:tcPr>
          <w:p w14:paraId="3DF5FAD6"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20A4BA36" w14:textId="77777777" w:rsidR="00CC6464" w:rsidRPr="00FB5E2A" w:rsidRDefault="00CC6464" w:rsidP="00B62AAE">
            <w:pPr>
              <w:keepNext/>
              <w:keepLines/>
              <w:ind w:firstLine="0"/>
              <w:rPr>
                <w:rFonts w:eastAsia="Times New Roman" w:cs="Times New Roman"/>
                <w:color w:val="000000"/>
                <w:sz w:val="18"/>
                <w:szCs w:val="18"/>
                <w:lang w:bidi="ar-SA"/>
              </w:rPr>
            </w:pPr>
          </w:p>
        </w:tc>
      </w:tr>
      <w:tr w:rsidR="00CC6464" w:rsidRPr="00FB5E2A" w14:paraId="4DB5D4D8" w14:textId="77777777" w:rsidTr="002A2E21">
        <w:trPr>
          <w:trHeight w:hRule="exact" w:val="173"/>
        </w:trPr>
        <w:tc>
          <w:tcPr>
            <w:tcW w:w="222" w:type="dxa"/>
            <w:tcBorders>
              <w:top w:val="nil"/>
              <w:left w:val="nil"/>
              <w:bottom w:val="nil"/>
              <w:right w:val="nil"/>
            </w:tcBorders>
            <w:noWrap/>
            <w:vAlign w:val="bottom"/>
            <w:hideMark/>
          </w:tcPr>
          <w:p w14:paraId="0FEECAC9"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56E63E62"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877" w:type="dxa"/>
            <w:gridSpan w:val="2"/>
            <w:tcBorders>
              <w:top w:val="nil"/>
              <w:left w:val="nil"/>
              <w:bottom w:val="nil"/>
              <w:right w:val="nil"/>
            </w:tcBorders>
            <w:noWrap/>
            <w:vAlign w:val="bottom"/>
            <w:hideMark/>
          </w:tcPr>
          <w:p w14:paraId="59F42CBC"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2,000 </w:t>
            </w:r>
          </w:p>
        </w:tc>
        <w:tc>
          <w:tcPr>
            <w:tcW w:w="3040" w:type="dxa"/>
            <w:gridSpan w:val="2"/>
            <w:tcBorders>
              <w:top w:val="nil"/>
              <w:left w:val="nil"/>
              <w:bottom w:val="nil"/>
              <w:right w:val="nil"/>
            </w:tcBorders>
            <w:noWrap/>
            <w:vAlign w:val="bottom"/>
            <w:hideMark/>
          </w:tcPr>
          <w:p w14:paraId="07652129"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House Square Footage</w:t>
            </w:r>
          </w:p>
        </w:tc>
      </w:tr>
      <w:tr w:rsidR="00CC6464" w:rsidRPr="00FB5E2A" w14:paraId="022A6D9D" w14:textId="77777777" w:rsidTr="002A2E21">
        <w:trPr>
          <w:trHeight w:hRule="exact" w:val="173"/>
        </w:trPr>
        <w:tc>
          <w:tcPr>
            <w:tcW w:w="222" w:type="dxa"/>
            <w:tcBorders>
              <w:top w:val="nil"/>
              <w:left w:val="nil"/>
              <w:bottom w:val="nil"/>
              <w:right w:val="nil"/>
            </w:tcBorders>
            <w:noWrap/>
            <w:vAlign w:val="bottom"/>
            <w:hideMark/>
          </w:tcPr>
          <w:p w14:paraId="53B35017"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double" w:sz="6" w:space="0" w:color="auto"/>
              <w:right w:val="nil"/>
            </w:tcBorders>
            <w:noWrap/>
            <w:vAlign w:val="bottom"/>
            <w:hideMark/>
          </w:tcPr>
          <w:p w14:paraId="2114523B"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w:t>
            </w:r>
          </w:p>
        </w:tc>
        <w:tc>
          <w:tcPr>
            <w:tcW w:w="877" w:type="dxa"/>
            <w:gridSpan w:val="2"/>
            <w:tcBorders>
              <w:top w:val="nil"/>
              <w:left w:val="nil"/>
              <w:bottom w:val="double" w:sz="6" w:space="0" w:color="auto"/>
              <w:right w:val="nil"/>
            </w:tcBorders>
            <w:noWrap/>
            <w:vAlign w:val="bottom"/>
            <w:hideMark/>
          </w:tcPr>
          <w:p w14:paraId="23A36D0A"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85 </w:t>
            </w:r>
          </w:p>
        </w:tc>
        <w:tc>
          <w:tcPr>
            <w:tcW w:w="3040" w:type="dxa"/>
            <w:gridSpan w:val="2"/>
            <w:tcBorders>
              <w:top w:val="nil"/>
              <w:left w:val="nil"/>
              <w:bottom w:val="double" w:sz="6" w:space="0" w:color="auto"/>
              <w:right w:val="nil"/>
            </w:tcBorders>
            <w:noWrap/>
            <w:vAlign w:val="bottom"/>
            <w:hideMark/>
          </w:tcPr>
          <w:p w14:paraId="4F9AD6AC"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Cost per Square Foot</w:t>
            </w:r>
          </w:p>
        </w:tc>
      </w:tr>
      <w:tr w:rsidR="00CC6464" w:rsidRPr="00FB5E2A" w14:paraId="785CCD07" w14:textId="77777777" w:rsidTr="002A2E21">
        <w:trPr>
          <w:gridAfter w:val="1"/>
          <w:wAfter w:w="137" w:type="dxa"/>
          <w:trHeight w:hRule="exact" w:val="288"/>
        </w:trPr>
        <w:tc>
          <w:tcPr>
            <w:tcW w:w="222" w:type="dxa"/>
            <w:tcBorders>
              <w:top w:val="nil"/>
              <w:left w:val="nil"/>
              <w:bottom w:val="nil"/>
              <w:right w:val="nil"/>
            </w:tcBorders>
            <w:noWrap/>
            <w:vAlign w:val="bottom"/>
            <w:hideMark/>
          </w:tcPr>
          <w:p w14:paraId="30BBCD71"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2FC544BE"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170,000 </w:t>
            </w:r>
          </w:p>
        </w:tc>
        <w:tc>
          <w:tcPr>
            <w:tcW w:w="3780" w:type="dxa"/>
            <w:gridSpan w:val="3"/>
            <w:tcBorders>
              <w:top w:val="nil"/>
              <w:left w:val="nil"/>
              <w:bottom w:val="nil"/>
              <w:right w:val="nil"/>
            </w:tcBorders>
            <w:noWrap/>
            <w:vAlign w:val="bottom"/>
            <w:hideMark/>
          </w:tcPr>
          <w:p w14:paraId="3DEAEB97"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Cost of Physical Structure</w:t>
            </w:r>
          </w:p>
        </w:tc>
      </w:tr>
      <w:tr w:rsidR="00CC6464" w:rsidRPr="00FB5E2A" w14:paraId="0D10E38D"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1B328932"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double" w:sz="6" w:space="0" w:color="auto"/>
              <w:right w:val="nil"/>
            </w:tcBorders>
            <w:noWrap/>
            <w:vAlign w:val="bottom"/>
            <w:hideMark/>
          </w:tcPr>
          <w:p w14:paraId="7CC5FC2E"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40,000 </w:t>
            </w:r>
          </w:p>
        </w:tc>
        <w:tc>
          <w:tcPr>
            <w:tcW w:w="3780" w:type="dxa"/>
            <w:gridSpan w:val="3"/>
            <w:tcBorders>
              <w:top w:val="nil"/>
              <w:left w:val="nil"/>
              <w:bottom w:val="double" w:sz="6" w:space="0" w:color="auto"/>
              <w:right w:val="nil"/>
            </w:tcBorders>
            <w:noWrap/>
            <w:vAlign w:val="bottom"/>
            <w:hideMark/>
          </w:tcPr>
          <w:p w14:paraId="526879AE"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Per-Lot Cost of Infrastructure</w:t>
            </w:r>
          </w:p>
        </w:tc>
      </w:tr>
      <w:tr w:rsidR="00CC6464" w:rsidRPr="00FB5E2A" w14:paraId="1AC0E9B2" w14:textId="77777777" w:rsidTr="002A2E21">
        <w:trPr>
          <w:gridAfter w:val="1"/>
          <w:wAfter w:w="137" w:type="dxa"/>
          <w:trHeight w:hRule="exact" w:val="288"/>
        </w:trPr>
        <w:tc>
          <w:tcPr>
            <w:tcW w:w="222" w:type="dxa"/>
            <w:tcBorders>
              <w:top w:val="nil"/>
              <w:left w:val="nil"/>
              <w:bottom w:val="nil"/>
              <w:right w:val="nil"/>
            </w:tcBorders>
            <w:noWrap/>
            <w:vAlign w:val="bottom"/>
            <w:hideMark/>
          </w:tcPr>
          <w:p w14:paraId="5BF65BCE"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152CE7E6"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210,000 </w:t>
            </w:r>
          </w:p>
        </w:tc>
        <w:tc>
          <w:tcPr>
            <w:tcW w:w="3780" w:type="dxa"/>
            <w:gridSpan w:val="3"/>
            <w:tcBorders>
              <w:top w:val="nil"/>
              <w:left w:val="nil"/>
              <w:bottom w:val="nil"/>
              <w:right w:val="nil"/>
            </w:tcBorders>
            <w:noWrap/>
            <w:vAlign w:val="bottom"/>
            <w:hideMark/>
          </w:tcPr>
          <w:p w14:paraId="76C911E8"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Total Average Fixed Construction Costs</w:t>
            </w:r>
          </w:p>
        </w:tc>
      </w:tr>
      <w:tr w:rsidR="00CC6464" w:rsidRPr="00FB5E2A" w14:paraId="0EB03DE7"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75D2013E"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14868E7A"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0914A7D4"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78772AC2" w14:textId="77777777" w:rsidR="00CC6464" w:rsidRPr="00FB5E2A" w:rsidRDefault="00CC6464" w:rsidP="00B62AAE">
            <w:pPr>
              <w:keepNext/>
              <w:keepLines/>
              <w:ind w:firstLine="0"/>
              <w:rPr>
                <w:rFonts w:eastAsia="Times New Roman" w:cs="Times New Roman"/>
                <w:color w:val="000000"/>
                <w:sz w:val="18"/>
                <w:szCs w:val="18"/>
                <w:lang w:bidi="ar-SA"/>
              </w:rPr>
            </w:pPr>
          </w:p>
        </w:tc>
      </w:tr>
      <w:tr w:rsidR="00CC6464" w:rsidRPr="00FB5E2A" w14:paraId="3E3F85E7"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1A439047"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2D02A09A"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Variable Costs</w:t>
            </w:r>
          </w:p>
        </w:tc>
        <w:tc>
          <w:tcPr>
            <w:tcW w:w="740" w:type="dxa"/>
            <w:tcBorders>
              <w:top w:val="nil"/>
              <w:left w:val="nil"/>
              <w:bottom w:val="nil"/>
              <w:right w:val="nil"/>
            </w:tcBorders>
            <w:noWrap/>
            <w:vAlign w:val="bottom"/>
            <w:hideMark/>
          </w:tcPr>
          <w:p w14:paraId="58D7FF3F"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716802C7" w14:textId="77777777" w:rsidR="00CC6464" w:rsidRPr="00FB5E2A" w:rsidRDefault="00CC6464" w:rsidP="00B62AAE">
            <w:pPr>
              <w:keepNext/>
              <w:keepLines/>
              <w:ind w:firstLine="0"/>
              <w:rPr>
                <w:rFonts w:eastAsia="Times New Roman" w:cs="Times New Roman"/>
                <w:color w:val="000000"/>
                <w:sz w:val="18"/>
                <w:szCs w:val="18"/>
                <w:lang w:bidi="ar-SA"/>
              </w:rPr>
            </w:pPr>
          </w:p>
        </w:tc>
      </w:tr>
      <w:tr w:rsidR="00CC6464" w:rsidRPr="00FB5E2A" w14:paraId="0A2A222F"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2600C144"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06031916"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86,751 </w:t>
            </w:r>
          </w:p>
        </w:tc>
        <w:tc>
          <w:tcPr>
            <w:tcW w:w="740" w:type="dxa"/>
            <w:tcBorders>
              <w:top w:val="nil"/>
              <w:left w:val="nil"/>
              <w:bottom w:val="nil"/>
              <w:right w:val="nil"/>
            </w:tcBorders>
            <w:noWrap/>
            <w:vAlign w:val="bottom"/>
            <w:hideMark/>
          </w:tcPr>
          <w:p w14:paraId="3FE60A21" w14:textId="77777777" w:rsidR="00CC6464" w:rsidRPr="00FB5E2A" w:rsidRDefault="00CC6464"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12%</w:t>
            </w:r>
          </w:p>
        </w:tc>
        <w:tc>
          <w:tcPr>
            <w:tcW w:w="3040" w:type="dxa"/>
            <w:gridSpan w:val="2"/>
            <w:tcBorders>
              <w:top w:val="nil"/>
              <w:left w:val="nil"/>
              <w:bottom w:val="nil"/>
              <w:right w:val="nil"/>
            </w:tcBorders>
            <w:noWrap/>
            <w:vAlign w:val="bottom"/>
            <w:hideMark/>
          </w:tcPr>
          <w:p w14:paraId="771F631C"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Profit Margin</w:t>
            </w:r>
          </w:p>
        </w:tc>
      </w:tr>
      <w:tr w:rsidR="00CC6464" w:rsidRPr="00FB5E2A" w14:paraId="1C4E833C" w14:textId="77777777" w:rsidTr="00A61076">
        <w:trPr>
          <w:gridAfter w:val="1"/>
          <w:wAfter w:w="137" w:type="dxa"/>
          <w:trHeight w:hRule="exact" w:val="202"/>
        </w:trPr>
        <w:tc>
          <w:tcPr>
            <w:tcW w:w="222" w:type="dxa"/>
            <w:tcBorders>
              <w:top w:val="nil"/>
              <w:left w:val="nil"/>
              <w:bottom w:val="nil"/>
              <w:right w:val="nil"/>
            </w:tcBorders>
            <w:noWrap/>
            <w:vAlign w:val="bottom"/>
            <w:hideMark/>
          </w:tcPr>
          <w:p w14:paraId="0D6E260A"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55B6139D"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36,146 </w:t>
            </w:r>
          </w:p>
        </w:tc>
        <w:tc>
          <w:tcPr>
            <w:tcW w:w="740" w:type="dxa"/>
            <w:tcBorders>
              <w:top w:val="nil"/>
              <w:left w:val="nil"/>
              <w:bottom w:val="nil"/>
              <w:right w:val="nil"/>
            </w:tcBorders>
            <w:noWrap/>
            <w:vAlign w:val="bottom"/>
            <w:hideMark/>
          </w:tcPr>
          <w:p w14:paraId="451B60E6" w14:textId="77777777" w:rsidR="00CC6464" w:rsidRPr="00FB5E2A" w:rsidRDefault="00CC6464"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5%</w:t>
            </w:r>
          </w:p>
        </w:tc>
        <w:tc>
          <w:tcPr>
            <w:tcW w:w="3040" w:type="dxa"/>
            <w:gridSpan w:val="2"/>
            <w:tcBorders>
              <w:top w:val="nil"/>
              <w:left w:val="nil"/>
              <w:bottom w:val="nil"/>
              <w:right w:val="nil"/>
            </w:tcBorders>
            <w:noWrap/>
            <w:vAlign w:val="bottom"/>
            <w:hideMark/>
          </w:tcPr>
          <w:p w14:paraId="466142DA"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Marketing</w:t>
            </w:r>
          </w:p>
        </w:tc>
      </w:tr>
      <w:tr w:rsidR="00CC6464" w:rsidRPr="00FB5E2A" w14:paraId="2ECECF19"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0B0D46B4"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175E19D2"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21,688 </w:t>
            </w:r>
          </w:p>
        </w:tc>
        <w:tc>
          <w:tcPr>
            <w:tcW w:w="740" w:type="dxa"/>
            <w:tcBorders>
              <w:top w:val="nil"/>
              <w:left w:val="nil"/>
              <w:bottom w:val="nil"/>
              <w:right w:val="nil"/>
            </w:tcBorders>
            <w:noWrap/>
            <w:vAlign w:val="bottom"/>
            <w:hideMark/>
          </w:tcPr>
          <w:p w14:paraId="10114A22" w14:textId="77777777" w:rsidR="00CC6464" w:rsidRPr="00FB5E2A" w:rsidRDefault="00CC6464"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3%</w:t>
            </w:r>
          </w:p>
        </w:tc>
        <w:tc>
          <w:tcPr>
            <w:tcW w:w="3040" w:type="dxa"/>
            <w:gridSpan w:val="2"/>
            <w:tcBorders>
              <w:top w:val="nil"/>
              <w:left w:val="nil"/>
              <w:bottom w:val="nil"/>
              <w:right w:val="nil"/>
            </w:tcBorders>
            <w:noWrap/>
            <w:vAlign w:val="bottom"/>
            <w:hideMark/>
          </w:tcPr>
          <w:p w14:paraId="0255C0B7"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Overhead</w:t>
            </w:r>
          </w:p>
        </w:tc>
      </w:tr>
      <w:tr w:rsidR="00CC6464" w:rsidRPr="00FB5E2A" w14:paraId="5F82971F"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4EEBC8C7"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46824AD7"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36,146 </w:t>
            </w:r>
          </w:p>
        </w:tc>
        <w:tc>
          <w:tcPr>
            <w:tcW w:w="740" w:type="dxa"/>
            <w:tcBorders>
              <w:top w:val="nil"/>
              <w:left w:val="nil"/>
              <w:bottom w:val="nil"/>
              <w:right w:val="nil"/>
            </w:tcBorders>
            <w:noWrap/>
            <w:vAlign w:val="bottom"/>
            <w:hideMark/>
          </w:tcPr>
          <w:p w14:paraId="0F7DFE10" w14:textId="77777777" w:rsidR="00CC6464" w:rsidRPr="00FB5E2A" w:rsidRDefault="00CC6464"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5%</w:t>
            </w:r>
          </w:p>
        </w:tc>
        <w:tc>
          <w:tcPr>
            <w:tcW w:w="3040" w:type="dxa"/>
            <w:gridSpan w:val="2"/>
            <w:tcBorders>
              <w:top w:val="nil"/>
              <w:left w:val="nil"/>
              <w:bottom w:val="nil"/>
              <w:right w:val="nil"/>
            </w:tcBorders>
            <w:noWrap/>
            <w:vAlign w:val="bottom"/>
            <w:hideMark/>
          </w:tcPr>
          <w:p w14:paraId="6F886B20"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Finance</w:t>
            </w:r>
          </w:p>
        </w:tc>
      </w:tr>
      <w:tr w:rsidR="00CC6464" w:rsidRPr="00FB5E2A" w14:paraId="4DD10EE0"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2FEC5AB4"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double" w:sz="6" w:space="0" w:color="auto"/>
              <w:right w:val="nil"/>
            </w:tcBorders>
            <w:noWrap/>
            <w:vAlign w:val="bottom"/>
            <w:hideMark/>
          </w:tcPr>
          <w:p w14:paraId="19606816"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21,688 </w:t>
            </w:r>
          </w:p>
        </w:tc>
        <w:tc>
          <w:tcPr>
            <w:tcW w:w="740" w:type="dxa"/>
            <w:tcBorders>
              <w:top w:val="nil"/>
              <w:left w:val="nil"/>
              <w:bottom w:val="double" w:sz="6" w:space="0" w:color="auto"/>
              <w:right w:val="nil"/>
            </w:tcBorders>
            <w:noWrap/>
            <w:vAlign w:val="bottom"/>
            <w:hideMark/>
          </w:tcPr>
          <w:p w14:paraId="2285CC6A" w14:textId="77777777" w:rsidR="00CC6464" w:rsidRPr="00FB5E2A" w:rsidRDefault="00CC6464"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3%</w:t>
            </w:r>
          </w:p>
        </w:tc>
        <w:tc>
          <w:tcPr>
            <w:tcW w:w="3040" w:type="dxa"/>
            <w:gridSpan w:val="2"/>
            <w:tcBorders>
              <w:top w:val="nil"/>
              <w:left w:val="nil"/>
              <w:bottom w:val="double" w:sz="6" w:space="0" w:color="auto"/>
              <w:right w:val="nil"/>
            </w:tcBorders>
            <w:noWrap/>
            <w:vAlign w:val="bottom"/>
            <w:hideMark/>
          </w:tcPr>
          <w:p w14:paraId="01FFCFBC"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Other</w:t>
            </w:r>
          </w:p>
        </w:tc>
      </w:tr>
      <w:tr w:rsidR="00CC6464" w:rsidRPr="00FB5E2A" w14:paraId="3A06556D" w14:textId="77777777" w:rsidTr="002A2E21">
        <w:trPr>
          <w:gridAfter w:val="1"/>
          <w:wAfter w:w="137" w:type="dxa"/>
          <w:trHeight w:hRule="exact" w:val="288"/>
        </w:trPr>
        <w:tc>
          <w:tcPr>
            <w:tcW w:w="222" w:type="dxa"/>
            <w:tcBorders>
              <w:top w:val="nil"/>
              <w:left w:val="nil"/>
              <w:bottom w:val="nil"/>
              <w:right w:val="nil"/>
            </w:tcBorders>
            <w:noWrap/>
            <w:vAlign w:val="bottom"/>
            <w:hideMark/>
          </w:tcPr>
          <w:p w14:paraId="68348E54"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43450D06"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202,420 </w:t>
            </w:r>
          </w:p>
        </w:tc>
        <w:tc>
          <w:tcPr>
            <w:tcW w:w="740" w:type="dxa"/>
            <w:tcBorders>
              <w:top w:val="nil"/>
              <w:left w:val="nil"/>
              <w:bottom w:val="nil"/>
              <w:right w:val="nil"/>
            </w:tcBorders>
            <w:noWrap/>
            <w:vAlign w:val="bottom"/>
            <w:hideMark/>
          </w:tcPr>
          <w:p w14:paraId="4B117738" w14:textId="77777777" w:rsidR="00CC6464" w:rsidRPr="00FB5E2A" w:rsidRDefault="00CC6464"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28%</w:t>
            </w:r>
          </w:p>
        </w:tc>
        <w:tc>
          <w:tcPr>
            <w:tcW w:w="3040" w:type="dxa"/>
            <w:gridSpan w:val="2"/>
            <w:tcBorders>
              <w:top w:val="nil"/>
              <w:left w:val="nil"/>
              <w:bottom w:val="nil"/>
              <w:right w:val="nil"/>
            </w:tcBorders>
            <w:noWrap/>
            <w:vAlign w:val="bottom"/>
            <w:hideMark/>
          </w:tcPr>
          <w:p w14:paraId="78178997"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Total Variable Costs</w:t>
            </w:r>
          </w:p>
        </w:tc>
      </w:tr>
      <w:tr w:rsidR="00CC6464" w:rsidRPr="00FB5E2A" w14:paraId="336326E7"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2007FBE9"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6D57CDCB"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5C7ECEC5"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07CF364F" w14:textId="77777777" w:rsidR="00CC6464" w:rsidRPr="00FB5E2A" w:rsidRDefault="00CC6464" w:rsidP="00B62AAE">
            <w:pPr>
              <w:keepNext/>
              <w:keepLines/>
              <w:ind w:firstLine="0"/>
              <w:rPr>
                <w:rFonts w:eastAsia="Times New Roman" w:cs="Times New Roman"/>
                <w:color w:val="000000"/>
                <w:sz w:val="18"/>
                <w:szCs w:val="18"/>
                <w:lang w:bidi="ar-SA"/>
              </w:rPr>
            </w:pPr>
          </w:p>
        </w:tc>
      </w:tr>
      <w:tr w:rsidR="00CC6464" w:rsidRPr="00FB5E2A" w14:paraId="5CE3E93D"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7DD83A37"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6B3E4910"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412,420 </w:t>
            </w:r>
          </w:p>
        </w:tc>
        <w:tc>
          <w:tcPr>
            <w:tcW w:w="3780" w:type="dxa"/>
            <w:gridSpan w:val="3"/>
            <w:tcBorders>
              <w:top w:val="nil"/>
              <w:left w:val="nil"/>
              <w:bottom w:val="nil"/>
              <w:right w:val="nil"/>
            </w:tcBorders>
            <w:noWrap/>
            <w:vAlign w:val="bottom"/>
            <w:hideMark/>
          </w:tcPr>
          <w:p w14:paraId="4F85D908"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Total Costs (Fixed plus Variable)</w:t>
            </w:r>
          </w:p>
        </w:tc>
      </w:tr>
      <w:tr w:rsidR="00CC6464" w:rsidRPr="00FB5E2A" w14:paraId="6CE0598C"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2E77A121"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3E6D2BE8"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7D3A309B"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3C679588" w14:textId="77777777" w:rsidR="00CC6464" w:rsidRPr="00FB5E2A" w:rsidRDefault="00CC6464" w:rsidP="00B62AAE">
            <w:pPr>
              <w:keepNext/>
              <w:keepLines/>
              <w:ind w:firstLine="0"/>
              <w:rPr>
                <w:rFonts w:eastAsia="Times New Roman" w:cs="Times New Roman"/>
                <w:color w:val="000000"/>
                <w:sz w:val="18"/>
                <w:szCs w:val="18"/>
                <w:lang w:bidi="ar-SA"/>
              </w:rPr>
            </w:pPr>
          </w:p>
        </w:tc>
      </w:tr>
      <w:tr w:rsidR="00CC6464" w:rsidRPr="00FB5E2A" w14:paraId="69618DB8" w14:textId="77777777" w:rsidTr="002A2E21">
        <w:trPr>
          <w:gridAfter w:val="1"/>
          <w:wAfter w:w="137" w:type="dxa"/>
          <w:trHeight w:hRule="exact" w:val="173"/>
        </w:trPr>
        <w:tc>
          <w:tcPr>
            <w:tcW w:w="2198" w:type="dxa"/>
            <w:gridSpan w:val="2"/>
            <w:tcBorders>
              <w:top w:val="nil"/>
              <w:left w:val="nil"/>
              <w:bottom w:val="nil"/>
              <w:right w:val="nil"/>
            </w:tcBorders>
            <w:noWrap/>
            <w:vAlign w:val="bottom"/>
            <w:hideMark/>
          </w:tcPr>
          <w:p w14:paraId="75D83336"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Residual Lot Value</w:t>
            </w:r>
          </w:p>
        </w:tc>
        <w:tc>
          <w:tcPr>
            <w:tcW w:w="740" w:type="dxa"/>
            <w:tcBorders>
              <w:top w:val="nil"/>
              <w:left w:val="nil"/>
              <w:bottom w:val="nil"/>
              <w:right w:val="nil"/>
            </w:tcBorders>
            <w:noWrap/>
            <w:vAlign w:val="bottom"/>
            <w:hideMark/>
          </w:tcPr>
          <w:p w14:paraId="02319947"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43D1F99B" w14:textId="77777777" w:rsidR="00CC6464" w:rsidRPr="00FB5E2A" w:rsidRDefault="00CC6464" w:rsidP="00B62AAE">
            <w:pPr>
              <w:keepNext/>
              <w:keepLines/>
              <w:ind w:firstLine="0"/>
              <w:rPr>
                <w:rFonts w:eastAsia="Times New Roman" w:cs="Times New Roman"/>
                <w:color w:val="000000"/>
                <w:sz w:val="18"/>
                <w:szCs w:val="18"/>
                <w:lang w:bidi="ar-SA"/>
              </w:rPr>
            </w:pPr>
          </w:p>
        </w:tc>
      </w:tr>
      <w:tr w:rsidR="00CC6464" w:rsidRPr="00FB5E2A" w14:paraId="37BB107B"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5E86B797"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713DFD56"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310,509 </w:t>
            </w:r>
          </w:p>
        </w:tc>
        <w:tc>
          <w:tcPr>
            <w:tcW w:w="3780" w:type="dxa"/>
            <w:gridSpan w:val="3"/>
            <w:tcBorders>
              <w:top w:val="nil"/>
              <w:left w:val="nil"/>
              <w:bottom w:val="nil"/>
              <w:right w:val="nil"/>
            </w:tcBorders>
            <w:noWrap/>
            <w:vAlign w:val="bottom"/>
            <w:hideMark/>
          </w:tcPr>
          <w:p w14:paraId="722CB224"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(Revenue minus Costs)</w:t>
            </w:r>
          </w:p>
        </w:tc>
      </w:tr>
      <w:tr w:rsidR="00CC6464" w:rsidRPr="00FB5E2A" w14:paraId="1D8B8697" w14:textId="77777777" w:rsidTr="002A2E21">
        <w:trPr>
          <w:gridAfter w:val="1"/>
          <w:wAfter w:w="137" w:type="dxa"/>
          <w:trHeight w:hRule="exact" w:val="173"/>
        </w:trPr>
        <w:tc>
          <w:tcPr>
            <w:tcW w:w="222" w:type="dxa"/>
            <w:tcBorders>
              <w:top w:val="nil"/>
              <w:left w:val="nil"/>
              <w:bottom w:val="nil"/>
              <w:right w:val="nil"/>
            </w:tcBorders>
            <w:noWrap/>
            <w:vAlign w:val="bottom"/>
            <w:hideMark/>
          </w:tcPr>
          <w:p w14:paraId="1E740CD6"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double" w:sz="6" w:space="0" w:color="auto"/>
              <w:right w:val="nil"/>
            </w:tcBorders>
            <w:noWrap/>
            <w:vAlign w:val="bottom"/>
            <w:hideMark/>
          </w:tcPr>
          <w:p w14:paraId="651D3286"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4,270 </w:t>
            </w:r>
          </w:p>
        </w:tc>
        <w:tc>
          <w:tcPr>
            <w:tcW w:w="3780" w:type="dxa"/>
            <w:gridSpan w:val="3"/>
            <w:tcBorders>
              <w:top w:val="nil"/>
              <w:left w:val="nil"/>
              <w:bottom w:val="double" w:sz="6" w:space="0" w:color="auto"/>
              <w:right w:val="nil"/>
            </w:tcBorders>
            <w:noWrap/>
            <w:vAlign w:val="bottom"/>
            <w:hideMark/>
          </w:tcPr>
          <w:p w14:paraId="2C283525"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Number of Lots</w:t>
            </w:r>
          </w:p>
        </w:tc>
      </w:tr>
      <w:tr w:rsidR="00CC6464" w:rsidRPr="00FB5E2A" w14:paraId="287A2A65" w14:textId="77777777" w:rsidTr="002A2E21">
        <w:trPr>
          <w:gridAfter w:val="1"/>
          <w:wAfter w:w="137" w:type="dxa"/>
          <w:trHeight w:hRule="exact" w:val="288"/>
        </w:trPr>
        <w:tc>
          <w:tcPr>
            <w:tcW w:w="222" w:type="dxa"/>
            <w:tcBorders>
              <w:top w:val="nil"/>
              <w:left w:val="nil"/>
              <w:bottom w:val="nil"/>
              <w:right w:val="nil"/>
            </w:tcBorders>
            <w:noWrap/>
            <w:vAlign w:val="bottom"/>
            <w:hideMark/>
          </w:tcPr>
          <w:p w14:paraId="0CB70089" w14:textId="77777777" w:rsidR="00CC6464" w:rsidRPr="00FB5E2A" w:rsidRDefault="00CC6464"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639C4BA7"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1,325,871,379 </w:t>
            </w:r>
          </w:p>
        </w:tc>
        <w:tc>
          <w:tcPr>
            <w:tcW w:w="3780" w:type="dxa"/>
            <w:gridSpan w:val="3"/>
            <w:tcBorders>
              <w:top w:val="nil"/>
              <w:left w:val="nil"/>
              <w:bottom w:val="nil"/>
              <w:right w:val="nil"/>
            </w:tcBorders>
            <w:noWrap/>
            <w:vAlign w:val="bottom"/>
            <w:hideMark/>
          </w:tcPr>
          <w:p w14:paraId="7E0F353C" w14:textId="77777777" w:rsidR="00CC6464" w:rsidRPr="00FB5E2A" w:rsidRDefault="00CC6464"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Finished Lot Land Value</w:t>
            </w:r>
          </w:p>
        </w:tc>
      </w:tr>
    </w:tbl>
    <w:p w14:paraId="71B9383C" w14:textId="77777777" w:rsidR="00CC6464" w:rsidRPr="00124B71" w:rsidRDefault="00CC6464" w:rsidP="00D06362">
      <w:pPr>
        <w:rPr>
          <w:rFonts w:cs="Times New Roman"/>
        </w:rPr>
      </w:pPr>
    </w:p>
    <w:p w14:paraId="69AF43F0" w14:textId="77777777" w:rsidR="00B62AAE" w:rsidRPr="00124B71" w:rsidRDefault="00AB68B0" w:rsidP="002B6617">
      <w:pPr>
        <w:rPr>
          <w:rFonts w:cs="Times New Roman"/>
        </w:rPr>
      </w:pPr>
      <w:r w:rsidRPr="00124B71">
        <w:rPr>
          <w:rFonts w:cs="Times New Roman"/>
        </w:rPr>
        <w:t>Woodbury</w:t>
      </w:r>
      <w:r w:rsidR="001858B5">
        <w:rPr>
          <w:rFonts w:cs="Times New Roman"/>
        </w:rPr>
        <w:fldChar w:fldCharType="begin"/>
      </w:r>
      <w:r w:rsidR="00FF74AC">
        <w:instrText xml:space="preserve"> XE "</w:instrText>
      </w:r>
      <w:r w:rsidR="00FF74AC" w:rsidRPr="00F40421">
        <w:rPr>
          <w:rFonts w:cs="Times New Roman"/>
        </w:rPr>
        <w:instrText>Woodbury</w:instrText>
      </w:r>
      <w:r w:rsidR="00FF74AC">
        <w:instrText xml:space="preserve">" </w:instrText>
      </w:r>
      <w:r w:rsidR="001858B5">
        <w:rPr>
          <w:rFonts w:cs="Times New Roman"/>
        </w:rPr>
        <w:fldChar w:fldCharType="end"/>
      </w:r>
      <w:r w:rsidRPr="00124B71">
        <w:rPr>
          <w:rFonts w:cs="Times New Roman"/>
        </w:rPr>
        <w:t xml:space="preserve"> is worth </w:t>
      </w:r>
      <w:r w:rsidR="00D06362" w:rsidRPr="00124B71">
        <w:rPr>
          <w:rFonts w:cs="Times New Roman"/>
        </w:rPr>
        <w:t>$1.</w:t>
      </w:r>
      <w:r w:rsidR="00CC6464" w:rsidRPr="00124B71">
        <w:rPr>
          <w:rFonts w:cs="Times New Roman"/>
        </w:rPr>
        <w:t>3</w:t>
      </w:r>
      <w:r w:rsidR="00D06362" w:rsidRPr="00124B71">
        <w:rPr>
          <w:rFonts w:cs="Times New Roman"/>
        </w:rPr>
        <w:t xml:space="preserve"> Billion dollars</w:t>
      </w:r>
      <w:r w:rsidR="007C469A">
        <w:rPr>
          <w:rFonts w:cs="Times New Roman"/>
        </w:rPr>
        <w:t>–</w:t>
      </w:r>
      <w:r w:rsidR="00D06362" w:rsidRPr="00124B71">
        <w:rPr>
          <w:rFonts w:cs="Times New Roman"/>
        </w:rPr>
        <w:t xml:space="preserve">that is Billion with a “B.” If the Irvine Company </w:t>
      </w:r>
      <w:r w:rsidRPr="00124B71">
        <w:rPr>
          <w:rFonts w:cs="Times New Roman"/>
        </w:rPr>
        <w:t>could have</w:t>
      </w:r>
      <w:r w:rsidR="00D06362" w:rsidRPr="00124B71">
        <w:rPr>
          <w:rFonts w:cs="Times New Roman"/>
        </w:rPr>
        <w:t xml:space="preserve"> buil</w:t>
      </w:r>
      <w:r w:rsidRPr="00124B71">
        <w:rPr>
          <w:rFonts w:cs="Times New Roman"/>
        </w:rPr>
        <w:t xml:space="preserve">t </w:t>
      </w:r>
      <w:r w:rsidR="00D06362" w:rsidRPr="00124B71">
        <w:rPr>
          <w:rFonts w:cs="Times New Roman"/>
        </w:rPr>
        <w:t>out this village for an average home sales price of $</w:t>
      </w:r>
      <w:r w:rsidRPr="00124B71">
        <w:rPr>
          <w:rFonts w:cs="Times New Roman"/>
        </w:rPr>
        <w:t>722</w:t>
      </w:r>
      <w:r w:rsidR="00D06362" w:rsidRPr="00124B71">
        <w:rPr>
          <w:rFonts w:cs="Times New Roman"/>
        </w:rPr>
        <w:t>,</w:t>
      </w:r>
      <w:r w:rsidRPr="00124B71">
        <w:rPr>
          <w:rFonts w:cs="Times New Roman"/>
        </w:rPr>
        <w:t>928 (the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Pr="00124B71">
        <w:rPr>
          <w:rFonts w:cs="Times New Roman"/>
        </w:rPr>
        <w:t xml:space="preserve"> at the end of 2006</w:t>
      </w:r>
      <w:r w:rsidR="00D06362" w:rsidRPr="00124B71">
        <w:rPr>
          <w:rFonts w:cs="Times New Roman"/>
        </w:rPr>
        <w:t>,</w:t>
      </w:r>
      <w:r w:rsidRPr="00124B71">
        <w:rPr>
          <w:rFonts w:cs="Times New Roman"/>
        </w:rPr>
        <w:t>)</w:t>
      </w:r>
      <w:r w:rsidR="00D06362" w:rsidRPr="00124B71">
        <w:rPr>
          <w:rFonts w:cs="Times New Roman"/>
        </w:rPr>
        <w:t xml:space="preserve"> that is how much they </w:t>
      </w:r>
      <w:r w:rsidRPr="00124B71">
        <w:rPr>
          <w:rFonts w:cs="Times New Roman"/>
        </w:rPr>
        <w:t>would have made</w:t>
      </w:r>
      <w:r w:rsidR="00D06362" w:rsidRPr="00124B71">
        <w:rPr>
          <w:rFonts w:cs="Times New Roman"/>
        </w:rPr>
        <w:t xml:space="preserve"> (the</w:t>
      </w:r>
      <w:r w:rsidR="00495E59" w:rsidRPr="00124B71">
        <w:rPr>
          <w:rFonts w:cs="Times New Roman"/>
        </w:rPr>
        <w:t xml:space="preserve"> land was purchased so long ago that the</w:t>
      </w:r>
      <w:r w:rsidR="00D06362" w:rsidRPr="00124B71">
        <w:rPr>
          <w:rFonts w:cs="Times New Roman"/>
        </w:rPr>
        <w:t>ir land cost</w:t>
      </w:r>
      <w:r w:rsidR="00495E59" w:rsidRPr="00124B71">
        <w:rPr>
          <w:rFonts w:cs="Times New Roman"/>
        </w:rPr>
        <w:t xml:space="preserve"> basis</w:t>
      </w:r>
      <w:r w:rsidR="00D06362" w:rsidRPr="00124B71">
        <w:rPr>
          <w:rFonts w:cs="Times New Roman"/>
        </w:rPr>
        <w:t xml:space="preserve"> is </w:t>
      </w:r>
      <w:r w:rsidRPr="00124B71">
        <w:rPr>
          <w:rFonts w:cs="Times New Roman"/>
        </w:rPr>
        <w:t>nearly</w:t>
      </w:r>
      <w:r w:rsidR="00D06362" w:rsidRPr="00124B71">
        <w:rPr>
          <w:rFonts w:cs="Times New Roman"/>
        </w:rPr>
        <w:t xml:space="preserve"> zero).</w:t>
      </w:r>
      <w:r w:rsidR="002B6617" w:rsidRPr="00124B71">
        <w:rPr>
          <w:rFonts w:cs="Times New Roman"/>
        </w:rPr>
        <w:t xml:space="preserve"> </w:t>
      </w:r>
      <w:r w:rsidR="00B62AAE" w:rsidRPr="00124B71">
        <w:rPr>
          <w:rFonts w:cs="Times New Roman"/>
        </w:rPr>
        <w:t>If prices crash 50% from the peak, Woodbury is worth $214 Million dollars</w:t>
      </w:r>
      <w:r w:rsidR="007C469A">
        <w:rPr>
          <w:rFonts w:cs="Times New Roman"/>
        </w:rPr>
        <w:t>–</w:t>
      </w:r>
      <w:r w:rsidR="00B62AAE" w:rsidRPr="00124B71">
        <w:rPr>
          <w:rFonts w:cs="Times New Roman"/>
        </w:rPr>
        <w:t>that is million with an “M.” A 50% reduction in house price means an 85% reduction in land value</w:t>
      </w:r>
      <w:r w:rsidR="001858B5">
        <w:rPr>
          <w:rFonts w:cs="Times New Roman"/>
        </w:rPr>
        <w:fldChar w:fldCharType="begin"/>
      </w:r>
      <w:r w:rsidR="00FF74AC">
        <w:instrText xml:space="preserve"> XE "</w:instrText>
      </w:r>
      <w:r w:rsidR="00FF74AC" w:rsidRPr="006D4891">
        <w:rPr>
          <w:rFonts w:cs="Times New Roman"/>
        </w:rPr>
        <w:instrText>land value</w:instrText>
      </w:r>
      <w:r w:rsidR="00FF74AC">
        <w:instrText xml:space="preserve">" </w:instrText>
      </w:r>
      <w:r w:rsidR="001858B5">
        <w:rPr>
          <w:rFonts w:cs="Times New Roman"/>
        </w:rPr>
        <w:fldChar w:fldCharType="end"/>
      </w:r>
      <w:r w:rsidR="00B62AAE" w:rsidRPr="00124B71">
        <w:rPr>
          <w:rFonts w:cs="Times New Roman"/>
        </w:rPr>
        <w:t xml:space="preserve">. </w:t>
      </w:r>
    </w:p>
    <w:p w14:paraId="03CE4ED8" w14:textId="77777777" w:rsidR="00B62AAE" w:rsidRPr="00124B71" w:rsidRDefault="00B62AAE" w:rsidP="00B62AAE">
      <w:pPr>
        <w:rPr>
          <w:rFonts w:cs="Times New Roman"/>
        </w:rPr>
      </w:pPr>
      <w:r w:rsidRPr="00124B71">
        <w:rPr>
          <w:rFonts w:cs="Times New Roman"/>
        </w:rPr>
        <w:t>Why is land value</w:t>
      </w:r>
      <w:r w:rsidR="001858B5">
        <w:rPr>
          <w:rFonts w:cs="Times New Roman"/>
        </w:rPr>
        <w:fldChar w:fldCharType="begin"/>
      </w:r>
      <w:r w:rsidR="00FF74AC">
        <w:instrText xml:space="preserve"> XE "</w:instrText>
      </w:r>
      <w:r w:rsidR="00FF74AC" w:rsidRPr="006D4891">
        <w:rPr>
          <w:rFonts w:cs="Times New Roman"/>
        </w:rPr>
        <w:instrText>land value</w:instrText>
      </w:r>
      <w:r w:rsidR="00FF74AC">
        <w:instrText xml:space="preserve">" </w:instrText>
      </w:r>
      <w:r w:rsidR="001858B5">
        <w:rPr>
          <w:rFonts w:cs="Times New Roman"/>
        </w:rPr>
        <w:fldChar w:fldCharType="end"/>
      </w:r>
      <w:r w:rsidRPr="00124B71">
        <w:rPr>
          <w:rFonts w:cs="Times New Roman"/>
        </w:rPr>
        <w:t xml:space="preserve"> so sensitive to home prices? As discussed previously, variable costs are only 28% of the home sales price, and land value is a residual calculation. Everything that is not a cost falls to land value; therefore, 72% of any increase or decrease in the price of a home flows directly to land value. In essence, this makes land an extremely leveraged commodity. If the value of a house changes by $10,000, the value of the lot it sits on changes $7,200. Multiply that times the 6.67 units per acre, and you can see how each $10,000 change in the value of a house changes the value of an acre of land in Woodbury</w:t>
      </w:r>
      <w:r w:rsidR="001858B5">
        <w:rPr>
          <w:rFonts w:cs="Times New Roman"/>
        </w:rPr>
        <w:fldChar w:fldCharType="begin"/>
      </w:r>
      <w:r w:rsidR="00FF74AC">
        <w:instrText xml:space="preserve"> XE "</w:instrText>
      </w:r>
      <w:r w:rsidR="00FF74AC" w:rsidRPr="00F40421">
        <w:rPr>
          <w:rFonts w:cs="Times New Roman"/>
        </w:rPr>
        <w:instrText>Woodbury</w:instrText>
      </w:r>
      <w:r w:rsidR="00FF74AC">
        <w:instrText xml:space="preserve">" </w:instrText>
      </w:r>
      <w:r w:rsidR="001858B5">
        <w:rPr>
          <w:rFonts w:cs="Times New Roman"/>
        </w:rPr>
        <w:fldChar w:fldCharType="end"/>
      </w:r>
      <w:r w:rsidRPr="00124B71">
        <w:rPr>
          <w:rFonts w:cs="Times New Roman"/>
        </w:rPr>
        <w:t xml:space="preserve"> by $48,024. Since Woodbury sits on 640 acres, the total value of Woodbury changes by $30,735,360 for each $10,000 change in the sales price of a home. </w:t>
      </w:r>
    </w:p>
    <w:p w14:paraId="1CB3633A" w14:textId="77777777" w:rsidR="00D06362" w:rsidRPr="00124B71" w:rsidRDefault="00D06362" w:rsidP="00D06362">
      <w:pPr>
        <w:rPr>
          <w:rFonts w:cs="Times New Roman"/>
        </w:rPr>
      </w:pPr>
    </w:p>
    <w:p w14:paraId="28F268BC" w14:textId="53B4696E" w:rsidR="00861B6D" w:rsidRPr="00EF0EDA" w:rsidRDefault="00DE0510" w:rsidP="00DE0510">
      <w:pPr>
        <w:pStyle w:val="Caption"/>
      </w:pPr>
      <w:bookmarkStart w:id="86" w:name="_Toc238867426"/>
      <w:r>
        <w:lastRenderedPageBreak/>
        <w:t xml:space="preserve">Equation </w:t>
      </w:r>
      <w:fldSimple w:instr=" SEQ Equation \* ARABIC ">
        <w:r w:rsidR="00493733">
          <w:rPr>
            <w:noProof/>
          </w:rPr>
          <w:t>4</w:t>
        </w:r>
      </w:fldSimple>
      <w:r w:rsidR="00317936">
        <w:t xml:space="preserve">: </w:t>
      </w:r>
      <w:r w:rsidR="00861B6D" w:rsidRPr="00EF0EDA">
        <w:t>Valuation of Woodbury</w:t>
      </w:r>
      <w:r w:rsidR="001858B5">
        <w:fldChar w:fldCharType="begin"/>
      </w:r>
      <w:r w:rsidR="00FF74AC">
        <w:instrText xml:space="preserve"> XE "</w:instrText>
      </w:r>
      <w:r w:rsidR="00FF74AC" w:rsidRPr="00F40421">
        <w:rPr>
          <w:rFonts w:cs="Times New Roman"/>
        </w:rPr>
        <w:instrText>Woodbury</w:instrText>
      </w:r>
      <w:r w:rsidR="00FF74AC">
        <w:instrText xml:space="preserve">" </w:instrText>
      </w:r>
      <w:r w:rsidR="001858B5">
        <w:fldChar w:fldCharType="end"/>
      </w:r>
      <w:r w:rsidR="00861B6D" w:rsidRPr="00EF0EDA">
        <w:t xml:space="preserve"> Community after 50% House Price Decline</w:t>
      </w:r>
      <w:bookmarkEnd w:id="86"/>
    </w:p>
    <w:tbl>
      <w:tblPr>
        <w:tblW w:w="6115" w:type="dxa"/>
        <w:tblInd w:w="93" w:type="dxa"/>
        <w:tblLook w:val="04A0" w:firstRow="1" w:lastRow="0" w:firstColumn="1" w:lastColumn="0" w:noHBand="0" w:noVBand="1"/>
      </w:tblPr>
      <w:tblGrid>
        <w:gridCol w:w="222"/>
        <w:gridCol w:w="1976"/>
        <w:gridCol w:w="740"/>
        <w:gridCol w:w="137"/>
        <w:gridCol w:w="2903"/>
        <w:gridCol w:w="137"/>
      </w:tblGrid>
      <w:tr w:rsidR="00AB68B0" w:rsidRPr="00FB5E2A" w14:paraId="771D50CE" w14:textId="77777777" w:rsidTr="00B62AAE">
        <w:trPr>
          <w:gridAfter w:val="1"/>
          <w:wAfter w:w="137" w:type="dxa"/>
          <w:trHeight w:hRule="exact" w:val="173"/>
        </w:trPr>
        <w:tc>
          <w:tcPr>
            <w:tcW w:w="2198" w:type="dxa"/>
            <w:gridSpan w:val="2"/>
            <w:tcBorders>
              <w:top w:val="nil"/>
              <w:left w:val="nil"/>
              <w:bottom w:val="nil"/>
              <w:right w:val="nil"/>
            </w:tcBorders>
            <w:noWrap/>
            <w:vAlign w:val="bottom"/>
            <w:hideMark/>
          </w:tcPr>
          <w:p w14:paraId="76A8C4C4"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Revenue</w:t>
            </w:r>
          </w:p>
        </w:tc>
        <w:tc>
          <w:tcPr>
            <w:tcW w:w="740" w:type="dxa"/>
            <w:tcBorders>
              <w:top w:val="nil"/>
              <w:left w:val="nil"/>
              <w:bottom w:val="nil"/>
              <w:right w:val="nil"/>
            </w:tcBorders>
            <w:noWrap/>
            <w:vAlign w:val="bottom"/>
            <w:hideMark/>
          </w:tcPr>
          <w:p w14:paraId="4391968D"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43498919" w14:textId="77777777" w:rsidR="00AB68B0" w:rsidRPr="00FB5E2A" w:rsidRDefault="00AB68B0" w:rsidP="00B62AAE">
            <w:pPr>
              <w:keepNext/>
              <w:keepLines/>
              <w:ind w:firstLine="0"/>
              <w:rPr>
                <w:rFonts w:eastAsia="Times New Roman" w:cs="Times New Roman"/>
                <w:color w:val="000000"/>
                <w:sz w:val="18"/>
                <w:szCs w:val="18"/>
                <w:lang w:bidi="ar-SA"/>
              </w:rPr>
            </w:pPr>
          </w:p>
        </w:tc>
      </w:tr>
      <w:tr w:rsidR="00AB68B0" w:rsidRPr="00FB5E2A" w14:paraId="69EB20AF"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3AB1EF0A"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572C2461"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361,464 </w:t>
            </w:r>
          </w:p>
        </w:tc>
        <w:tc>
          <w:tcPr>
            <w:tcW w:w="3780" w:type="dxa"/>
            <w:gridSpan w:val="3"/>
            <w:tcBorders>
              <w:top w:val="nil"/>
              <w:left w:val="nil"/>
              <w:bottom w:val="nil"/>
              <w:right w:val="nil"/>
            </w:tcBorders>
            <w:noWrap/>
            <w:vAlign w:val="bottom"/>
            <w:hideMark/>
          </w:tcPr>
          <w:p w14:paraId="537C7D98"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Sales Price</w:t>
            </w:r>
          </w:p>
        </w:tc>
      </w:tr>
      <w:tr w:rsidR="00AB68B0" w:rsidRPr="00FB5E2A" w14:paraId="0372A088"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7C51CC10"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690E70A1"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6A03C334"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2D647F41" w14:textId="77777777" w:rsidR="00AB68B0" w:rsidRPr="00FB5E2A" w:rsidRDefault="00AB68B0" w:rsidP="00B62AAE">
            <w:pPr>
              <w:keepNext/>
              <w:keepLines/>
              <w:ind w:firstLine="0"/>
              <w:rPr>
                <w:rFonts w:eastAsia="Times New Roman" w:cs="Times New Roman"/>
                <w:color w:val="000000"/>
                <w:sz w:val="18"/>
                <w:szCs w:val="18"/>
                <w:lang w:bidi="ar-SA"/>
              </w:rPr>
            </w:pPr>
          </w:p>
        </w:tc>
      </w:tr>
      <w:tr w:rsidR="00AB68B0" w:rsidRPr="00FB5E2A" w14:paraId="0D201DBB" w14:textId="77777777" w:rsidTr="00B62AAE">
        <w:trPr>
          <w:gridAfter w:val="1"/>
          <w:wAfter w:w="137" w:type="dxa"/>
          <w:trHeight w:hRule="exact" w:val="173"/>
        </w:trPr>
        <w:tc>
          <w:tcPr>
            <w:tcW w:w="2198" w:type="dxa"/>
            <w:gridSpan w:val="2"/>
            <w:tcBorders>
              <w:top w:val="nil"/>
              <w:left w:val="nil"/>
              <w:bottom w:val="nil"/>
              <w:right w:val="nil"/>
            </w:tcBorders>
            <w:noWrap/>
            <w:vAlign w:val="bottom"/>
            <w:hideMark/>
          </w:tcPr>
          <w:p w14:paraId="5F85328F"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Costs</w:t>
            </w:r>
          </w:p>
        </w:tc>
        <w:tc>
          <w:tcPr>
            <w:tcW w:w="740" w:type="dxa"/>
            <w:tcBorders>
              <w:top w:val="nil"/>
              <w:left w:val="nil"/>
              <w:bottom w:val="nil"/>
              <w:right w:val="nil"/>
            </w:tcBorders>
            <w:noWrap/>
            <w:vAlign w:val="bottom"/>
            <w:hideMark/>
          </w:tcPr>
          <w:p w14:paraId="13F177C9"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318D19B6" w14:textId="77777777" w:rsidR="00AB68B0" w:rsidRPr="00FB5E2A" w:rsidRDefault="00AB68B0" w:rsidP="00B62AAE">
            <w:pPr>
              <w:keepNext/>
              <w:keepLines/>
              <w:ind w:firstLine="0"/>
              <w:rPr>
                <w:rFonts w:eastAsia="Times New Roman" w:cs="Times New Roman"/>
                <w:color w:val="000000"/>
                <w:sz w:val="18"/>
                <w:szCs w:val="18"/>
                <w:lang w:bidi="ar-SA"/>
              </w:rPr>
            </w:pPr>
          </w:p>
        </w:tc>
      </w:tr>
      <w:tr w:rsidR="00AB68B0" w:rsidRPr="00FB5E2A" w14:paraId="32C1E2D3"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242154C5"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2DBDC822"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Fixed Costs</w:t>
            </w:r>
          </w:p>
        </w:tc>
        <w:tc>
          <w:tcPr>
            <w:tcW w:w="740" w:type="dxa"/>
            <w:tcBorders>
              <w:top w:val="nil"/>
              <w:left w:val="nil"/>
              <w:bottom w:val="nil"/>
              <w:right w:val="nil"/>
            </w:tcBorders>
            <w:noWrap/>
            <w:vAlign w:val="bottom"/>
            <w:hideMark/>
          </w:tcPr>
          <w:p w14:paraId="64B38D87"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57495154" w14:textId="77777777" w:rsidR="00AB68B0" w:rsidRPr="00FB5E2A" w:rsidRDefault="00AB68B0" w:rsidP="00B62AAE">
            <w:pPr>
              <w:keepNext/>
              <w:keepLines/>
              <w:ind w:firstLine="0"/>
              <w:rPr>
                <w:rFonts w:eastAsia="Times New Roman" w:cs="Times New Roman"/>
                <w:color w:val="000000"/>
                <w:sz w:val="18"/>
                <w:szCs w:val="18"/>
                <w:lang w:bidi="ar-SA"/>
              </w:rPr>
            </w:pPr>
          </w:p>
        </w:tc>
      </w:tr>
      <w:tr w:rsidR="00AB68B0" w:rsidRPr="00FB5E2A" w14:paraId="6D67CA6B" w14:textId="77777777" w:rsidTr="00B62AAE">
        <w:trPr>
          <w:trHeight w:hRule="exact" w:val="173"/>
        </w:trPr>
        <w:tc>
          <w:tcPr>
            <w:tcW w:w="222" w:type="dxa"/>
            <w:tcBorders>
              <w:top w:val="nil"/>
              <w:left w:val="nil"/>
              <w:bottom w:val="nil"/>
              <w:right w:val="nil"/>
            </w:tcBorders>
            <w:noWrap/>
            <w:vAlign w:val="bottom"/>
            <w:hideMark/>
          </w:tcPr>
          <w:p w14:paraId="5327944A"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3070BA58"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877" w:type="dxa"/>
            <w:gridSpan w:val="2"/>
            <w:tcBorders>
              <w:top w:val="nil"/>
              <w:left w:val="nil"/>
              <w:bottom w:val="nil"/>
              <w:right w:val="nil"/>
            </w:tcBorders>
            <w:noWrap/>
            <w:vAlign w:val="bottom"/>
            <w:hideMark/>
          </w:tcPr>
          <w:p w14:paraId="6FA9852D"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2,000 </w:t>
            </w:r>
          </w:p>
        </w:tc>
        <w:tc>
          <w:tcPr>
            <w:tcW w:w="3040" w:type="dxa"/>
            <w:gridSpan w:val="2"/>
            <w:tcBorders>
              <w:top w:val="nil"/>
              <w:left w:val="nil"/>
              <w:bottom w:val="nil"/>
              <w:right w:val="nil"/>
            </w:tcBorders>
            <w:noWrap/>
            <w:vAlign w:val="bottom"/>
            <w:hideMark/>
          </w:tcPr>
          <w:p w14:paraId="55670CED"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House Square Footage</w:t>
            </w:r>
          </w:p>
        </w:tc>
      </w:tr>
      <w:tr w:rsidR="00AB68B0" w:rsidRPr="00FB5E2A" w14:paraId="5BF0D79C" w14:textId="77777777" w:rsidTr="00B62AAE">
        <w:trPr>
          <w:trHeight w:hRule="exact" w:val="173"/>
        </w:trPr>
        <w:tc>
          <w:tcPr>
            <w:tcW w:w="222" w:type="dxa"/>
            <w:tcBorders>
              <w:top w:val="nil"/>
              <w:left w:val="nil"/>
              <w:bottom w:val="nil"/>
              <w:right w:val="nil"/>
            </w:tcBorders>
            <w:noWrap/>
            <w:vAlign w:val="bottom"/>
            <w:hideMark/>
          </w:tcPr>
          <w:p w14:paraId="41CD6168"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double" w:sz="6" w:space="0" w:color="auto"/>
              <w:right w:val="nil"/>
            </w:tcBorders>
            <w:noWrap/>
            <w:vAlign w:val="bottom"/>
            <w:hideMark/>
          </w:tcPr>
          <w:p w14:paraId="7F1EBA41"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w:t>
            </w:r>
          </w:p>
        </w:tc>
        <w:tc>
          <w:tcPr>
            <w:tcW w:w="877" w:type="dxa"/>
            <w:gridSpan w:val="2"/>
            <w:tcBorders>
              <w:top w:val="nil"/>
              <w:left w:val="nil"/>
              <w:bottom w:val="double" w:sz="6" w:space="0" w:color="auto"/>
              <w:right w:val="nil"/>
            </w:tcBorders>
            <w:noWrap/>
            <w:vAlign w:val="bottom"/>
            <w:hideMark/>
          </w:tcPr>
          <w:p w14:paraId="58DC49E5"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85 </w:t>
            </w:r>
          </w:p>
        </w:tc>
        <w:tc>
          <w:tcPr>
            <w:tcW w:w="3040" w:type="dxa"/>
            <w:gridSpan w:val="2"/>
            <w:tcBorders>
              <w:top w:val="nil"/>
              <w:left w:val="nil"/>
              <w:bottom w:val="double" w:sz="6" w:space="0" w:color="auto"/>
              <w:right w:val="nil"/>
            </w:tcBorders>
            <w:noWrap/>
            <w:vAlign w:val="bottom"/>
            <w:hideMark/>
          </w:tcPr>
          <w:p w14:paraId="160BC0D1"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Cost per Square Foot</w:t>
            </w:r>
          </w:p>
        </w:tc>
      </w:tr>
      <w:tr w:rsidR="00AB68B0" w:rsidRPr="00FB5E2A" w14:paraId="625E5774" w14:textId="77777777" w:rsidTr="00B62AAE">
        <w:trPr>
          <w:gridAfter w:val="1"/>
          <w:wAfter w:w="137" w:type="dxa"/>
          <w:trHeight w:hRule="exact" w:val="288"/>
        </w:trPr>
        <w:tc>
          <w:tcPr>
            <w:tcW w:w="222" w:type="dxa"/>
            <w:tcBorders>
              <w:top w:val="nil"/>
              <w:left w:val="nil"/>
              <w:bottom w:val="nil"/>
              <w:right w:val="nil"/>
            </w:tcBorders>
            <w:noWrap/>
            <w:vAlign w:val="bottom"/>
            <w:hideMark/>
          </w:tcPr>
          <w:p w14:paraId="418C52AA"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3F4C192D"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170,000 </w:t>
            </w:r>
          </w:p>
        </w:tc>
        <w:tc>
          <w:tcPr>
            <w:tcW w:w="3780" w:type="dxa"/>
            <w:gridSpan w:val="3"/>
            <w:tcBorders>
              <w:top w:val="nil"/>
              <w:left w:val="nil"/>
              <w:bottom w:val="nil"/>
              <w:right w:val="nil"/>
            </w:tcBorders>
            <w:noWrap/>
            <w:vAlign w:val="bottom"/>
            <w:hideMark/>
          </w:tcPr>
          <w:p w14:paraId="656EAFE2"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Cost of Physical Structure</w:t>
            </w:r>
          </w:p>
        </w:tc>
      </w:tr>
      <w:tr w:rsidR="00AB68B0" w:rsidRPr="00FB5E2A" w14:paraId="2102F314"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584DDBA0"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double" w:sz="6" w:space="0" w:color="auto"/>
              <w:right w:val="nil"/>
            </w:tcBorders>
            <w:noWrap/>
            <w:vAlign w:val="bottom"/>
            <w:hideMark/>
          </w:tcPr>
          <w:p w14:paraId="3DEF64D6"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40,000 </w:t>
            </w:r>
          </w:p>
        </w:tc>
        <w:tc>
          <w:tcPr>
            <w:tcW w:w="3780" w:type="dxa"/>
            <w:gridSpan w:val="3"/>
            <w:tcBorders>
              <w:top w:val="nil"/>
              <w:left w:val="nil"/>
              <w:bottom w:val="double" w:sz="6" w:space="0" w:color="auto"/>
              <w:right w:val="nil"/>
            </w:tcBorders>
            <w:noWrap/>
            <w:vAlign w:val="bottom"/>
            <w:hideMark/>
          </w:tcPr>
          <w:p w14:paraId="23FC4C2C"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Average Per-Lot Cost of Infrastructure</w:t>
            </w:r>
          </w:p>
        </w:tc>
      </w:tr>
      <w:tr w:rsidR="00AB68B0" w:rsidRPr="00FB5E2A" w14:paraId="7BF6263A" w14:textId="77777777" w:rsidTr="00B62AAE">
        <w:trPr>
          <w:gridAfter w:val="1"/>
          <w:wAfter w:w="137" w:type="dxa"/>
          <w:trHeight w:hRule="exact" w:val="288"/>
        </w:trPr>
        <w:tc>
          <w:tcPr>
            <w:tcW w:w="222" w:type="dxa"/>
            <w:tcBorders>
              <w:top w:val="nil"/>
              <w:left w:val="nil"/>
              <w:bottom w:val="nil"/>
              <w:right w:val="nil"/>
            </w:tcBorders>
            <w:noWrap/>
            <w:vAlign w:val="bottom"/>
            <w:hideMark/>
          </w:tcPr>
          <w:p w14:paraId="0933F77F"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29AA8394"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210,000 </w:t>
            </w:r>
          </w:p>
        </w:tc>
        <w:tc>
          <w:tcPr>
            <w:tcW w:w="3780" w:type="dxa"/>
            <w:gridSpan w:val="3"/>
            <w:tcBorders>
              <w:top w:val="nil"/>
              <w:left w:val="nil"/>
              <w:bottom w:val="nil"/>
              <w:right w:val="nil"/>
            </w:tcBorders>
            <w:noWrap/>
            <w:vAlign w:val="bottom"/>
            <w:hideMark/>
          </w:tcPr>
          <w:p w14:paraId="0D868056"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Total Average Fixed Construction Costs</w:t>
            </w:r>
          </w:p>
        </w:tc>
      </w:tr>
      <w:tr w:rsidR="00AB68B0" w:rsidRPr="00FB5E2A" w14:paraId="0FEA8730"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2D2567BF"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0F09DACA"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081B270A"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14B57231" w14:textId="77777777" w:rsidR="00AB68B0" w:rsidRPr="00FB5E2A" w:rsidRDefault="00AB68B0" w:rsidP="00B62AAE">
            <w:pPr>
              <w:keepNext/>
              <w:keepLines/>
              <w:ind w:firstLine="0"/>
              <w:rPr>
                <w:rFonts w:eastAsia="Times New Roman" w:cs="Times New Roman"/>
                <w:color w:val="000000"/>
                <w:sz w:val="18"/>
                <w:szCs w:val="18"/>
                <w:lang w:bidi="ar-SA"/>
              </w:rPr>
            </w:pPr>
          </w:p>
        </w:tc>
      </w:tr>
      <w:tr w:rsidR="00AB68B0" w:rsidRPr="00FB5E2A" w14:paraId="1C452260"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3350F78F"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4435E87D"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Variable Costs</w:t>
            </w:r>
          </w:p>
        </w:tc>
        <w:tc>
          <w:tcPr>
            <w:tcW w:w="740" w:type="dxa"/>
            <w:tcBorders>
              <w:top w:val="nil"/>
              <w:left w:val="nil"/>
              <w:bottom w:val="nil"/>
              <w:right w:val="nil"/>
            </w:tcBorders>
            <w:noWrap/>
            <w:vAlign w:val="bottom"/>
            <w:hideMark/>
          </w:tcPr>
          <w:p w14:paraId="6324DE72"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1876AFDB" w14:textId="77777777" w:rsidR="00AB68B0" w:rsidRPr="00FB5E2A" w:rsidRDefault="00AB68B0" w:rsidP="00B62AAE">
            <w:pPr>
              <w:keepNext/>
              <w:keepLines/>
              <w:ind w:firstLine="0"/>
              <w:rPr>
                <w:rFonts w:eastAsia="Times New Roman" w:cs="Times New Roman"/>
                <w:color w:val="000000"/>
                <w:sz w:val="18"/>
                <w:szCs w:val="18"/>
                <w:lang w:bidi="ar-SA"/>
              </w:rPr>
            </w:pPr>
          </w:p>
        </w:tc>
      </w:tr>
      <w:tr w:rsidR="00AB68B0" w:rsidRPr="00FB5E2A" w14:paraId="6D37E26C"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23449119"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187F25DB"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43,376 </w:t>
            </w:r>
          </w:p>
        </w:tc>
        <w:tc>
          <w:tcPr>
            <w:tcW w:w="740" w:type="dxa"/>
            <w:tcBorders>
              <w:top w:val="nil"/>
              <w:left w:val="nil"/>
              <w:bottom w:val="nil"/>
              <w:right w:val="nil"/>
            </w:tcBorders>
            <w:noWrap/>
            <w:vAlign w:val="bottom"/>
            <w:hideMark/>
          </w:tcPr>
          <w:p w14:paraId="60DBF7C2" w14:textId="77777777" w:rsidR="00AB68B0" w:rsidRPr="00FB5E2A" w:rsidRDefault="00AB68B0"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12%</w:t>
            </w:r>
          </w:p>
        </w:tc>
        <w:tc>
          <w:tcPr>
            <w:tcW w:w="3040" w:type="dxa"/>
            <w:gridSpan w:val="2"/>
            <w:tcBorders>
              <w:top w:val="nil"/>
              <w:left w:val="nil"/>
              <w:bottom w:val="nil"/>
              <w:right w:val="nil"/>
            </w:tcBorders>
            <w:noWrap/>
            <w:vAlign w:val="bottom"/>
            <w:hideMark/>
          </w:tcPr>
          <w:p w14:paraId="71BCA5F7"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Profit Margin</w:t>
            </w:r>
          </w:p>
        </w:tc>
      </w:tr>
      <w:tr w:rsidR="00AB68B0" w:rsidRPr="00FB5E2A" w14:paraId="641CFC94" w14:textId="77777777" w:rsidTr="00A61076">
        <w:trPr>
          <w:gridAfter w:val="1"/>
          <w:wAfter w:w="137" w:type="dxa"/>
          <w:trHeight w:hRule="exact" w:val="202"/>
        </w:trPr>
        <w:tc>
          <w:tcPr>
            <w:tcW w:w="222" w:type="dxa"/>
            <w:tcBorders>
              <w:top w:val="nil"/>
              <w:left w:val="nil"/>
              <w:bottom w:val="nil"/>
              <w:right w:val="nil"/>
            </w:tcBorders>
            <w:noWrap/>
            <w:vAlign w:val="bottom"/>
            <w:hideMark/>
          </w:tcPr>
          <w:p w14:paraId="13F64671"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69F9249B"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18,073 </w:t>
            </w:r>
          </w:p>
        </w:tc>
        <w:tc>
          <w:tcPr>
            <w:tcW w:w="740" w:type="dxa"/>
            <w:tcBorders>
              <w:top w:val="nil"/>
              <w:left w:val="nil"/>
              <w:bottom w:val="nil"/>
              <w:right w:val="nil"/>
            </w:tcBorders>
            <w:noWrap/>
            <w:vAlign w:val="bottom"/>
            <w:hideMark/>
          </w:tcPr>
          <w:p w14:paraId="15FE3A0F" w14:textId="77777777" w:rsidR="00AB68B0" w:rsidRPr="00FB5E2A" w:rsidRDefault="00AB68B0"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5%</w:t>
            </w:r>
          </w:p>
        </w:tc>
        <w:tc>
          <w:tcPr>
            <w:tcW w:w="3040" w:type="dxa"/>
            <w:gridSpan w:val="2"/>
            <w:tcBorders>
              <w:top w:val="nil"/>
              <w:left w:val="nil"/>
              <w:bottom w:val="nil"/>
              <w:right w:val="nil"/>
            </w:tcBorders>
            <w:noWrap/>
            <w:vAlign w:val="bottom"/>
            <w:hideMark/>
          </w:tcPr>
          <w:p w14:paraId="55060C91"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Marketing</w:t>
            </w:r>
          </w:p>
        </w:tc>
      </w:tr>
      <w:tr w:rsidR="00AB68B0" w:rsidRPr="00FB5E2A" w14:paraId="52CFA325"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471294CE"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2EE370EA"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10,844 </w:t>
            </w:r>
          </w:p>
        </w:tc>
        <w:tc>
          <w:tcPr>
            <w:tcW w:w="740" w:type="dxa"/>
            <w:tcBorders>
              <w:top w:val="nil"/>
              <w:left w:val="nil"/>
              <w:bottom w:val="nil"/>
              <w:right w:val="nil"/>
            </w:tcBorders>
            <w:noWrap/>
            <w:vAlign w:val="bottom"/>
            <w:hideMark/>
          </w:tcPr>
          <w:p w14:paraId="666F7ED2" w14:textId="77777777" w:rsidR="00AB68B0" w:rsidRPr="00FB5E2A" w:rsidRDefault="00AB68B0"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3%</w:t>
            </w:r>
          </w:p>
        </w:tc>
        <w:tc>
          <w:tcPr>
            <w:tcW w:w="3040" w:type="dxa"/>
            <w:gridSpan w:val="2"/>
            <w:tcBorders>
              <w:top w:val="nil"/>
              <w:left w:val="nil"/>
              <w:bottom w:val="nil"/>
              <w:right w:val="nil"/>
            </w:tcBorders>
            <w:noWrap/>
            <w:vAlign w:val="bottom"/>
            <w:hideMark/>
          </w:tcPr>
          <w:p w14:paraId="5E6138DF"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Overhead</w:t>
            </w:r>
          </w:p>
        </w:tc>
      </w:tr>
      <w:tr w:rsidR="00AB68B0" w:rsidRPr="00FB5E2A" w14:paraId="39ECAF43"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02B29E02"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196464DB"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18,073 </w:t>
            </w:r>
          </w:p>
        </w:tc>
        <w:tc>
          <w:tcPr>
            <w:tcW w:w="740" w:type="dxa"/>
            <w:tcBorders>
              <w:top w:val="nil"/>
              <w:left w:val="nil"/>
              <w:bottom w:val="nil"/>
              <w:right w:val="nil"/>
            </w:tcBorders>
            <w:noWrap/>
            <w:vAlign w:val="bottom"/>
            <w:hideMark/>
          </w:tcPr>
          <w:p w14:paraId="3B7DECE5" w14:textId="77777777" w:rsidR="00AB68B0" w:rsidRPr="00FB5E2A" w:rsidRDefault="00AB68B0"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5%</w:t>
            </w:r>
          </w:p>
        </w:tc>
        <w:tc>
          <w:tcPr>
            <w:tcW w:w="3040" w:type="dxa"/>
            <w:gridSpan w:val="2"/>
            <w:tcBorders>
              <w:top w:val="nil"/>
              <w:left w:val="nil"/>
              <w:bottom w:val="nil"/>
              <w:right w:val="nil"/>
            </w:tcBorders>
            <w:noWrap/>
            <w:vAlign w:val="bottom"/>
            <w:hideMark/>
          </w:tcPr>
          <w:p w14:paraId="68F5D4AC"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Finance</w:t>
            </w:r>
          </w:p>
        </w:tc>
      </w:tr>
      <w:tr w:rsidR="00AB68B0" w:rsidRPr="00FB5E2A" w14:paraId="53D9322F"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480C82F1"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double" w:sz="6" w:space="0" w:color="auto"/>
              <w:right w:val="nil"/>
            </w:tcBorders>
            <w:noWrap/>
            <w:vAlign w:val="bottom"/>
            <w:hideMark/>
          </w:tcPr>
          <w:p w14:paraId="23083D15"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10,844 </w:t>
            </w:r>
          </w:p>
        </w:tc>
        <w:tc>
          <w:tcPr>
            <w:tcW w:w="740" w:type="dxa"/>
            <w:tcBorders>
              <w:top w:val="nil"/>
              <w:left w:val="nil"/>
              <w:bottom w:val="double" w:sz="6" w:space="0" w:color="auto"/>
              <w:right w:val="nil"/>
            </w:tcBorders>
            <w:noWrap/>
            <w:vAlign w:val="bottom"/>
            <w:hideMark/>
          </w:tcPr>
          <w:p w14:paraId="0E1C06D4" w14:textId="77777777" w:rsidR="00AB68B0" w:rsidRPr="00FB5E2A" w:rsidRDefault="00AB68B0"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3%</w:t>
            </w:r>
          </w:p>
        </w:tc>
        <w:tc>
          <w:tcPr>
            <w:tcW w:w="3040" w:type="dxa"/>
            <w:gridSpan w:val="2"/>
            <w:tcBorders>
              <w:top w:val="nil"/>
              <w:left w:val="nil"/>
              <w:bottom w:val="double" w:sz="6" w:space="0" w:color="auto"/>
              <w:right w:val="nil"/>
            </w:tcBorders>
            <w:noWrap/>
            <w:vAlign w:val="bottom"/>
            <w:hideMark/>
          </w:tcPr>
          <w:p w14:paraId="643EAF55"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Other</w:t>
            </w:r>
          </w:p>
        </w:tc>
      </w:tr>
      <w:tr w:rsidR="00AB68B0" w:rsidRPr="00FB5E2A" w14:paraId="003E3CC8" w14:textId="77777777" w:rsidTr="00B62AAE">
        <w:trPr>
          <w:gridAfter w:val="1"/>
          <w:wAfter w:w="137" w:type="dxa"/>
          <w:trHeight w:hRule="exact" w:val="288"/>
        </w:trPr>
        <w:tc>
          <w:tcPr>
            <w:tcW w:w="222" w:type="dxa"/>
            <w:tcBorders>
              <w:top w:val="nil"/>
              <w:left w:val="nil"/>
              <w:bottom w:val="nil"/>
              <w:right w:val="nil"/>
            </w:tcBorders>
            <w:noWrap/>
            <w:vAlign w:val="bottom"/>
            <w:hideMark/>
          </w:tcPr>
          <w:p w14:paraId="4E671AE7"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647FE3FC"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101,210 </w:t>
            </w:r>
          </w:p>
        </w:tc>
        <w:tc>
          <w:tcPr>
            <w:tcW w:w="740" w:type="dxa"/>
            <w:tcBorders>
              <w:top w:val="nil"/>
              <w:left w:val="nil"/>
              <w:bottom w:val="nil"/>
              <w:right w:val="nil"/>
            </w:tcBorders>
            <w:noWrap/>
            <w:vAlign w:val="bottom"/>
            <w:hideMark/>
          </w:tcPr>
          <w:p w14:paraId="195A331C" w14:textId="77777777" w:rsidR="00AB68B0" w:rsidRPr="00FB5E2A" w:rsidRDefault="00AB68B0" w:rsidP="00B62AAE">
            <w:pPr>
              <w:keepNext/>
              <w:keepLines/>
              <w:ind w:firstLine="0"/>
              <w:jc w:val="right"/>
              <w:rPr>
                <w:rFonts w:eastAsia="Times New Roman" w:cs="Times New Roman"/>
                <w:color w:val="000000"/>
                <w:sz w:val="18"/>
                <w:szCs w:val="18"/>
                <w:lang w:bidi="ar-SA"/>
              </w:rPr>
            </w:pPr>
            <w:r w:rsidRPr="00FB5E2A">
              <w:rPr>
                <w:rFonts w:eastAsia="Times New Roman" w:cs="Times New Roman"/>
                <w:color w:val="000000"/>
                <w:sz w:val="18"/>
                <w:szCs w:val="18"/>
                <w:lang w:bidi="ar-SA"/>
              </w:rPr>
              <w:t>28%</w:t>
            </w:r>
          </w:p>
        </w:tc>
        <w:tc>
          <w:tcPr>
            <w:tcW w:w="3040" w:type="dxa"/>
            <w:gridSpan w:val="2"/>
            <w:tcBorders>
              <w:top w:val="nil"/>
              <w:left w:val="nil"/>
              <w:bottom w:val="nil"/>
              <w:right w:val="nil"/>
            </w:tcBorders>
            <w:noWrap/>
            <w:vAlign w:val="bottom"/>
            <w:hideMark/>
          </w:tcPr>
          <w:p w14:paraId="3467769D"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Total Variable Costs</w:t>
            </w:r>
          </w:p>
        </w:tc>
      </w:tr>
      <w:tr w:rsidR="00AB68B0" w:rsidRPr="00FB5E2A" w14:paraId="44C25A1E"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6EAE6CAA"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348BB5D0"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6ECABE9B"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72FF3C89" w14:textId="77777777" w:rsidR="00AB68B0" w:rsidRPr="00FB5E2A" w:rsidRDefault="00AB68B0" w:rsidP="00B62AAE">
            <w:pPr>
              <w:keepNext/>
              <w:keepLines/>
              <w:ind w:firstLine="0"/>
              <w:rPr>
                <w:rFonts w:eastAsia="Times New Roman" w:cs="Times New Roman"/>
                <w:color w:val="000000"/>
                <w:sz w:val="18"/>
                <w:szCs w:val="18"/>
                <w:lang w:bidi="ar-SA"/>
              </w:rPr>
            </w:pPr>
          </w:p>
        </w:tc>
      </w:tr>
      <w:tr w:rsidR="00AB68B0" w:rsidRPr="00FB5E2A" w14:paraId="69355871"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6F07FE99"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20BF1B49"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311,210 </w:t>
            </w:r>
          </w:p>
        </w:tc>
        <w:tc>
          <w:tcPr>
            <w:tcW w:w="3780" w:type="dxa"/>
            <w:gridSpan w:val="3"/>
            <w:tcBorders>
              <w:top w:val="nil"/>
              <w:left w:val="nil"/>
              <w:bottom w:val="nil"/>
              <w:right w:val="nil"/>
            </w:tcBorders>
            <w:noWrap/>
            <w:vAlign w:val="bottom"/>
            <w:hideMark/>
          </w:tcPr>
          <w:p w14:paraId="5E8681FB"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Total Costs (Fixed plus Variable)</w:t>
            </w:r>
          </w:p>
        </w:tc>
      </w:tr>
      <w:tr w:rsidR="00AB68B0" w:rsidRPr="00FB5E2A" w14:paraId="3F14920A"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3E8ED439"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08705B23"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740" w:type="dxa"/>
            <w:tcBorders>
              <w:top w:val="nil"/>
              <w:left w:val="nil"/>
              <w:bottom w:val="nil"/>
              <w:right w:val="nil"/>
            </w:tcBorders>
            <w:noWrap/>
            <w:vAlign w:val="bottom"/>
            <w:hideMark/>
          </w:tcPr>
          <w:p w14:paraId="59650BAE"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147DF45F" w14:textId="77777777" w:rsidR="00AB68B0" w:rsidRPr="00FB5E2A" w:rsidRDefault="00AB68B0" w:rsidP="00B62AAE">
            <w:pPr>
              <w:keepNext/>
              <w:keepLines/>
              <w:ind w:firstLine="0"/>
              <w:rPr>
                <w:rFonts w:eastAsia="Times New Roman" w:cs="Times New Roman"/>
                <w:color w:val="000000"/>
                <w:sz w:val="18"/>
                <w:szCs w:val="18"/>
                <w:lang w:bidi="ar-SA"/>
              </w:rPr>
            </w:pPr>
          </w:p>
        </w:tc>
      </w:tr>
      <w:tr w:rsidR="00AB68B0" w:rsidRPr="00FB5E2A" w14:paraId="71760BA7" w14:textId="77777777" w:rsidTr="00B62AAE">
        <w:trPr>
          <w:gridAfter w:val="1"/>
          <w:wAfter w:w="137" w:type="dxa"/>
          <w:trHeight w:hRule="exact" w:val="173"/>
        </w:trPr>
        <w:tc>
          <w:tcPr>
            <w:tcW w:w="2198" w:type="dxa"/>
            <w:gridSpan w:val="2"/>
            <w:tcBorders>
              <w:top w:val="nil"/>
              <w:left w:val="nil"/>
              <w:bottom w:val="nil"/>
              <w:right w:val="nil"/>
            </w:tcBorders>
            <w:noWrap/>
            <w:vAlign w:val="bottom"/>
            <w:hideMark/>
          </w:tcPr>
          <w:p w14:paraId="133365F3"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Residual Lot Value</w:t>
            </w:r>
          </w:p>
        </w:tc>
        <w:tc>
          <w:tcPr>
            <w:tcW w:w="740" w:type="dxa"/>
            <w:tcBorders>
              <w:top w:val="nil"/>
              <w:left w:val="nil"/>
              <w:bottom w:val="nil"/>
              <w:right w:val="nil"/>
            </w:tcBorders>
            <w:noWrap/>
            <w:vAlign w:val="bottom"/>
            <w:hideMark/>
          </w:tcPr>
          <w:p w14:paraId="35DAC65D"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3040" w:type="dxa"/>
            <w:gridSpan w:val="2"/>
            <w:tcBorders>
              <w:top w:val="nil"/>
              <w:left w:val="nil"/>
              <w:bottom w:val="nil"/>
              <w:right w:val="nil"/>
            </w:tcBorders>
            <w:noWrap/>
            <w:vAlign w:val="bottom"/>
            <w:hideMark/>
          </w:tcPr>
          <w:p w14:paraId="24F8A246" w14:textId="77777777" w:rsidR="00AB68B0" w:rsidRPr="00FB5E2A" w:rsidRDefault="00AB68B0" w:rsidP="00B62AAE">
            <w:pPr>
              <w:keepNext/>
              <w:keepLines/>
              <w:ind w:firstLine="0"/>
              <w:rPr>
                <w:rFonts w:eastAsia="Times New Roman" w:cs="Times New Roman"/>
                <w:color w:val="000000"/>
                <w:sz w:val="18"/>
                <w:szCs w:val="18"/>
                <w:lang w:bidi="ar-SA"/>
              </w:rPr>
            </w:pPr>
          </w:p>
        </w:tc>
      </w:tr>
      <w:tr w:rsidR="00AB68B0" w:rsidRPr="00FB5E2A" w14:paraId="135EF7CC"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58A9F6A9"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0B6887F1"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50,254 </w:t>
            </w:r>
          </w:p>
        </w:tc>
        <w:tc>
          <w:tcPr>
            <w:tcW w:w="3780" w:type="dxa"/>
            <w:gridSpan w:val="3"/>
            <w:tcBorders>
              <w:top w:val="nil"/>
              <w:left w:val="nil"/>
              <w:bottom w:val="nil"/>
              <w:right w:val="nil"/>
            </w:tcBorders>
            <w:noWrap/>
            <w:vAlign w:val="bottom"/>
            <w:hideMark/>
          </w:tcPr>
          <w:p w14:paraId="4433D429"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(Revenue minus Costs)</w:t>
            </w:r>
          </w:p>
        </w:tc>
      </w:tr>
      <w:tr w:rsidR="00AB68B0" w:rsidRPr="00FB5E2A" w14:paraId="38C45A50" w14:textId="77777777" w:rsidTr="00B62AAE">
        <w:trPr>
          <w:gridAfter w:val="1"/>
          <w:wAfter w:w="137" w:type="dxa"/>
          <w:trHeight w:hRule="exact" w:val="173"/>
        </w:trPr>
        <w:tc>
          <w:tcPr>
            <w:tcW w:w="222" w:type="dxa"/>
            <w:tcBorders>
              <w:top w:val="nil"/>
              <w:left w:val="nil"/>
              <w:bottom w:val="nil"/>
              <w:right w:val="nil"/>
            </w:tcBorders>
            <w:noWrap/>
            <w:vAlign w:val="bottom"/>
            <w:hideMark/>
          </w:tcPr>
          <w:p w14:paraId="3D550ADA"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double" w:sz="6" w:space="0" w:color="auto"/>
              <w:right w:val="nil"/>
            </w:tcBorders>
            <w:noWrap/>
            <w:vAlign w:val="bottom"/>
            <w:hideMark/>
          </w:tcPr>
          <w:p w14:paraId="028E1A73"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4,270 </w:t>
            </w:r>
          </w:p>
        </w:tc>
        <w:tc>
          <w:tcPr>
            <w:tcW w:w="3780" w:type="dxa"/>
            <w:gridSpan w:val="3"/>
            <w:tcBorders>
              <w:top w:val="nil"/>
              <w:left w:val="nil"/>
              <w:bottom w:val="double" w:sz="6" w:space="0" w:color="auto"/>
              <w:right w:val="nil"/>
            </w:tcBorders>
            <w:noWrap/>
            <w:vAlign w:val="bottom"/>
            <w:hideMark/>
          </w:tcPr>
          <w:p w14:paraId="20996BAC"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Number of Lots</w:t>
            </w:r>
          </w:p>
        </w:tc>
      </w:tr>
      <w:tr w:rsidR="00AB68B0" w:rsidRPr="00FB5E2A" w14:paraId="0DFF3C6E" w14:textId="77777777" w:rsidTr="00B62AAE">
        <w:trPr>
          <w:gridAfter w:val="1"/>
          <w:wAfter w:w="137" w:type="dxa"/>
          <w:trHeight w:hRule="exact" w:val="288"/>
        </w:trPr>
        <w:tc>
          <w:tcPr>
            <w:tcW w:w="222" w:type="dxa"/>
            <w:tcBorders>
              <w:top w:val="nil"/>
              <w:left w:val="nil"/>
              <w:bottom w:val="nil"/>
              <w:right w:val="nil"/>
            </w:tcBorders>
            <w:noWrap/>
            <w:vAlign w:val="bottom"/>
            <w:hideMark/>
          </w:tcPr>
          <w:p w14:paraId="5FC97BB6" w14:textId="77777777" w:rsidR="00AB68B0" w:rsidRPr="00FB5E2A" w:rsidRDefault="00AB68B0" w:rsidP="00B62AAE">
            <w:pPr>
              <w:keepNext/>
              <w:keepLines/>
              <w:ind w:firstLine="0"/>
              <w:rPr>
                <w:rFonts w:eastAsia="Times New Roman" w:cs="Times New Roman"/>
                <w:color w:val="000000"/>
                <w:sz w:val="18"/>
                <w:szCs w:val="18"/>
                <w:lang w:bidi="ar-SA"/>
              </w:rPr>
            </w:pPr>
          </w:p>
        </w:tc>
        <w:tc>
          <w:tcPr>
            <w:tcW w:w="1976" w:type="dxa"/>
            <w:tcBorders>
              <w:top w:val="nil"/>
              <w:left w:val="nil"/>
              <w:bottom w:val="nil"/>
              <w:right w:val="nil"/>
            </w:tcBorders>
            <w:noWrap/>
            <w:vAlign w:val="bottom"/>
            <w:hideMark/>
          </w:tcPr>
          <w:p w14:paraId="4F9BEE5A"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 xml:space="preserve"> $      214,585,689 </w:t>
            </w:r>
          </w:p>
        </w:tc>
        <w:tc>
          <w:tcPr>
            <w:tcW w:w="3780" w:type="dxa"/>
            <w:gridSpan w:val="3"/>
            <w:tcBorders>
              <w:top w:val="nil"/>
              <w:left w:val="nil"/>
              <w:bottom w:val="nil"/>
              <w:right w:val="nil"/>
            </w:tcBorders>
            <w:noWrap/>
            <w:vAlign w:val="bottom"/>
            <w:hideMark/>
          </w:tcPr>
          <w:p w14:paraId="2C13C87D" w14:textId="77777777" w:rsidR="00AB68B0" w:rsidRPr="00FB5E2A" w:rsidRDefault="00AB68B0" w:rsidP="00B62AAE">
            <w:pPr>
              <w:keepNext/>
              <w:keepLines/>
              <w:ind w:firstLine="0"/>
              <w:rPr>
                <w:rFonts w:eastAsia="Times New Roman" w:cs="Times New Roman"/>
                <w:color w:val="000000"/>
                <w:sz w:val="18"/>
                <w:szCs w:val="18"/>
                <w:lang w:bidi="ar-SA"/>
              </w:rPr>
            </w:pPr>
            <w:r w:rsidRPr="00FB5E2A">
              <w:rPr>
                <w:rFonts w:eastAsia="Times New Roman" w:cs="Times New Roman"/>
                <w:color w:val="000000"/>
                <w:sz w:val="18"/>
                <w:szCs w:val="18"/>
                <w:lang w:bidi="ar-SA"/>
              </w:rPr>
              <w:t>Finished Lot Land Value</w:t>
            </w:r>
          </w:p>
        </w:tc>
      </w:tr>
    </w:tbl>
    <w:p w14:paraId="13BDF359" w14:textId="77777777" w:rsidR="00D06362" w:rsidRPr="00EF0EDA" w:rsidRDefault="002541D8" w:rsidP="00652DA3">
      <w:pPr>
        <w:pStyle w:val="Heading3"/>
      </w:pPr>
      <w:bookmarkStart w:id="87" w:name="_Toc238867318"/>
      <w:r w:rsidRPr="00EF0EDA">
        <w:t>Landowners</w:t>
      </w:r>
      <w:r w:rsidR="00D06362" w:rsidRPr="00EF0EDA">
        <w:t xml:space="preserve"> </w:t>
      </w:r>
      <w:r w:rsidRPr="00EF0EDA">
        <w:t>C</w:t>
      </w:r>
      <w:r w:rsidR="00A02F7A" w:rsidRPr="00EF0EDA">
        <w:t>apitulate</w:t>
      </w:r>
      <w:bookmarkEnd w:id="87"/>
      <w:r w:rsidR="00D06362" w:rsidRPr="00EF0EDA">
        <w:t xml:space="preserve"> </w:t>
      </w:r>
    </w:p>
    <w:p w14:paraId="792D5753" w14:textId="77777777" w:rsidR="00D06362" w:rsidRPr="00124B71" w:rsidRDefault="004963BA" w:rsidP="00652DA3">
      <w:pPr>
        <w:rPr>
          <w:rFonts w:cs="Times New Roman"/>
        </w:rPr>
      </w:pPr>
      <w:r w:rsidRPr="00124B71">
        <w:rPr>
          <w:rFonts w:cs="Times New Roman"/>
        </w:rPr>
        <w:t>Sellers and land developers</w:t>
      </w:r>
      <w:r w:rsidR="00AB68B0" w:rsidRPr="00124B71">
        <w:rPr>
          <w:rFonts w:cs="Times New Roman"/>
        </w:rPr>
        <w:t xml:space="preserve"> </w:t>
      </w:r>
      <w:r w:rsidR="00D06362" w:rsidRPr="00124B71">
        <w:rPr>
          <w:rFonts w:cs="Times New Roman"/>
        </w:rPr>
        <w:t>do</w:t>
      </w:r>
      <w:r w:rsidR="00AB68B0" w:rsidRPr="00124B71">
        <w:rPr>
          <w:rFonts w:cs="Times New Roman"/>
        </w:rPr>
        <w:t xml:space="preserve"> not</w:t>
      </w:r>
      <w:r w:rsidR="00D06362" w:rsidRPr="00124B71">
        <w:rPr>
          <w:rFonts w:cs="Times New Roman"/>
        </w:rPr>
        <w:t xml:space="preserve"> control the market</w:t>
      </w:r>
      <w:r w:rsidR="00897148" w:rsidRPr="00124B71">
        <w:rPr>
          <w:rFonts w:cs="Times New Roman"/>
        </w:rPr>
        <w:t>;</w:t>
      </w:r>
      <w:r w:rsidR="00D06362" w:rsidRPr="00124B71">
        <w:rPr>
          <w:rFonts w:cs="Times New Roman"/>
        </w:rPr>
        <w:t xml:space="preserve"> they only control the “ask.” Potential buyers determine the “bid.” If bids </w:t>
      </w:r>
      <w:r w:rsidR="002F1ED3" w:rsidRPr="00124B71">
        <w:rPr>
          <w:rFonts w:cs="Times New Roman"/>
        </w:rPr>
        <w:t>do not</w:t>
      </w:r>
      <w:r w:rsidR="00D06362" w:rsidRPr="00124B71">
        <w:rPr>
          <w:rFonts w:cs="Times New Roman"/>
        </w:rPr>
        <w:t xml:space="preserve"> reach the ask, there is no sale (which is </w:t>
      </w:r>
      <w:r w:rsidRPr="00124B71">
        <w:rPr>
          <w:rFonts w:cs="Times New Roman"/>
        </w:rPr>
        <w:t>why volumes decline dramatically after the peak</w:t>
      </w:r>
      <w:r w:rsidR="00A40CA5" w:rsidRPr="00124B71">
        <w:rPr>
          <w:rFonts w:cs="Times New Roman"/>
        </w:rPr>
        <w:t>).</w:t>
      </w:r>
      <w:r w:rsidR="00D06362" w:rsidRPr="00124B71">
        <w:rPr>
          <w:rFonts w:cs="Times New Roman"/>
        </w:rPr>
        <w:t xml:space="preserve"> </w:t>
      </w:r>
      <w:r w:rsidR="0089193C" w:rsidRPr="00124B71">
        <w:rPr>
          <w:rFonts w:cs="Times New Roman"/>
        </w:rPr>
        <w:t>If this were not true, sellers and developers could</w:t>
      </w:r>
      <w:r w:rsidR="00D06362" w:rsidRPr="00124B71">
        <w:rPr>
          <w:rFonts w:cs="Times New Roman"/>
        </w:rPr>
        <w:t xml:space="preserve"> just decide all houses must sell for $10,000,000. In 300 years when those prices may be reasonable,</w:t>
      </w:r>
      <w:r w:rsidR="0089193C" w:rsidRPr="00124B71">
        <w:rPr>
          <w:rFonts w:cs="Times New Roman"/>
        </w:rPr>
        <w:t xml:space="preserve"> they</w:t>
      </w:r>
      <w:r w:rsidR="00D06362" w:rsidRPr="00124B71">
        <w:rPr>
          <w:rFonts w:cs="Times New Roman"/>
        </w:rPr>
        <w:t xml:space="preserve"> will start selling homes again. </w:t>
      </w:r>
      <w:r w:rsidR="0089193C" w:rsidRPr="00124B71">
        <w:rPr>
          <w:rFonts w:cs="Times New Roman"/>
        </w:rPr>
        <w:t>Sellers cannot</w:t>
      </w:r>
      <w:r w:rsidR="005B581F" w:rsidRPr="00124B71">
        <w:rPr>
          <w:rFonts w:cs="Times New Roman"/>
        </w:rPr>
        <w:t xml:space="preserve"> hold to peak prices forever.</w:t>
      </w:r>
      <w:r w:rsidR="002541D8" w:rsidRPr="00124B71">
        <w:rPr>
          <w:rFonts w:cs="Times New Roman"/>
        </w:rPr>
        <w:t xml:space="preserve"> Holding to the peak prices of yesterday is a fool’s game many homeowners play. If these properties are heavily leveraged, the debt service consumes their cash reserves, and the property ends up in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2541D8" w:rsidRPr="00124B71">
        <w:rPr>
          <w:rFonts w:cs="Times New Roman"/>
        </w:rPr>
        <w:t>. It is no different for owners and developers of raw land and lots. What is true for the Irvine Company is true for all owners of raw land. The Irvine Company</w:t>
      </w:r>
      <w:r w:rsidR="001858B5">
        <w:rPr>
          <w:rFonts w:cs="Times New Roman"/>
        </w:rPr>
        <w:fldChar w:fldCharType="begin"/>
      </w:r>
      <w:r w:rsidR="00FF74AC">
        <w:instrText xml:space="preserve"> XE "</w:instrText>
      </w:r>
      <w:r w:rsidR="00FF74AC" w:rsidRPr="00BE37E9">
        <w:rPr>
          <w:rFonts w:cs="Times New Roman"/>
        </w:rPr>
        <w:instrText>The Irvine Company</w:instrText>
      </w:r>
      <w:r w:rsidR="00FF74AC">
        <w:instrText xml:space="preserve">" </w:instrText>
      </w:r>
      <w:r w:rsidR="001858B5">
        <w:rPr>
          <w:rFonts w:cs="Times New Roman"/>
        </w:rPr>
        <w:fldChar w:fldCharType="end"/>
      </w:r>
      <w:r w:rsidR="002541D8" w:rsidRPr="00124B71">
        <w:rPr>
          <w:rFonts w:cs="Times New Roman"/>
        </w:rPr>
        <w:t xml:space="preserve"> example provides a glimpse into the economics of land development everywhere. </w:t>
      </w:r>
    </w:p>
    <w:p w14:paraId="5B7BFB9E" w14:textId="77777777" w:rsidR="00D06362" w:rsidRPr="00EF0EDA" w:rsidRDefault="000261EF" w:rsidP="00C409D3">
      <w:pPr>
        <w:pStyle w:val="Heading2"/>
      </w:pPr>
      <w:bookmarkStart w:id="88" w:name="_Toc238867319"/>
      <w:r w:rsidRPr="00EF0EDA">
        <w:t>Summary</w:t>
      </w:r>
      <w:bookmarkEnd w:id="88"/>
    </w:p>
    <w:p w14:paraId="3E70CEF7" w14:textId="77777777" w:rsidR="00D06362" w:rsidRPr="00124B71" w:rsidRDefault="00D06362" w:rsidP="00D06362">
      <w:pPr>
        <w:rPr>
          <w:rFonts w:cs="Times New Roman"/>
        </w:rPr>
      </w:pPr>
      <w:r w:rsidRPr="00124B71">
        <w:rPr>
          <w:rFonts w:cs="Times New Roman"/>
        </w:rPr>
        <w:t xml:space="preserve">The people who were actively investing in land development during the bubble made more money than </w:t>
      </w:r>
      <w:r w:rsidR="005B581F" w:rsidRPr="00124B71">
        <w:rPr>
          <w:rFonts w:cs="Times New Roman"/>
        </w:rPr>
        <w:t xml:space="preserve">most </w:t>
      </w:r>
      <w:r w:rsidR="00897148" w:rsidRPr="00124B71">
        <w:rPr>
          <w:rFonts w:cs="Times New Roman"/>
        </w:rPr>
        <w:t xml:space="preserve">of us </w:t>
      </w:r>
      <w:r w:rsidRPr="00124B71">
        <w:rPr>
          <w:rFonts w:cs="Times New Roman"/>
        </w:rPr>
        <w:t>can imagine. The extreme sensitivity of these investments to changes in home sales price resulted in properties obtaining sales multiples of 10 times or greater in just a few years</w:t>
      </w:r>
      <w:r w:rsidR="0089193C" w:rsidRPr="00124B71">
        <w:rPr>
          <w:rFonts w:cs="Times New Roman"/>
        </w:rPr>
        <w:t>.</w:t>
      </w:r>
      <w:r w:rsidR="00635AA0" w:rsidRPr="00124B71">
        <w:rPr>
          <w:rFonts w:cs="Times New Roman"/>
        </w:rPr>
        <w:t xml:space="preserve"> </w:t>
      </w:r>
      <w:r w:rsidR="00495E59" w:rsidRPr="00124B71">
        <w:rPr>
          <w:rStyle w:val="EndnoteReference"/>
          <w:rFonts w:cs="Times New Roman"/>
        </w:rPr>
        <w:endnoteReference w:id="63"/>
      </w:r>
      <w:r w:rsidR="005B581F" w:rsidRPr="00124B71">
        <w:rPr>
          <w:rFonts w:cs="Times New Roman"/>
        </w:rPr>
        <w:t xml:space="preserve"> Many homeowners who either accidentally or by design timed the market well made huge windfalls during the bubble; however, the real action was in</w:t>
      </w:r>
      <w:r w:rsidRPr="00124B71">
        <w:rPr>
          <w:rFonts w:cs="Times New Roman"/>
        </w:rPr>
        <w:t xml:space="preserve"> land development.</w:t>
      </w:r>
    </w:p>
    <w:p w14:paraId="08C0A928" w14:textId="77777777" w:rsidR="00D06362" w:rsidRPr="00124B71" w:rsidRDefault="00D06362" w:rsidP="008560E2">
      <w:pPr>
        <w:rPr>
          <w:rFonts w:cs="Times New Roman"/>
        </w:rPr>
        <w:sectPr w:rsidR="00D06362" w:rsidRPr="00124B71" w:rsidSect="009729DE">
          <w:headerReference w:type="even" r:id="rId42"/>
          <w:headerReference w:type="default" r:id="rId43"/>
          <w:endnotePr>
            <w:numFmt w:val="decimal"/>
          </w:endnotePr>
          <w:type w:val="oddPage"/>
          <w:pgSz w:w="8640" w:h="12960" w:code="173"/>
          <w:pgMar w:top="1008" w:right="936" w:bottom="1080" w:left="936" w:header="504" w:footer="504" w:gutter="0"/>
          <w:cols w:space="720"/>
          <w:titlePg/>
          <w:docGrid w:linePitch="360"/>
        </w:sectPr>
      </w:pPr>
    </w:p>
    <w:p w14:paraId="62262BAF" w14:textId="77777777" w:rsidR="00C409D3" w:rsidRPr="00EF0EDA" w:rsidRDefault="00C409D3" w:rsidP="00C409D3">
      <w:pPr>
        <w:pStyle w:val="Heading1"/>
      </w:pPr>
      <w:bookmarkStart w:id="89" w:name="_Toc238867320"/>
      <w:r w:rsidRPr="00EF0EDA">
        <w:lastRenderedPageBreak/>
        <w:t>The Credit Bubble</w:t>
      </w:r>
      <w:bookmarkEnd w:id="89"/>
    </w:p>
    <w:p w14:paraId="6D66D5B4" w14:textId="77777777" w:rsidR="00FD5717" w:rsidRPr="00124B71" w:rsidRDefault="00FD5717" w:rsidP="008560E2">
      <w:pPr>
        <w:rPr>
          <w:rFonts w:cs="Times New Roman"/>
        </w:rPr>
      </w:pPr>
      <w:r w:rsidRPr="00124B71">
        <w:rPr>
          <w:rFonts w:cs="Times New Roman"/>
        </w:rPr>
        <w:t>The Great Housing Bubble was not really about housing</w:t>
      </w:r>
      <w:r w:rsidR="00CD4A0B" w:rsidRPr="00124B71">
        <w:rPr>
          <w:rFonts w:cs="Times New Roman"/>
        </w:rPr>
        <w:t>;</w:t>
      </w:r>
      <w:r w:rsidRPr="00124B71">
        <w:rPr>
          <w:rFonts w:cs="Times New Roman"/>
        </w:rPr>
        <w:t xml:space="preserve"> it was about credit. Most financial bubbles are the result of an expansion of credit, and the Great Housing Bubble was no exception. Housing just happened to be the asset class into which this capital flowed. It could have been stocks</w:t>
      </w:r>
      <w:r w:rsidR="001858B5">
        <w:rPr>
          <w:rFonts w:cs="Times New Roman"/>
        </w:rPr>
        <w:fldChar w:fldCharType="begin"/>
      </w:r>
      <w:r w:rsidR="00FF74AC">
        <w:instrText xml:space="preserve"> XE "</w:instrText>
      </w:r>
      <w:r w:rsidR="00FF74AC" w:rsidRPr="00D753F0">
        <w:rPr>
          <w:rFonts w:cs="Times New Roman"/>
        </w:rPr>
        <w:instrText>stocks</w:instrText>
      </w:r>
      <w:r w:rsidR="00FF74AC">
        <w:instrText xml:space="preserve">" </w:instrText>
      </w:r>
      <w:r w:rsidR="001858B5">
        <w:rPr>
          <w:rFonts w:cs="Times New Roman"/>
        </w:rPr>
        <w:fldChar w:fldCharType="end"/>
      </w:r>
      <w:r w:rsidRPr="00124B71">
        <w:rPr>
          <w:rFonts w:cs="Times New Roman"/>
        </w:rPr>
        <w:t xml:space="preserve"> or commodities</w:t>
      </w:r>
      <w:r w:rsidR="001858B5">
        <w:rPr>
          <w:rFonts w:cs="Times New Roman"/>
        </w:rPr>
        <w:fldChar w:fldCharType="begin"/>
      </w:r>
      <w:r w:rsidR="00FF74AC">
        <w:instrText xml:space="preserve"> XE "</w:instrText>
      </w:r>
      <w:r w:rsidR="00FF74AC" w:rsidRPr="00E862A6">
        <w:rPr>
          <w:rFonts w:cs="Times New Roman"/>
        </w:rPr>
        <w:instrText>commodities</w:instrText>
      </w:r>
      <w:r w:rsidR="00FF74AC">
        <w:instrText xml:space="preserve">" </w:instrText>
      </w:r>
      <w:r w:rsidR="001858B5">
        <w:rPr>
          <w:rFonts w:cs="Times New Roman"/>
        </w:rPr>
        <w:fldChar w:fldCharType="end"/>
      </w:r>
      <w:r w:rsidRPr="00124B71">
        <w:rPr>
          <w:rFonts w:cs="Times New Roman"/>
        </w:rPr>
        <w:t xml:space="preserve"> just as easily, and if the government gets too aggressive in its actions to prevent a collapse in hous</w:t>
      </w:r>
      <w:r w:rsidR="00FE66E5" w:rsidRPr="00124B71">
        <w:rPr>
          <w:rFonts w:cs="Times New Roman"/>
        </w:rPr>
        <w:t>ing</w:t>
      </w:r>
      <w:r w:rsidRPr="00124B71">
        <w:rPr>
          <w:rFonts w:cs="Times New Roman"/>
        </w:rPr>
        <w:t xml:space="preserve"> prices, the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Pr="00124B71">
        <w:rPr>
          <w:rFonts w:cs="Times New Roman"/>
        </w:rPr>
        <w:t xml:space="preserve"> intended to prop up real estate prices will likely flow into some other asset class</w:t>
      </w:r>
      <w:r w:rsidR="00FE66E5" w:rsidRPr="00124B71">
        <w:rPr>
          <w:rFonts w:cs="Times New Roman"/>
        </w:rPr>
        <w:t xml:space="preserve"> creating yet another asset price bubble</w:t>
      </w:r>
      <w:r w:rsidRPr="00124B71">
        <w:rPr>
          <w:rFonts w:cs="Times New Roman"/>
        </w:rPr>
        <w:t>.</w:t>
      </w:r>
    </w:p>
    <w:p w14:paraId="1D214145" w14:textId="77777777" w:rsidR="001767A9" w:rsidRPr="00124B71" w:rsidRDefault="00AD7430" w:rsidP="00AD7430">
      <w:pPr>
        <w:rPr>
          <w:rFonts w:cs="Times New Roman"/>
        </w:rPr>
      </w:pPr>
      <w:r w:rsidRPr="00124B71">
        <w:rPr>
          <w:rFonts w:cs="Times New Roman"/>
        </w:rPr>
        <w:t xml:space="preserve">The root causes of the Great Housing </w:t>
      </w:r>
      <w:r w:rsidR="00CD4A0B" w:rsidRPr="00124B71">
        <w:rPr>
          <w:rFonts w:cs="Times New Roman"/>
        </w:rPr>
        <w:t>B</w:t>
      </w:r>
      <w:r w:rsidRPr="00124B71">
        <w:rPr>
          <w:rFonts w:cs="Times New Roman"/>
        </w:rPr>
        <w:t>ubble can be traced back to four</w:t>
      </w:r>
      <w:r w:rsidR="001767A9" w:rsidRPr="00124B71">
        <w:rPr>
          <w:rFonts w:cs="Times New Roman"/>
        </w:rPr>
        <w:t xml:space="preserve"> interrelated factors:</w:t>
      </w:r>
    </w:p>
    <w:p w14:paraId="1FD1B6AE" w14:textId="77777777" w:rsidR="001767A9" w:rsidRPr="00EF0EDA" w:rsidRDefault="001767A9" w:rsidP="00FE66E5">
      <w:pPr>
        <w:pStyle w:val="ListParagraph"/>
        <w:numPr>
          <w:ilvl w:val="0"/>
          <w:numId w:val="29"/>
        </w:numPr>
      </w:pPr>
      <w:r w:rsidRPr="00EF0EDA">
        <w:t>Separation of origination, servicing, and portfolio holding in the lending industry.</w:t>
      </w:r>
    </w:p>
    <w:p w14:paraId="4B59F70B" w14:textId="77777777" w:rsidR="001767A9" w:rsidRPr="00EF0EDA" w:rsidRDefault="001767A9" w:rsidP="00FE66E5">
      <w:pPr>
        <w:pStyle w:val="ListParagraph"/>
        <w:numPr>
          <w:ilvl w:val="0"/>
          <w:numId w:val="29"/>
        </w:numPr>
      </w:pPr>
      <w:r w:rsidRPr="00EF0EDA">
        <w:t>Innovation in structured finance</w:t>
      </w:r>
      <w:r w:rsidR="001858B5">
        <w:fldChar w:fldCharType="begin"/>
      </w:r>
      <w:r w:rsidR="003247C5">
        <w:instrText xml:space="preserve"> XE "</w:instrText>
      </w:r>
      <w:r w:rsidR="003247C5" w:rsidRPr="009F3643">
        <w:rPr>
          <w:rFonts w:cs="Times New Roman"/>
        </w:rPr>
        <w:instrText>structured finance</w:instrText>
      </w:r>
      <w:r w:rsidR="003247C5">
        <w:instrText xml:space="preserve">" </w:instrText>
      </w:r>
      <w:r w:rsidR="001858B5">
        <w:fldChar w:fldCharType="end"/>
      </w:r>
      <w:r w:rsidRPr="00EF0EDA">
        <w:t xml:space="preserve"> and the expansion of the secondary mortgage market</w:t>
      </w:r>
      <w:r w:rsidR="001858B5">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fldChar w:fldCharType="end"/>
      </w:r>
      <w:r w:rsidRPr="00EF0EDA">
        <w:t>.</w:t>
      </w:r>
    </w:p>
    <w:p w14:paraId="556745EC" w14:textId="77777777" w:rsidR="001767A9" w:rsidRPr="00EF0EDA" w:rsidRDefault="001767A9" w:rsidP="00FE66E5">
      <w:pPr>
        <w:pStyle w:val="ListParagraph"/>
        <w:numPr>
          <w:ilvl w:val="0"/>
          <w:numId w:val="29"/>
        </w:numPr>
      </w:pPr>
      <w:r w:rsidRPr="00EF0EDA">
        <w:t>The lowering of lending standards and the growth of subprime lending.</w:t>
      </w:r>
    </w:p>
    <w:p w14:paraId="75F26245" w14:textId="77777777" w:rsidR="001767A9" w:rsidRPr="00EF0EDA" w:rsidRDefault="001767A9" w:rsidP="00A61076">
      <w:pPr>
        <w:pStyle w:val="ListParagraph"/>
        <w:numPr>
          <w:ilvl w:val="0"/>
          <w:numId w:val="29"/>
        </w:numPr>
        <w:spacing w:after="60"/>
      </w:pPr>
      <w:r w:rsidRPr="00EF0EDA">
        <w:t>Lower FED</w:t>
      </w:r>
      <w:r w:rsidR="001858B5">
        <w:fldChar w:fldCharType="begin"/>
      </w:r>
      <w:r w:rsidR="005E6B29">
        <w:instrText xml:space="preserve"> XE "</w:instrText>
      </w:r>
      <w:r w:rsidR="005E6B29" w:rsidRPr="00A95B0B">
        <w:rPr>
          <w:rFonts w:cs="Times New Roman"/>
        </w:rPr>
        <w:instrText>FED</w:instrText>
      </w:r>
      <w:r w:rsidR="005E6B29">
        <w:instrText xml:space="preserve">" </w:instrText>
      </w:r>
      <w:r w:rsidR="001858B5">
        <w:fldChar w:fldCharType="end"/>
      </w:r>
      <w:r w:rsidRPr="00EF0EDA">
        <w:t xml:space="preserve"> funds rates as an indirect and minor force</w:t>
      </w:r>
      <w:r w:rsidR="00656E6C">
        <w:t>.</w:t>
      </w:r>
      <w:r w:rsidR="00635AA0">
        <w:t xml:space="preserve"> </w:t>
      </w:r>
      <w:r w:rsidR="00833F4F">
        <w:rPr>
          <w:rStyle w:val="EndnoteReference"/>
        </w:rPr>
        <w:endnoteReference w:id="64"/>
      </w:r>
    </w:p>
    <w:p w14:paraId="6EB0F4B7" w14:textId="77777777" w:rsidR="00A72173" w:rsidRPr="00124B71" w:rsidRDefault="005E2AD8" w:rsidP="000031C7">
      <w:pPr>
        <w:suppressAutoHyphens/>
        <w:rPr>
          <w:rFonts w:cs="Times New Roman"/>
        </w:rPr>
      </w:pPr>
      <w:r w:rsidRPr="00124B71">
        <w:rPr>
          <w:rFonts w:cs="Times New Roman"/>
        </w:rPr>
        <w:t>The Federal Home Loan Mortgage Corporation</w:t>
      </w:r>
      <w:r w:rsidR="001858B5">
        <w:rPr>
          <w:rFonts w:cs="Times New Roman"/>
        </w:rPr>
        <w:fldChar w:fldCharType="begin"/>
      </w:r>
      <w:r w:rsidR="00FF74AC">
        <w:instrText xml:space="preserve"> XE "</w:instrText>
      </w:r>
      <w:r w:rsidR="00FF74AC" w:rsidRPr="00F37F64">
        <w:rPr>
          <w:rFonts w:cs="Times New Roman"/>
        </w:rPr>
        <w:instrText>Federal Home Loan Mortgage Corporation</w:instrText>
      </w:r>
      <w:r w:rsidR="00FF74AC">
        <w:instrText>" \t "</w:instrText>
      </w:r>
      <w:r w:rsidR="00FF74AC" w:rsidRPr="00D53B9F">
        <w:rPr>
          <w:rFonts w:asciiTheme="minorHAnsi" w:hAnsiTheme="minorHAnsi"/>
          <w:i/>
        </w:rPr>
        <w:instrText>See</w:instrText>
      </w:r>
      <w:r w:rsidR="00FF74AC" w:rsidRPr="00D53B9F">
        <w:rPr>
          <w:rFonts w:asciiTheme="minorHAnsi" w:hAnsiTheme="minorHAnsi"/>
        </w:rPr>
        <w:instrText xml:space="preserve"> Freddie Mac</w:instrText>
      </w:r>
      <w:r w:rsidR="00FF74AC">
        <w:instrText xml:space="preserve">" </w:instrText>
      </w:r>
      <w:r w:rsidR="001858B5">
        <w:rPr>
          <w:rFonts w:cs="Times New Roman"/>
        </w:rPr>
        <w:fldChar w:fldCharType="end"/>
      </w:r>
      <w:r w:rsidRPr="00124B71">
        <w:rPr>
          <w:rFonts w:cs="Times New Roman"/>
        </w:rPr>
        <w:t>, also known as Freddie Mac</w:t>
      </w:r>
      <w:r w:rsidR="001858B5">
        <w:rPr>
          <w:rFonts w:cs="Times New Roman"/>
        </w:rPr>
        <w:fldChar w:fldCharType="begin"/>
      </w:r>
      <w:r w:rsidR="00FF74AC">
        <w:instrText xml:space="preserve"> XE "</w:instrText>
      </w:r>
      <w:r w:rsidR="00FF74AC" w:rsidRPr="00302EDC">
        <w:rPr>
          <w:rFonts w:cs="Times New Roman"/>
        </w:rPr>
        <w:instrText>Freddie Mac</w:instrText>
      </w:r>
      <w:r w:rsidR="00FF74AC">
        <w:instrText xml:space="preserve">" </w:instrText>
      </w:r>
      <w:r w:rsidR="001858B5">
        <w:rPr>
          <w:rFonts w:cs="Times New Roman"/>
        </w:rPr>
        <w:fldChar w:fldCharType="end"/>
      </w:r>
      <w:r w:rsidRPr="00124B71">
        <w:rPr>
          <w:rFonts w:cs="Times New Roman"/>
        </w:rPr>
        <w:t>, was created by Congress in 1970 to make possible a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Pr="00124B71">
        <w:rPr>
          <w:rFonts w:cs="Times New Roman"/>
        </w:rPr>
        <w:t xml:space="preserve"> to provide greater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Pr="00124B71">
        <w:rPr>
          <w:rFonts w:cs="Times New Roman"/>
        </w:rPr>
        <w:t xml:space="preserve"> to banks and other lending institutions to facilitate home mortgage lending. The Federal National Mortgage Corporation</w:t>
      </w:r>
      <w:r w:rsidR="001858B5">
        <w:rPr>
          <w:rFonts w:cs="Times New Roman"/>
        </w:rPr>
        <w:fldChar w:fldCharType="begin"/>
      </w:r>
      <w:r w:rsidR="00FF74AC">
        <w:instrText xml:space="preserve"> XE "</w:instrText>
      </w:r>
      <w:r w:rsidR="00FF74AC" w:rsidRPr="006D5D01">
        <w:rPr>
          <w:rFonts w:cs="Times New Roman"/>
        </w:rPr>
        <w:instrText>Federal National Mortgage Corporation</w:instrText>
      </w:r>
      <w:r w:rsidR="00FF74AC">
        <w:instrText>" \t "</w:instrText>
      </w:r>
      <w:r w:rsidR="00FF74AC" w:rsidRPr="00C40186">
        <w:rPr>
          <w:rFonts w:asciiTheme="minorHAnsi" w:hAnsiTheme="minorHAnsi"/>
          <w:i/>
        </w:rPr>
        <w:instrText>See</w:instrText>
      </w:r>
      <w:r w:rsidR="00FF74AC" w:rsidRPr="00C40186">
        <w:rPr>
          <w:rFonts w:asciiTheme="minorHAnsi" w:hAnsiTheme="minorHAnsi"/>
        </w:rPr>
        <w:instrText xml:space="preserve"> Fannie Mae</w:instrText>
      </w:r>
      <w:r w:rsidR="00FF74AC">
        <w:instrText xml:space="preserve">" </w:instrText>
      </w:r>
      <w:r w:rsidR="001858B5">
        <w:rPr>
          <w:rFonts w:cs="Times New Roman"/>
        </w:rPr>
        <w:fldChar w:fldCharType="end"/>
      </w:r>
      <w:r w:rsidRPr="00124B71">
        <w:rPr>
          <w:rFonts w:cs="Times New Roman"/>
        </w:rPr>
        <w:t>, also known as Fannie Mae</w:t>
      </w:r>
      <w:r w:rsidR="001858B5">
        <w:rPr>
          <w:rFonts w:cs="Times New Roman"/>
        </w:rPr>
        <w:fldChar w:fldCharType="begin"/>
      </w:r>
      <w:r w:rsidR="00FF74AC">
        <w:instrText xml:space="preserve"> XE "</w:instrText>
      </w:r>
      <w:r w:rsidR="00FF74AC" w:rsidRPr="00354E50">
        <w:rPr>
          <w:rFonts w:cs="Times New Roman"/>
        </w:rPr>
        <w:instrText>Fannie Mae</w:instrText>
      </w:r>
      <w:r w:rsidR="00FF74AC">
        <w:instrText xml:space="preserve">" </w:instrText>
      </w:r>
      <w:r w:rsidR="001858B5">
        <w:rPr>
          <w:rFonts w:cs="Times New Roman"/>
        </w:rPr>
        <w:fldChar w:fldCharType="end"/>
      </w:r>
      <w:r w:rsidRPr="00124B71">
        <w:rPr>
          <w:rFonts w:cs="Times New Roman"/>
        </w:rPr>
        <w:t>, was originally created by the Federal Housing Authority</w:t>
      </w:r>
      <w:r w:rsidR="001858B5">
        <w:rPr>
          <w:rFonts w:cs="Times New Roman"/>
        </w:rPr>
        <w:fldChar w:fldCharType="begin"/>
      </w:r>
      <w:r w:rsidR="00FF74AC">
        <w:instrText xml:space="preserve"> XE "</w:instrText>
      </w:r>
      <w:r w:rsidR="00FF74AC" w:rsidRPr="006E01BE">
        <w:rPr>
          <w:rFonts w:cs="Times New Roman"/>
        </w:rPr>
        <w:instrText>Federal Housing Authority</w:instrText>
      </w:r>
      <w:r w:rsidR="00FF74AC">
        <w:instrText>" \t "</w:instrText>
      </w:r>
      <w:r w:rsidR="00FF74AC" w:rsidRPr="00AC7D12">
        <w:rPr>
          <w:rFonts w:asciiTheme="minorHAnsi" w:hAnsiTheme="minorHAnsi"/>
          <w:i/>
        </w:rPr>
        <w:instrText>See</w:instrText>
      </w:r>
      <w:r w:rsidR="00FF74AC" w:rsidRPr="00AC7D12">
        <w:rPr>
          <w:rFonts w:asciiTheme="minorHAnsi" w:hAnsiTheme="minorHAnsi"/>
        </w:rPr>
        <w:instrText xml:space="preserve"> FHA</w:instrText>
      </w:r>
      <w:r w:rsidR="00FF74AC">
        <w:instrText xml:space="preserve">" </w:instrText>
      </w:r>
      <w:r w:rsidR="001858B5">
        <w:rPr>
          <w:rFonts w:cs="Times New Roman"/>
        </w:rPr>
        <w:fldChar w:fldCharType="end"/>
      </w:r>
      <w:r w:rsidRPr="00124B71">
        <w:rPr>
          <w:rFonts w:cs="Times New Roman"/>
        </w:rPr>
        <w:t xml:space="preserve"> (FHA</w:t>
      </w:r>
      <w:r w:rsidR="001858B5">
        <w:rPr>
          <w:rFonts w:cs="Times New Roman"/>
        </w:rPr>
        <w:fldChar w:fldCharType="begin"/>
      </w:r>
      <w:r w:rsidR="00FF74AC">
        <w:instrText xml:space="preserve"> XE "</w:instrText>
      </w:r>
      <w:r w:rsidR="00FF74AC" w:rsidRPr="00EA0044">
        <w:rPr>
          <w:rFonts w:cs="Times New Roman"/>
        </w:rPr>
        <w:instrText>FHA</w:instrText>
      </w:r>
      <w:r w:rsidR="00FF74AC">
        <w:instrText xml:space="preserve">" </w:instrText>
      </w:r>
      <w:r w:rsidR="001858B5">
        <w:rPr>
          <w:rFonts w:cs="Times New Roman"/>
        </w:rPr>
        <w:fldChar w:fldCharType="end"/>
      </w:r>
      <w:r w:rsidRPr="00124B71">
        <w:rPr>
          <w:rFonts w:cs="Times New Roman"/>
        </w:rPr>
        <w:t xml:space="preserve">) in 1938. In the beginning, Fannie Mae would securitize FHA loans, and it was the first to create a secondary mortgage market. In 1968, the company was privatized to remove its debt from the </w:t>
      </w:r>
      <w:r w:rsidR="006A436C" w:rsidRPr="00124B71">
        <w:rPr>
          <w:rFonts w:cs="Times New Roman"/>
        </w:rPr>
        <w:t>balance sheet of the Federal Government</w:t>
      </w:r>
      <w:r w:rsidR="001858B5">
        <w:rPr>
          <w:rFonts w:cs="Times New Roman"/>
        </w:rPr>
        <w:fldChar w:fldCharType="begin"/>
      </w:r>
      <w:r w:rsidR="00FA2AEF">
        <w:instrText xml:space="preserve"> XE "</w:instrText>
      </w:r>
      <w:r w:rsidR="00FA2AEF" w:rsidRPr="00DC7302">
        <w:rPr>
          <w:rFonts w:cs="Times New Roman"/>
        </w:rPr>
        <w:instrText>Federal Government</w:instrText>
      </w:r>
      <w:r w:rsidR="00FA2AEF">
        <w:instrText xml:space="preserve">" </w:instrText>
      </w:r>
      <w:r w:rsidR="001858B5">
        <w:rPr>
          <w:rFonts w:cs="Times New Roman"/>
        </w:rPr>
        <w:fldChar w:fldCharType="end"/>
      </w:r>
      <w:r w:rsidR="006A436C" w:rsidRPr="00124B71">
        <w:rPr>
          <w:rFonts w:cs="Times New Roman"/>
        </w:rPr>
        <w:t>. Fannie Mae’s role in purchasing FHA loans was replaced by the Government National Mortgage Association</w:t>
      </w:r>
      <w:r w:rsidR="001858B5">
        <w:rPr>
          <w:rFonts w:cs="Times New Roman"/>
        </w:rPr>
        <w:fldChar w:fldCharType="begin"/>
      </w:r>
      <w:r w:rsidR="00FF74AC">
        <w:instrText xml:space="preserve"> XE "</w:instrText>
      </w:r>
      <w:r w:rsidR="00FF74AC" w:rsidRPr="007C689A">
        <w:rPr>
          <w:rFonts w:cs="Times New Roman"/>
        </w:rPr>
        <w:instrText>Government National Mortgage Association</w:instrText>
      </w:r>
      <w:r w:rsidR="00FF74AC">
        <w:instrText>" \t "</w:instrText>
      </w:r>
      <w:r w:rsidR="00FF74AC" w:rsidRPr="00BB7D41">
        <w:rPr>
          <w:rFonts w:asciiTheme="minorHAnsi" w:hAnsiTheme="minorHAnsi"/>
          <w:i/>
        </w:rPr>
        <w:instrText>See</w:instrText>
      </w:r>
      <w:r w:rsidR="00FF74AC" w:rsidRPr="00BB7D41">
        <w:rPr>
          <w:rFonts w:asciiTheme="minorHAnsi" w:hAnsiTheme="minorHAnsi"/>
        </w:rPr>
        <w:instrText xml:space="preserve"> Ginnie Mae</w:instrText>
      </w:r>
      <w:r w:rsidR="00FF74AC">
        <w:instrText xml:space="preserve">" </w:instrText>
      </w:r>
      <w:r w:rsidR="001858B5">
        <w:rPr>
          <w:rFonts w:cs="Times New Roman"/>
        </w:rPr>
        <w:fldChar w:fldCharType="end"/>
      </w:r>
      <w:r w:rsidR="006A436C" w:rsidRPr="00124B71">
        <w:rPr>
          <w:rFonts w:cs="Times New Roman"/>
        </w:rPr>
        <w:t>, also known as Ginnie Mae</w:t>
      </w:r>
      <w:r w:rsidR="001858B5">
        <w:rPr>
          <w:rFonts w:cs="Times New Roman"/>
        </w:rPr>
        <w:fldChar w:fldCharType="begin"/>
      </w:r>
      <w:r w:rsidR="00FF74AC">
        <w:instrText xml:space="preserve"> XE "</w:instrText>
      </w:r>
      <w:r w:rsidR="00FF74AC" w:rsidRPr="00F4772A">
        <w:rPr>
          <w:rFonts w:cs="Times New Roman"/>
        </w:rPr>
        <w:instrText>Ginnie Mae</w:instrText>
      </w:r>
      <w:r w:rsidR="00FF74AC">
        <w:instrText xml:space="preserve">" </w:instrText>
      </w:r>
      <w:r w:rsidR="001858B5">
        <w:rPr>
          <w:rFonts w:cs="Times New Roman"/>
        </w:rPr>
        <w:fldChar w:fldCharType="end"/>
      </w:r>
      <w:r w:rsidR="006A436C" w:rsidRPr="00124B71">
        <w:rPr>
          <w:rFonts w:cs="Times New Roman"/>
        </w:rPr>
        <w:t>.</w:t>
      </w:r>
      <w:r w:rsidR="00306926" w:rsidRPr="00124B71">
        <w:rPr>
          <w:rFonts w:cs="Times New Roman"/>
        </w:rPr>
        <w:t xml:space="preserve"> Both Freddie Mac and Fannie Mae are private corporations that have the implied backing of the Federal Government even though their activities are explicitly not guaranteed</w:t>
      </w:r>
      <w:r w:rsidR="0012196C">
        <w:rPr>
          <w:rFonts w:cs="Times New Roman"/>
        </w:rPr>
        <w:t xml:space="preserve"> (until they were taken into conservatorship in September 2008)</w:t>
      </w:r>
      <w:r w:rsidR="00306926" w:rsidRPr="00124B71">
        <w:rPr>
          <w:rFonts w:cs="Times New Roman"/>
        </w:rPr>
        <w:t>.</w:t>
      </w:r>
      <w:r w:rsidR="006A436C" w:rsidRPr="00124B71">
        <w:rPr>
          <w:rFonts w:cs="Times New Roman"/>
        </w:rPr>
        <w:t xml:space="preserve"> Collectively Freddie Mac, Fannie Mae and Ginnie Mae are </w:t>
      </w:r>
      <w:r w:rsidR="006A436C" w:rsidRPr="00124B71">
        <w:rPr>
          <w:rFonts w:cs="Times New Roman"/>
        </w:rPr>
        <w:lastRenderedPageBreak/>
        <w:t>known as Government Sponsored Entities</w:t>
      </w:r>
      <w:r w:rsidR="001858B5">
        <w:rPr>
          <w:rFonts w:cs="Times New Roman"/>
        </w:rPr>
        <w:fldChar w:fldCharType="begin"/>
      </w:r>
      <w:r w:rsidR="00FF74AC">
        <w:instrText xml:space="preserve"> XE "</w:instrText>
      </w:r>
      <w:r w:rsidR="00FF74AC" w:rsidRPr="003B7C5D">
        <w:rPr>
          <w:rFonts w:cs="Times New Roman"/>
        </w:rPr>
        <w:instrText>Government Sponsored Entities</w:instrText>
      </w:r>
      <w:r w:rsidR="00FF74AC">
        <w:instrText>" \t "</w:instrText>
      </w:r>
      <w:r w:rsidR="00FF74AC" w:rsidRPr="00C05323">
        <w:rPr>
          <w:rFonts w:asciiTheme="minorHAnsi" w:hAnsiTheme="minorHAnsi"/>
          <w:i/>
        </w:rPr>
        <w:instrText>See</w:instrText>
      </w:r>
      <w:r w:rsidR="00FF74AC" w:rsidRPr="00C05323">
        <w:rPr>
          <w:rFonts w:asciiTheme="minorHAnsi" w:hAnsiTheme="minorHAnsi"/>
        </w:rPr>
        <w:instrText xml:space="preserve"> GSEs</w:instrText>
      </w:r>
      <w:r w:rsidR="00FF74AC">
        <w:instrText xml:space="preserve">" </w:instrText>
      </w:r>
      <w:r w:rsidR="001858B5">
        <w:rPr>
          <w:rFonts w:cs="Times New Roman"/>
        </w:rPr>
        <w:fldChar w:fldCharType="end"/>
      </w:r>
      <w:r w:rsidR="006A436C" w:rsidRPr="00124B71">
        <w:rPr>
          <w:rFonts w:cs="Times New Roman"/>
        </w:rPr>
        <w:t xml:space="preserve"> or GSEs</w:t>
      </w:r>
      <w:r w:rsidR="001858B5">
        <w:rPr>
          <w:rFonts w:cs="Times New Roman"/>
        </w:rPr>
        <w:fldChar w:fldCharType="begin"/>
      </w:r>
      <w:r w:rsidR="00FF74AC">
        <w:instrText xml:space="preserve"> XE "</w:instrText>
      </w:r>
      <w:r w:rsidR="00FF74AC" w:rsidRPr="006043DC">
        <w:rPr>
          <w:rFonts w:cs="Times New Roman"/>
        </w:rPr>
        <w:instrText>GSEs</w:instrText>
      </w:r>
      <w:r w:rsidR="00FF74AC">
        <w:instrText xml:space="preserve">" </w:instrText>
      </w:r>
      <w:r w:rsidR="001858B5">
        <w:rPr>
          <w:rFonts w:cs="Times New Roman"/>
        </w:rPr>
        <w:fldChar w:fldCharType="end"/>
      </w:r>
      <w:r w:rsidR="00306926" w:rsidRPr="00124B71">
        <w:rPr>
          <w:rFonts w:cs="Times New Roman"/>
        </w:rPr>
        <w:t>, and they are responsible for maintaining a secondary market for mortgage backed securities.</w:t>
      </w:r>
    </w:p>
    <w:p w14:paraId="15A8EFDE" w14:textId="77777777" w:rsidR="006D3AA7" w:rsidRPr="00124B71" w:rsidRDefault="00306926" w:rsidP="008560E2">
      <w:pPr>
        <w:rPr>
          <w:rFonts w:cs="Times New Roman"/>
        </w:rPr>
      </w:pPr>
      <w:r w:rsidRPr="00124B71">
        <w:rPr>
          <w:rFonts w:cs="Times New Roman"/>
        </w:rPr>
        <w:t>Fannie Mae</w:t>
      </w:r>
      <w:r w:rsidR="001858B5">
        <w:rPr>
          <w:rFonts w:cs="Times New Roman"/>
        </w:rPr>
        <w:fldChar w:fldCharType="begin"/>
      </w:r>
      <w:r w:rsidR="00FF74AC">
        <w:instrText xml:space="preserve"> XE "</w:instrText>
      </w:r>
      <w:r w:rsidR="00FF74AC" w:rsidRPr="00354E50">
        <w:rPr>
          <w:rFonts w:cs="Times New Roman"/>
        </w:rPr>
        <w:instrText>Fannie Mae</w:instrText>
      </w:r>
      <w:r w:rsidR="00FF74AC">
        <w:instrText xml:space="preserve">" </w:instrText>
      </w:r>
      <w:r w:rsidR="001858B5">
        <w:rPr>
          <w:rFonts w:cs="Times New Roman"/>
        </w:rPr>
        <w:fldChar w:fldCharType="end"/>
      </w:r>
      <w:r w:rsidRPr="00124B71">
        <w:rPr>
          <w:rFonts w:cs="Times New Roman"/>
        </w:rPr>
        <w:t xml:space="preserve"> and Freddie Mac</w:t>
      </w:r>
      <w:r w:rsidR="001858B5">
        <w:rPr>
          <w:rFonts w:cs="Times New Roman"/>
        </w:rPr>
        <w:fldChar w:fldCharType="begin"/>
      </w:r>
      <w:r w:rsidR="00FF74AC">
        <w:instrText xml:space="preserve"> XE "</w:instrText>
      </w:r>
      <w:r w:rsidR="00FF74AC" w:rsidRPr="00302EDC">
        <w:rPr>
          <w:rFonts w:cs="Times New Roman"/>
        </w:rPr>
        <w:instrText>Freddie Mac</w:instrText>
      </w:r>
      <w:r w:rsidR="00FF74AC">
        <w:instrText xml:space="preserve">" </w:instrText>
      </w:r>
      <w:r w:rsidR="001858B5">
        <w:rPr>
          <w:rFonts w:cs="Times New Roman"/>
        </w:rPr>
        <w:fldChar w:fldCharType="end"/>
      </w:r>
      <w:r w:rsidRPr="00124B71">
        <w:rPr>
          <w:rFonts w:cs="Times New Roman"/>
        </w:rPr>
        <w:t xml:space="preserve"> buy and sell mortgage loans</w:t>
      </w:r>
      <w:r w:rsidR="002301BC" w:rsidRPr="00124B71">
        <w:rPr>
          <w:rFonts w:cs="Times New Roman"/>
        </w:rPr>
        <w:t xml:space="preserve"> to create a secondary market</w:t>
      </w:r>
      <w:r w:rsidR="00656E6C" w:rsidRPr="00124B71">
        <w:rPr>
          <w:rFonts w:cs="Times New Roman"/>
        </w:rPr>
        <w:t>.</w:t>
      </w:r>
      <w:r w:rsidR="00635AA0" w:rsidRPr="00124B71">
        <w:rPr>
          <w:rFonts w:cs="Times New Roman"/>
        </w:rPr>
        <w:t xml:space="preserve"> </w:t>
      </w:r>
      <w:r w:rsidR="00C44961" w:rsidRPr="00124B71">
        <w:rPr>
          <w:rStyle w:val="EndnoteReference"/>
          <w:rFonts w:cs="Times New Roman"/>
        </w:rPr>
        <w:endnoteReference w:id="65"/>
      </w:r>
      <w:r w:rsidRPr="00124B71">
        <w:rPr>
          <w:rFonts w:cs="Times New Roman"/>
        </w:rPr>
        <w:t xml:space="preserve"> Mortgage originators bring groups of loans to the two</w:t>
      </w:r>
      <w:r w:rsidR="002301BC" w:rsidRPr="00124B71">
        <w:rPr>
          <w:rFonts w:cs="Times New Roman"/>
        </w:rPr>
        <w:t xml:space="preserve"> companies </w:t>
      </w:r>
      <w:r w:rsidR="00CD4A0B" w:rsidRPr="00124B71">
        <w:rPr>
          <w:rFonts w:cs="Times New Roman"/>
        </w:rPr>
        <w:t>which</w:t>
      </w:r>
      <w:r w:rsidR="002301BC" w:rsidRPr="00124B71">
        <w:rPr>
          <w:rFonts w:cs="Times New Roman"/>
        </w:rPr>
        <w:t xml:space="preserve"> will either buy the loans to hold in their own portfolios</w:t>
      </w:r>
      <w:r w:rsidR="00CD4A0B" w:rsidRPr="00124B71">
        <w:rPr>
          <w:rFonts w:cs="Times New Roman"/>
        </w:rPr>
        <w:t>,</w:t>
      </w:r>
      <w:r w:rsidR="002301BC" w:rsidRPr="00124B71">
        <w:rPr>
          <w:rFonts w:cs="Times New Roman"/>
        </w:rPr>
        <w:t xml:space="preserve"> or they will bundle these loans together into </w:t>
      </w:r>
      <w:r w:rsidR="006D3AA7" w:rsidRPr="00124B71">
        <w:rPr>
          <w:rFonts w:cs="Times New Roman"/>
        </w:rPr>
        <w:t>securities</w:t>
      </w:r>
      <w:r w:rsidR="002301BC" w:rsidRPr="00124B71">
        <w:rPr>
          <w:rFonts w:cs="Times New Roman"/>
        </w:rPr>
        <w:t xml:space="preserve"> in a process known as a “swap</w:t>
      </w:r>
      <w:r w:rsidR="001858B5">
        <w:rPr>
          <w:rFonts w:cs="Times New Roman"/>
        </w:rPr>
        <w:fldChar w:fldCharType="begin"/>
      </w:r>
      <w:r w:rsidR="00FF74AC">
        <w:instrText xml:space="preserve"> XE "</w:instrText>
      </w:r>
      <w:r w:rsidR="00FF74AC" w:rsidRPr="003F1377">
        <w:rPr>
          <w:rFonts w:cs="Times New Roman"/>
        </w:rPr>
        <w:instrText>swap</w:instrText>
      </w:r>
      <w:r w:rsidR="00FF74AC">
        <w:instrText xml:space="preserve">" </w:instrText>
      </w:r>
      <w:r w:rsidR="001858B5">
        <w:rPr>
          <w:rFonts w:cs="Times New Roman"/>
        </w:rPr>
        <w:fldChar w:fldCharType="end"/>
      </w:r>
      <w:r w:rsidR="002301BC" w:rsidRPr="00124B71">
        <w:rPr>
          <w:rFonts w:cs="Times New Roman"/>
        </w:rPr>
        <w:t>.” In a swap program, the originator provides the group of loans, and Fannie Mae and Freddie Mac promise the originator they will receive payments from the pool</w:t>
      </w:r>
      <w:r w:rsidR="007C469A">
        <w:rPr>
          <w:rFonts w:cs="Times New Roman"/>
        </w:rPr>
        <w:t>–</w:t>
      </w:r>
      <w:r w:rsidR="002301BC" w:rsidRPr="00124B71">
        <w:rPr>
          <w:rFonts w:cs="Times New Roman"/>
        </w:rPr>
        <w:t>whether Fannie Mae and Freddie Mac receive said payments or not. This guarantee is tantamount to insurance as the two companies are taking on all risk of default for a small annual “guarantee fee</w:t>
      </w:r>
      <w:r w:rsidR="001858B5">
        <w:rPr>
          <w:rFonts w:cs="Times New Roman"/>
        </w:rPr>
        <w:fldChar w:fldCharType="begin"/>
      </w:r>
      <w:r w:rsidR="00FF74AC">
        <w:instrText xml:space="preserve"> XE "</w:instrText>
      </w:r>
      <w:r w:rsidR="00FF74AC" w:rsidRPr="006538BC">
        <w:rPr>
          <w:rFonts w:cs="Times New Roman"/>
        </w:rPr>
        <w:instrText>guarantee fee</w:instrText>
      </w:r>
      <w:r w:rsidR="00FF74AC">
        <w:instrText xml:space="preserve">" </w:instrText>
      </w:r>
      <w:r w:rsidR="001858B5">
        <w:rPr>
          <w:rFonts w:cs="Times New Roman"/>
        </w:rPr>
        <w:fldChar w:fldCharType="end"/>
      </w:r>
      <w:r w:rsidR="002301BC" w:rsidRPr="00124B71">
        <w:rPr>
          <w:rFonts w:cs="Times New Roman"/>
        </w:rPr>
        <w:t>,” usually equal to 20 basis points (0.2% of the guarantee amount</w:t>
      </w:r>
      <w:r w:rsidR="00A40CA5" w:rsidRPr="00124B71">
        <w:rPr>
          <w:rFonts w:cs="Times New Roman"/>
        </w:rPr>
        <w:t>).</w:t>
      </w:r>
      <w:r w:rsidR="002301BC" w:rsidRPr="00124B71">
        <w:rPr>
          <w:rFonts w:cs="Times New Roman"/>
        </w:rPr>
        <w:t xml:space="preserve"> </w:t>
      </w:r>
      <w:r w:rsidR="006D3AA7" w:rsidRPr="00124B71">
        <w:rPr>
          <w:rFonts w:cs="Times New Roman"/>
        </w:rPr>
        <w:t xml:space="preserve">Fannie Mae and Freddie Mac have strict loan origination guidelines because of the insurance they are providing. In the terms of the mortgage industry, “conforming” loans are those loans that meet the underwriting standards of Fannie Mae and Freddie Mac. In the later stages of the rally in </w:t>
      </w:r>
      <w:r w:rsidR="001A34D5">
        <w:rPr>
          <w:rFonts w:cs="Times New Roman"/>
        </w:rPr>
        <w:t>the Great Housing Bubble</w:t>
      </w:r>
      <w:r w:rsidR="006D3AA7" w:rsidRPr="00124B71">
        <w:rPr>
          <w:rFonts w:cs="Times New Roman"/>
        </w:rPr>
        <w:t>, more and more mortgage loans were being originated that did not conform to Fannie Mae’s and Freddie Mac’s standards. The asset-backed securities</w:t>
      </w:r>
      <w:r w:rsidR="001858B5">
        <w:rPr>
          <w:rFonts w:cs="Times New Roman"/>
        </w:rPr>
        <w:fldChar w:fldCharType="begin"/>
      </w:r>
      <w:r w:rsidR="00FF74AC">
        <w:instrText xml:space="preserve"> XE "</w:instrText>
      </w:r>
      <w:r w:rsidR="00FF74AC" w:rsidRPr="000A5EFF">
        <w:rPr>
          <w:rFonts w:cs="Times New Roman"/>
        </w:rPr>
        <w:instrText>asset-backed securities</w:instrText>
      </w:r>
      <w:r w:rsidR="00FF74AC">
        <w:instrText xml:space="preserve">" </w:instrText>
      </w:r>
      <w:r w:rsidR="001858B5">
        <w:rPr>
          <w:rFonts w:cs="Times New Roman"/>
        </w:rPr>
        <w:fldChar w:fldCharType="end"/>
      </w:r>
      <w:r w:rsidR="006D3AA7" w:rsidRPr="00124B71">
        <w:rPr>
          <w:rFonts w:cs="Times New Roman"/>
        </w:rPr>
        <w:t xml:space="preserve"> </w:t>
      </w:r>
      <w:r w:rsidR="00CD4A0B" w:rsidRPr="00124B71">
        <w:rPr>
          <w:rFonts w:cs="Times New Roman"/>
        </w:rPr>
        <w:t>(ABS</w:t>
      </w:r>
      <w:r w:rsidR="001858B5">
        <w:rPr>
          <w:rFonts w:cs="Times New Roman"/>
        </w:rPr>
        <w:fldChar w:fldCharType="begin"/>
      </w:r>
      <w:r w:rsidR="00FF74AC">
        <w:instrText xml:space="preserve"> XE "</w:instrText>
      </w:r>
      <w:r w:rsidR="00FF74AC" w:rsidRPr="00934560">
        <w:rPr>
          <w:rFonts w:cs="Times New Roman"/>
        </w:rPr>
        <w:instrText>ABS</w:instrText>
      </w:r>
      <w:r w:rsidR="00FF74AC">
        <w:instrText xml:space="preserve">" </w:instrText>
      </w:r>
      <w:r w:rsidR="001858B5">
        <w:rPr>
          <w:rFonts w:cs="Times New Roman"/>
        </w:rPr>
        <w:fldChar w:fldCharType="end"/>
      </w:r>
      <w:r w:rsidR="00CD4A0B" w:rsidRPr="00124B71">
        <w:rPr>
          <w:rFonts w:cs="Times New Roman"/>
        </w:rPr>
        <w:t xml:space="preserve">) </w:t>
      </w:r>
      <w:r w:rsidR="006D3AA7" w:rsidRPr="00124B71">
        <w:rPr>
          <w:rFonts w:cs="Times New Roman"/>
        </w:rPr>
        <w:t>market package</w:t>
      </w:r>
      <w:r w:rsidR="00CD4A0B" w:rsidRPr="00124B71">
        <w:rPr>
          <w:rFonts w:cs="Times New Roman"/>
        </w:rPr>
        <w:t>s</w:t>
      </w:r>
      <w:r w:rsidR="006D3AA7" w:rsidRPr="00124B71">
        <w:rPr>
          <w:rFonts w:cs="Times New Roman"/>
        </w:rPr>
        <w:t xml:space="preserve"> these non-conforming loans into collateralized debt obligations and garnered significant market share. Despite their more conservative lending standards, Fannie Mae and Freddie Mac guaranteed many loans that performed poorly in the fallout of </w:t>
      </w:r>
      <w:r w:rsidR="001A34D5">
        <w:rPr>
          <w:rFonts w:cs="Times New Roman"/>
        </w:rPr>
        <w:t>the Great Housing Bubble</w:t>
      </w:r>
      <w:r w:rsidR="006D3AA7" w:rsidRPr="00124B71">
        <w:rPr>
          <w:rFonts w:cs="Times New Roman"/>
        </w:rPr>
        <w:t>. They guaranteed many exotic loan types with inflated appraisals</w:t>
      </w:r>
      <w:r w:rsidR="00777906" w:rsidRPr="00124B71">
        <w:rPr>
          <w:rFonts w:cs="Times New Roman"/>
        </w:rPr>
        <w:t xml:space="preserve"> and committed many of the same errors as</w:t>
      </w:r>
      <w:r w:rsidR="00FF74AC">
        <w:rPr>
          <w:rFonts w:cs="Times New Roman"/>
        </w:rPr>
        <w:t xml:space="preserve"> asset-backed securities</w:t>
      </w:r>
      <w:r w:rsidR="00777906" w:rsidRPr="00124B71">
        <w:rPr>
          <w:rFonts w:cs="Times New Roman"/>
        </w:rPr>
        <w:t xml:space="preserve"> </w:t>
      </w:r>
      <w:r w:rsidR="00FF74AC">
        <w:rPr>
          <w:rFonts w:cs="Times New Roman"/>
        </w:rPr>
        <w:t>(</w:t>
      </w:r>
      <w:r w:rsidR="00777906" w:rsidRPr="00124B71">
        <w:rPr>
          <w:rFonts w:cs="Times New Roman"/>
        </w:rPr>
        <w:t>ABS</w:t>
      </w:r>
      <w:r w:rsidR="001858B5">
        <w:rPr>
          <w:rFonts w:cs="Times New Roman"/>
        </w:rPr>
        <w:fldChar w:fldCharType="begin"/>
      </w:r>
      <w:r w:rsidR="00FF74AC">
        <w:instrText xml:space="preserve"> XE "</w:instrText>
      </w:r>
      <w:r w:rsidR="00FF74AC" w:rsidRPr="008C75F6">
        <w:rPr>
          <w:rFonts w:cs="Times New Roman"/>
        </w:rPr>
        <w:instrText>ABS</w:instrText>
      </w:r>
      <w:r w:rsidR="00FF74AC">
        <w:instrText>" \t "</w:instrText>
      </w:r>
      <w:r w:rsidR="00FF74AC" w:rsidRPr="00EB6FC7">
        <w:rPr>
          <w:rFonts w:asciiTheme="minorHAnsi" w:hAnsiTheme="minorHAnsi"/>
          <w:i/>
        </w:rPr>
        <w:instrText>See</w:instrText>
      </w:r>
      <w:r w:rsidR="00FF74AC" w:rsidRPr="00EB6FC7">
        <w:rPr>
          <w:rFonts w:asciiTheme="minorHAnsi" w:hAnsiTheme="minorHAnsi"/>
        </w:rPr>
        <w:instrText xml:space="preserve"> asset-backed securities</w:instrText>
      </w:r>
      <w:r w:rsidR="00FF74AC">
        <w:instrText xml:space="preserve">" </w:instrText>
      </w:r>
      <w:r w:rsidR="001858B5">
        <w:rPr>
          <w:rFonts w:cs="Times New Roman"/>
        </w:rPr>
        <w:fldChar w:fldCharType="end"/>
      </w:r>
      <w:r w:rsidR="00FF74AC">
        <w:rPr>
          <w:rFonts w:cs="Times New Roman"/>
        </w:rPr>
        <w:t>)</w:t>
      </w:r>
      <w:r w:rsidR="00777906" w:rsidRPr="00124B71">
        <w:rPr>
          <w:rFonts w:cs="Times New Roman"/>
        </w:rPr>
        <w:t xml:space="preserve"> issuers during the bubble.</w:t>
      </w:r>
    </w:p>
    <w:p w14:paraId="0D06D3F8" w14:textId="1555BEE0" w:rsidR="006D3AA7" w:rsidRPr="00EF0EDA" w:rsidRDefault="00CF05FE" w:rsidP="006D3AA7">
      <w:pPr>
        <w:pStyle w:val="Caption"/>
      </w:pPr>
      <w:bookmarkStart w:id="90" w:name="_Toc238867453"/>
      <w:r>
        <w:t>Figure</w:t>
      </w:r>
      <w:r w:rsidR="006D3AA7" w:rsidRPr="00EF0EDA">
        <w:t xml:space="preserve"> </w:t>
      </w:r>
      <w:fldSimple w:instr=" SEQ Figure \* ARABIC ">
        <w:r w:rsidR="00493733">
          <w:rPr>
            <w:noProof/>
          </w:rPr>
          <w:t>12</w:t>
        </w:r>
      </w:fldSimple>
      <w:r w:rsidR="00317936">
        <w:t xml:space="preserve">: </w:t>
      </w:r>
      <w:r w:rsidR="006D3AA7" w:rsidRPr="00EF0EDA">
        <w:t>Percentage Held of Household Mortgage Debt</w:t>
      </w:r>
      <w:r w:rsidR="000E7151">
        <w:t>,</w:t>
      </w:r>
      <w:r w:rsidR="006D3AA7" w:rsidRPr="00EF0EDA">
        <w:t xml:space="preserve"> 1971-2006</w:t>
      </w:r>
      <w:bookmarkEnd w:id="90"/>
    </w:p>
    <w:p w14:paraId="59FE8D09" w14:textId="77777777" w:rsidR="00306926" w:rsidRPr="00EF0EDA" w:rsidRDefault="00AD6CCE" w:rsidP="002B6617">
      <w:pPr>
        <w:pStyle w:val="Graphics"/>
      </w:pPr>
      <w:r>
        <w:drawing>
          <wp:inline distT="0" distB="0" distL="0" distR="0" wp14:anchorId="67978469" wp14:editId="3ABF9633">
            <wp:extent cx="3657600" cy="2633472"/>
            <wp:effectExtent l="19050" t="0" r="0" b="0"/>
            <wp:docPr id="77" name="Picture 76" descr="Percentage Held of Household Mortgage Debt 1971-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centage Held of Household Mortgage Debt 1971-2006.jpg"/>
                    <pic:cNvPicPr/>
                  </pic:nvPicPr>
                  <pic:blipFill>
                    <a:blip r:embed="rId44"/>
                    <a:stretch>
                      <a:fillRect/>
                    </a:stretch>
                  </pic:blipFill>
                  <pic:spPr>
                    <a:xfrm>
                      <a:off x="0" y="0"/>
                      <a:ext cx="3657600" cy="2633472"/>
                    </a:xfrm>
                    <a:prstGeom prst="rect">
                      <a:avLst/>
                    </a:prstGeom>
                  </pic:spPr>
                </pic:pic>
              </a:graphicData>
            </a:graphic>
          </wp:inline>
        </w:drawing>
      </w:r>
      <w:r w:rsidR="006D3AA7" w:rsidRPr="00EF0EDA">
        <w:t xml:space="preserve"> </w:t>
      </w:r>
      <w:r w:rsidR="002301BC" w:rsidRPr="00EF0EDA">
        <w:t xml:space="preserve"> </w:t>
      </w:r>
    </w:p>
    <w:p w14:paraId="1575781A" w14:textId="77777777" w:rsidR="001767A9" w:rsidRPr="00124B71" w:rsidRDefault="001767A9" w:rsidP="008560E2">
      <w:pPr>
        <w:rPr>
          <w:rFonts w:cs="Times New Roman"/>
        </w:rPr>
      </w:pPr>
      <w:r w:rsidRPr="00124B71">
        <w:rPr>
          <w:rFonts w:cs="Times New Roman"/>
        </w:rPr>
        <w:t>As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Pr="00124B71">
        <w:rPr>
          <w:rFonts w:cs="Times New Roman"/>
        </w:rPr>
        <w:t xml:space="preserve"> continued to grow, lending institutions began to sell the loans they originated rather than keeping them in their own </w:t>
      </w:r>
      <w:r w:rsidRPr="00124B71">
        <w:rPr>
          <w:rFonts w:cs="Times New Roman"/>
        </w:rPr>
        <w:lastRenderedPageBreak/>
        <w:t>portfolio</w:t>
      </w:r>
      <w:r w:rsidR="00CD4A0B" w:rsidRPr="00124B71">
        <w:rPr>
          <w:rFonts w:cs="Times New Roman"/>
        </w:rPr>
        <w:t>s</w:t>
      </w:r>
      <w:r w:rsidRPr="00124B71">
        <w:rPr>
          <w:rFonts w:cs="Times New Roman"/>
        </w:rPr>
        <w:t xml:space="preserve">. The banks began to make money by originating and servicing loans rather than </w:t>
      </w:r>
      <w:r w:rsidR="00CD4A0B" w:rsidRPr="00124B71">
        <w:rPr>
          <w:rFonts w:cs="Times New Roman"/>
        </w:rPr>
        <w:t>by</w:t>
      </w:r>
      <w:r w:rsidRPr="00124B71">
        <w:rPr>
          <w:rFonts w:cs="Times New Roman"/>
        </w:rPr>
        <w:t xml:space="preserve"> keeping them and earning interest. This was a </w:t>
      </w:r>
      <w:r w:rsidR="00CD4A0B" w:rsidRPr="00124B71">
        <w:rPr>
          <w:rFonts w:cs="Times New Roman"/>
        </w:rPr>
        <w:t>radical</w:t>
      </w:r>
      <w:r w:rsidRPr="00124B71">
        <w:rPr>
          <w:rFonts w:cs="Times New Roman"/>
        </w:rPr>
        <w:t xml:space="preserve"> </w:t>
      </w:r>
      <w:r w:rsidR="005134F6" w:rsidRPr="00124B71">
        <w:rPr>
          <w:rFonts w:cs="Times New Roman"/>
        </w:rPr>
        <w:t>change</w:t>
      </w:r>
      <w:r w:rsidRPr="00124B71">
        <w:rPr>
          <w:rFonts w:cs="Times New Roman"/>
        </w:rPr>
        <w:t xml:space="preserve"> in lending practices</w:t>
      </w:r>
      <w:r w:rsidR="005134F6" w:rsidRPr="00124B71">
        <w:rPr>
          <w:rFonts w:cs="Times New Roman"/>
        </w:rPr>
        <w:t xml:space="preserve"> and </w:t>
      </w:r>
      <w:r w:rsidRPr="00124B71">
        <w:rPr>
          <w:rFonts w:cs="Times New Roman"/>
        </w:rPr>
        <w:t>incentives</w:t>
      </w:r>
      <w:r w:rsidR="00CD4A0B" w:rsidRPr="00124B71">
        <w:rPr>
          <w:rFonts w:cs="Times New Roman"/>
        </w:rPr>
        <w:t>;</w:t>
      </w:r>
      <w:r w:rsidRPr="00124B71">
        <w:rPr>
          <w:rFonts w:cs="Times New Roman"/>
        </w:rPr>
        <w:t xml:space="preserve"> lending institutions stopped being concerned with the quality of the loans because they did</w:t>
      </w:r>
      <w:r w:rsidR="00FE66E5" w:rsidRPr="00124B71">
        <w:rPr>
          <w:rFonts w:cs="Times New Roman"/>
        </w:rPr>
        <w:t xml:space="preserve"> </w:t>
      </w:r>
      <w:r w:rsidRPr="00124B71">
        <w:rPr>
          <w:rFonts w:cs="Times New Roman"/>
        </w:rPr>
        <w:t>n</w:t>
      </w:r>
      <w:r w:rsidR="00FE66E5" w:rsidRPr="00124B71">
        <w:rPr>
          <w:rFonts w:cs="Times New Roman"/>
        </w:rPr>
        <w:t>o</w:t>
      </w:r>
      <w:r w:rsidRPr="00124B71">
        <w:rPr>
          <w:rFonts w:cs="Times New Roman"/>
        </w:rPr>
        <w:t>t keep them, and instead they became very concerned with the volume of loan</w:t>
      </w:r>
      <w:r w:rsidR="00CD4A0B" w:rsidRPr="00124B71">
        <w:rPr>
          <w:rFonts w:cs="Times New Roman"/>
        </w:rPr>
        <w:t>s</w:t>
      </w:r>
      <w:r w:rsidRPr="00124B71">
        <w:rPr>
          <w:rFonts w:cs="Times New Roman"/>
        </w:rPr>
        <w:t xml:space="preserve"> originat</w:t>
      </w:r>
      <w:r w:rsidR="00CD4A0B" w:rsidRPr="00124B71">
        <w:rPr>
          <w:rFonts w:cs="Times New Roman"/>
        </w:rPr>
        <w:t>ed</w:t>
      </w:r>
      <w:r w:rsidRPr="00124B71">
        <w:rPr>
          <w:rFonts w:cs="Times New Roman"/>
        </w:rPr>
        <w:t xml:space="preserve"> and the fees th</w:t>
      </w:r>
      <w:r w:rsidR="00CD4A0B" w:rsidRPr="00124B71">
        <w:rPr>
          <w:rFonts w:cs="Times New Roman"/>
        </w:rPr>
        <w:t>ese</w:t>
      </w:r>
      <w:r w:rsidRPr="00124B71">
        <w:rPr>
          <w:rFonts w:cs="Times New Roman"/>
        </w:rPr>
        <w:t xml:space="preserve"> generated. </w:t>
      </w:r>
      <w:r w:rsidR="0002100D" w:rsidRPr="00124B71">
        <w:rPr>
          <w:rFonts w:cs="Times New Roman"/>
        </w:rPr>
        <w:t>The originators were only concerned with meeting the parameters set forth by buyers of mortgage backed securities in the secondary market. When the parties purchasing these loans reduced standards to the point where everyone qualified, loan originators gave everyone loans</w:t>
      </w:r>
      <w:r w:rsidRPr="00124B71">
        <w:rPr>
          <w:rFonts w:cs="Times New Roman"/>
        </w:rPr>
        <w:t>. Lower lending standards opened the door for lenders to provide loans to those with low FICO</w:t>
      </w:r>
      <w:r w:rsidR="001858B5">
        <w:rPr>
          <w:rFonts w:cs="Times New Roman"/>
        </w:rPr>
        <w:fldChar w:fldCharType="begin"/>
      </w:r>
      <w:r w:rsidR="003247C5">
        <w:instrText xml:space="preserve"> XE "</w:instrText>
      </w:r>
      <w:r w:rsidR="003247C5" w:rsidRPr="006E6D09">
        <w:rPr>
          <w:rFonts w:cs="Times New Roman"/>
        </w:rPr>
        <w:instrText>FICO</w:instrText>
      </w:r>
      <w:r w:rsidR="003247C5">
        <w:instrText xml:space="preserve">" </w:instrText>
      </w:r>
      <w:r w:rsidR="001858B5">
        <w:rPr>
          <w:rFonts w:cs="Times New Roman"/>
        </w:rPr>
        <w:fldChar w:fldCharType="end"/>
      </w:r>
      <w:r w:rsidRPr="00124B71">
        <w:rPr>
          <w:rFonts w:cs="Times New Roman"/>
        </w:rPr>
        <w:t xml:space="preserve"> scores</w:t>
      </w:r>
      <w:r w:rsidR="0002100D" w:rsidRPr="00124B71">
        <w:rPr>
          <w:rFonts w:cs="Times New Roman"/>
        </w:rPr>
        <w:t xml:space="preserve"> in great volume</w:t>
      </w:r>
      <w:r w:rsidRPr="00124B71">
        <w:rPr>
          <w:rFonts w:cs="Times New Roman"/>
        </w:rPr>
        <w:t>: subprime borrowers.</w:t>
      </w:r>
      <w:r w:rsidR="0002100D" w:rsidRPr="00124B71">
        <w:rPr>
          <w:rFonts w:cs="Times New Roman"/>
        </w:rPr>
        <w:t xml:space="preserve"> When combined with the widespread belief that home prices would never go down, the combination inflated </w:t>
      </w:r>
      <w:r w:rsidR="001A34D5">
        <w:rPr>
          <w:rFonts w:cs="Times New Roman"/>
        </w:rPr>
        <w:t>the Great Housing Bubble</w:t>
      </w:r>
      <w:r w:rsidR="0002100D" w:rsidRPr="00124B71">
        <w:rPr>
          <w:rFonts w:cs="Times New Roman"/>
        </w:rPr>
        <w:t>.</w:t>
      </w:r>
    </w:p>
    <w:p w14:paraId="568D2B27" w14:textId="19C90A44" w:rsidR="00A6405D" w:rsidRPr="00EF0EDA" w:rsidRDefault="00CF05FE" w:rsidP="00A6405D">
      <w:pPr>
        <w:pStyle w:val="Caption"/>
      </w:pPr>
      <w:bookmarkStart w:id="91" w:name="_Toc238867454"/>
      <w:r>
        <w:t>Figure</w:t>
      </w:r>
      <w:r w:rsidR="00A6405D" w:rsidRPr="00EF0EDA">
        <w:t xml:space="preserve"> </w:t>
      </w:r>
      <w:fldSimple w:instr=" SEQ Figure \* ARABIC ">
        <w:r w:rsidR="00493733">
          <w:rPr>
            <w:noProof/>
          </w:rPr>
          <w:t>13</w:t>
        </w:r>
      </w:fldSimple>
      <w:r w:rsidR="00317936">
        <w:t xml:space="preserve">: </w:t>
      </w:r>
      <w:r w:rsidR="00A6405D" w:rsidRPr="00EF0EDA">
        <w:t>Subprime</w:t>
      </w:r>
      <w:r w:rsidR="001858B5">
        <w:fldChar w:fldCharType="begin"/>
      </w:r>
      <w:r w:rsidR="00E84A0F">
        <w:instrText xml:space="preserve"> XE "</w:instrText>
      </w:r>
      <w:r w:rsidR="00E84A0F" w:rsidRPr="007B2D35">
        <w:rPr>
          <w:rFonts w:cs="Times New Roman"/>
        </w:rPr>
        <w:instrText>Subprime</w:instrText>
      </w:r>
      <w:r w:rsidR="00E84A0F">
        <w:instrText xml:space="preserve">" </w:instrText>
      </w:r>
      <w:r w:rsidR="001858B5">
        <w:fldChar w:fldCharType="end"/>
      </w:r>
      <w:r w:rsidR="00A6405D" w:rsidRPr="00EF0EDA">
        <w:t xml:space="preserve"> Originations, 1994-2006</w:t>
      </w:r>
      <w:bookmarkEnd w:id="91"/>
    </w:p>
    <w:p w14:paraId="00BD495E" w14:textId="77777777" w:rsidR="00A6405D" w:rsidRPr="00EF0EDA" w:rsidRDefault="00AD6CCE" w:rsidP="002B6617">
      <w:pPr>
        <w:pStyle w:val="Graphics"/>
      </w:pPr>
      <w:r>
        <w:drawing>
          <wp:inline distT="0" distB="0" distL="0" distR="0" wp14:anchorId="62F1E523" wp14:editId="74F05BE9">
            <wp:extent cx="3657600" cy="3017520"/>
            <wp:effectExtent l="19050" t="0" r="0" b="0"/>
            <wp:docPr id="78" name="Picture 77" descr="Subprime Originations 1994-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prime Originations 1994-2006.jpg"/>
                    <pic:cNvPicPr/>
                  </pic:nvPicPr>
                  <pic:blipFill>
                    <a:blip r:embed="rId45" cstate="print"/>
                    <a:stretch>
                      <a:fillRect/>
                    </a:stretch>
                  </pic:blipFill>
                  <pic:spPr>
                    <a:xfrm>
                      <a:off x="0" y="0"/>
                      <a:ext cx="3657600" cy="3017520"/>
                    </a:xfrm>
                    <a:prstGeom prst="rect">
                      <a:avLst/>
                    </a:prstGeom>
                  </pic:spPr>
                </pic:pic>
              </a:graphicData>
            </a:graphic>
          </wp:inline>
        </w:drawing>
      </w:r>
    </w:p>
    <w:p w14:paraId="78B45896" w14:textId="77777777" w:rsidR="001767A9" w:rsidRPr="00124B71" w:rsidRDefault="001767A9" w:rsidP="008560E2">
      <w:pPr>
        <w:rPr>
          <w:rFonts w:cs="Times New Roman"/>
        </w:rPr>
      </w:pPr>
      <w:r w:rsidRPr="00124B71">
        <w:rPr>
          <w:rFonts w:cs="Times New Roman"/>
        </w:rPr>
        <w:t>Subprime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Pr="00124B71">
        <w:rPr>
          <w:rFonts w:cs="Times New Roman"/>
        </w:rPr>
        <w:t xml:space="preserve"> lending as an industry barely existed prior to 199</w:t>
      </w:r>
      <w:r w:rsidR="00E72533" w:rsidRPr="00124B71">
        <w:rPr>
          <w:rFonts w:cs="Times New Roman"/>
        </w:rPr>
        <w:t>4</w:t>
      </w:r>
      <w:r w:rsidRPr="00124B71">
        <w:rPr>
          <w:rFonts w:cs="Times New Roman"/>
        </w:rPr>
        <w:t xml:space="preserve">. There were </w:t>
      </w:r>
      <w:r w:rsidR="00AD7430" w:rsidRPr="00124B71">
        <w:rPr>
          <w:rFonts w:cs="Times New Roman"/>
        </w:rPr>
        <w:t>few</w:t>
      </w:r>
      <w:r w:rsidRPr="00124B71">
        <w:rPr>
          <w:rFonts w:cs="Times New Roman"/>
        </w:rPr>
        <w:t xml:space="preserve"> lenders willing to loan to people with poor credit, and there was no secondary market to purchase these loans if they were originated. The growth of subprime was the direct result of the lowering of lending standards created by the change of incentives brought about</w:t>
      </w:r>
      <w:r w:rsidR="00955CD4">
        <w:rPr>
          <w:rFonts w:cs="Times New Roman"/>
        </w:rPr>
        <w:t xml:space="preserve"> by</w:t>
      </w:r>
      <w:r w:rsidRPr="00124B71">
        <w:rPr>
          <w:rFonts w:cs="Times New Roman"/>
        </w:rPr>
        <w:t xml:space="preserve"> the creation of the secondary market.</w:t>
      </w:r>
      <w:r w:rsidR="00AD7430" w:rsidRPr="00124B71">
        <w:rPr>
          <w:rFonts w:cs="Times New Roman"/>
        </w:rPr>
        <w:t xml:space="preserve"> </w:t>
      </w:r>
      <w:r w:rsidRPr="00124B71">
        <w:rPr>
          <w:rFonts w:cs="Times New Roman"/>
        </w:rPr>
        <w:t>These factors alone were not enough to create the Great Housing Bubble, but they provided the basic infrastructure to allow</w:t>
      </w:r>
      <w:r w:rsidR="003C731F">
        <w:rPr>
          <w:rFonts w:cs="Times New Roman"/>
        </w:rPr>
        <w:t xml:space="preserve"> the delivery of capital that caused</w:t>
      </w:r>
      <w:r w:rsidRPr="00124B71">
        <w:rPr>
          <w:rFonts w:cs="Times New Roman"/>
        </w:rPr>
        <w:t xml:space="preserve"> house prices to take flight. The </w:t>
      </w:r>
      <w:r w:rsidR="00E61244" w:rsidRPr="00124B71">
        <w:rPr>
          <w:rFonts w:cs="Times New Roman"/>
        </w:rPr>
        <w:t>catalyst or precipitating factor</w:t>
      </w:r>
      <w:r w:rsidR="001858B5">
        <w:rPr>
          <w:rFonts w:cs="Times New Roman"/>
        </w:rPr>
        <w:fldChar w:fldCharType="begin"/>
      </w:r>
      <w:r w:rsidR="002321D5">
        <w:instrText xml:space="preserve"> XE "</w:instrText>
      </w:r>
      <w:r w:rsidR="002321D5" w:rsidRPr="00787AAA">
        <w:rPr>
          <w:rFonts w:cs="Times New Roman"/>
        </w:rPr>
        <w:instrText>precipitating factor</w:instrText>
      </w:r>
      <w:r w:rsidR="002321D5">
        <w:instrText xml:space="preserve">" </w:instrText>
      </w:r>
      <w:r w:rsidR="001858B5">
        <w:rPr>
          <w:rFonts w:cs="Times New Roman"/>
        </w:rPr>
        <w:fldChar w:fldCharType="end"/>
      </w:r>
      <w:r w:rsidRPr="00124B71">
        <w:rPr>
          <w:rFonts w:cs="Times New Roman"/>
        </w:rPr>
        <w:t xml:space="preserve"> for the </w:t>
      </w:r>
      <w:r w:rsidR="00FE66E5" w:rsidRPr="00124B71">
        <w:rPr>
          <w:rFonts w:cs="Times New Roman"/>
        </w:rPr>
        <w:t>price rally</w:t>
      </w:r>
      <w:r w:rsidRPr="00124B71">
        <w:rPr>
          <w:rFonts w:cs="Times New Roman"/>
        </w:rPr>
        <w:t xml:space="preserve"> was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Pr="00124B71">
        <w:rPr>
          <w:rFonts w:cs="Times New Roman"/>
        </w:rPr>
        <w:t>’s low</w:t>
      </w:r>
      <w:r w:rsidR="00CD4A0B" w:rsidRPr="00124B71">
        <w:rPr>
          <w:rFonts w:cs="Times New Roman"/>
        </w:rPr>
        <w:t>er</w:t>
      </w:r>
      <w:r w:rsidRPr="00124B71">
        <w:rPr>
          <w:rFonts w:cs="Times New Roman"/>
        </w:rPr>
        <w:t>ing</w:t>
      </w:r>
      <w:r w:rsidR="0064301D">
        <w:rPr>
          <w:rFonts w:cs="Times New Roman"/>
        </w:rPr>
        <w:t xml:space="preserve"> </w:t>
      </w:r>
      <w:r w:rsidRPr="00124B71">
        <w:rPr>
          <w:rFonts w:cs="Times New Roman"/>
        </w:rPr>
        <w:t>of interest rates in 2001-200</w:t>
      </w:r>
      <w:r w:rsidR="00CD4A0B" w:rsidRPr="00124B71">
        <w:rPr>
          <w:rFonts w:cs="Times New Roman"/>
        </w:rPr>
        <w:t>4</w:t>
      </w:r>
      <w:r w:rsidRPr="00124B71">
        <w:rPr>
          <w:rFonts w:cs="Times New Roman"/>
        </w:rPr>
        <w:t>.</w:t>
      </w:r>
    </w:p>
    <w:p w14:paraId="39B77099" w14:textId="77777777" w:rsidR="001767A9" w:rsidRPr="00124B71" w:rsidRDefault="001767A9" w:rsidP="008560E2">
      <w:pPr>
        <w:rPr>
          <w:rFonts w:cs="Times New Roman"/>
        </w:rPr>
      </w:pPr>
      <w:r w:rsidRPr="00124B71">
        <w:rPr>
          <w:rFonts w:cs="Times New Roman"/>
        </w:rPr>
        <w:lastRenderedPageBreak/>
        <w:t xml:space="preserve">Many mistakenly believe the lower interest rates themselves were responsible by directly lowering mortgage interest rates. This is not </w:t>
      </w:r>
      <w:r w:rsidR="005134F6" w:rsidRPr="00124B71">
        <w:rPr>
          <w:rFonts w:cs="Times New Roman"/>
        </w:rPr>
        <w:t>accurate</w:t>
      </w:r>
      <w:r w:rsidRPr="00124B71">
        <w:rPr>
          <w:rFonts w:cs="Times New Roman"/>
        </w:rPr>
        <w:t>. Mortgage interest rates</w:t>
      </w:r>
      <w:r w:rsidR="001858B5">
        <w:rPr>
          <w:rFonts w:cs="Times New Roman"/>
        </w:rPr>
        <w:fldChar w:fldCharType="begin"/>
      </w:r>
      <w:r w:rsidR="00E84A0F">
        <w:instrText xml:space="preserve"> XE "</w:instrText>
      </w:r>
      <w:r w:rsidR="00E84A0F" w:rsidRPr="00D10AE8">
        <w:rPr>
          <w:rFonts w:cs="Times New Roman"/>
        </w:rPr>
        <w:instrText>Mortgage interest rates</w:instrText>
      </w:r>
      <w:r w:rsidR="00E84A0F">
        <w:instrText xml:space="preserve">" </w:instrText>
      </w:r>
      <w:r w:rsidR="001858B5">
        <w:rPr>
          <w:rFonts w:cs="Times New Roman"/>
        </w:rPr>
        <w:fldChar w:fldCharType="end"/>
      </w:r>
      <w:r w:rsidRPr="00124B71">
        <w:rPr>
          <w:rFonts w:cs="Times New Roman"/>
        </w:rPr>
        <w:t xml:space="preserve"> declined during this period, and this did allow borrowers to finance somewhat larger sums with the same monthly loan payment, but this was not sufficient to inflate the housing bubble. The lower Federal Funds rate cause</w:t>
      </w:r>
      <w:r w:rsidR="00CD4A0B" w:rsidRPr="00124B71">
        <w:rPr>
          <w:rFonts w:cs="Times New Roman"/>
        </w:rPr>
        <w:t>d</w:t>
      </w:r>
      <w:r w:rsidRPr="00124B71">
        <w:rPr>
          <w:rFonts w:cs="Times New Roman"/>
        </w:rPr>
        <w:t xml:space="preserve"> an expansion of </w:t>
      </w:r>
      <w:r w:rsidR="00CD4A0B" w:rsidRPr="00124B71">
        <w:rPr>
          <w:rFonts w:cs="Times New Roman"/>
        </w:rPr>
        <w:t xml:space="preserve">the </w:t>
      </w:r>
      <w:r w:rsidRPr="00124B71">
        <w:rPr>
          <w:rFonts w:cs="Times New Roman"/>
        </w:rPr>
        <w:t>money supply, and it lowered bank savings rates to such low levels that investors sought other investments with higher yields. It was this increase</w:t>
      </w:r>
      <w:r w:rsidR="00AD7430" w:rsidRPr="00124B71">
        <w:rPr>
          <w:rFonts w:cs="Times New Roman"/>
        </w:rPr>
        <w:t>d</w:t>
      </w:r>
      <w:r w:rsidRPr="00124B71">
        <w:rPr>
          <w:rFonts w:cs="Times New Roman"/>
        </w:rPr>
        <w:t xml:space="preserve">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Pr="00124B71">
        <w:rPr>
          <w:rFonts w:cs="Times New Roman"/>
        </w:rPr>
        <w:t xml:space="preserve"> and quest for yield that drove huge sums of money into mortgage loans. </w:t>
      </w:r>
    </w:p>
    <w:p w14:paraId="4D67776C" w14:textId="77777777" w:rsidR="00C2285F" w:rsidRPr="00EF0EDA" w:rsidRDefault="00C2285F" w:rsidP="00C2285F">
      <w:pPr>
        <w:pStyle w:val="Heading2"/>
      </w:pPr>
      <w:bookmarkStart w:id="92" w:name="_Toc238867321"/>
      <w:r w:rsidRPr="00EF0EDA">
        <w:t>Structured Finance</w:t>
      </w:r>
      <w:bookmarkEnd w:id="92"/>
    </w:p>
    <w:p w14:paraId="155D3BE9" w14:textId="77777777" w:rsidR="009D1A2E" w:rsidRPr="00124B71" w:rsidRDefault="004334FE" w:rsidP="009D1A2E">
      <w:pPr>
        <w:rPr>
          <w:rFonts w:cs="Times New Roman"/>
        </w:rPr>
      </w:pPr>
      <w:r w:rsidRPr="00124B71">
        <w:rPr>
          <w:rFonts w:cs="Times New Roman"/>
        </w:rPr>
        <w:t>Structured finance i</w:t>
      </w:r>
      <w:r w:rsidR="00C2285F" w:rsidRPr="00124B71">
        <w:rPr>
          <w:rFonts w:cs="Times New Roman"/>
        </w:rPr>
        <w:t>s an innovation of the finance industry on Wall Street</w:t>
      </w:r>
      <w:r w:rsidR="001858B5">
        <w:rPr>
          <w:rFonts w:cs="Times New Roman"/>
        </w:rPr>
        <w:fldChar w:fldCharType="begin"/>
      </w:r>
      <w:r w:rsidR="003247C5">
        <w:instrText xml:space="preserve"> XE "</w:instrText>
      </w:r>
      <w:r w:rsidR="003247C5" w:rsidRPr="003A3964">
        <w:rPr>
          <w:rFonts w:cs="Times New Roman"/>
        </w:rPr>
        <w:instrText>Wall Street</w:instrText>
      </w:r>
      <w:r w:rsidR="003247C5">
        <w:instrText xml:space="preserve">" </w:instrText>
      </w:r>
      <w:r w:rsidR="001858B5">
        <w:rPr>
          <w:rFonts w:cs="Times New Roman"/>
        </w:rPr>
        <w:fldChar w:fldCharType="end"/>
      </w:r>
      <w:r w:rsidR="00C2285F" w:rsidRPr="00124B71">
        <w:rPr>
          <w:rFonts w:cs="Times New Roman"/>
        </w:rPr>
        <w:t>.</w:t>
      </w:r>
      <w:r w:rsidR="00236D4E" w:rsidRPr="00124B71">
        <w:rPr>
          <w:rFonts w:cs="Times New Roman"/>
        </w:rPr>
        <w:t xml:space="preserve"> </w:t>
      </w:r>
      <w:r w:rsidR="00A6426B" w:rsidRPr="00124B71">
        <w:rPr>
          <w:rFonts w:cs="Times New Roman"/>
        </w:rPr>
        <w:t>It</w:t>
      </w:r>
      <w:r w:rsidR="00236D4E" w:rsidRPr="00124B71">
        <w:rPr>
          <w:rFonts w:cs="Times New Roman"/>
        </w:rPr>
        <w:t xml:space="preserve"> is a method of redistributing risk based on complex legal and corporate entities</w:t>
      </w:r>
      <w:r w:rsidR="00164710" w:rsidRPr="00124B71">
        <w:rPr>
          <w:rFonts w:cs="Times New Roman"/>
        </w:rPr>
        <w:t xml:space="preserve"> such as</w:t>
      </w:r>
      <w:r w:rsidR="00236D4E" w:rsidRPr="00124B71">
        <w:rPr>
          <w:rFonts w:cs="Times New Roman"/>
        </w:rPr>
        <w:t xml:space="preserve"> corporations, limited liability companies or some other kind of legal entity</w:t>
      </w:r>
      <w:r w:rsidR="00373BE7" w:rsidRPr="00124B71">
        <w:rPr>
          <w:rFonts w:cs="Times New Roman"/>
        </w:rPr>
        <w:t xml:space="preserve"> capable of entering into contracts</w:t>
      </w:r>
      <w:r w:rsidR="00236D4E" w:rsidRPr="00124B71">
        <w:rPr>
          <w:rFonts w:cs="Times New Roman"/>
        </w:rPr>
        <w:t xml:space="preserve">. </w:t>
      </w:r>
      <w:r w:rsidR="00164710" w:rsidRPr="00124B71">
        <w:rPr>
          <w:rFonts w:cs="Times New Roman"/>
        </w:rPr>
        <w:t>The shares or other interests in s</w:t>
      </w:r>
      <w:r w:rsidR="00236D4E" w:rsidRPr="00124B71">
        <w:rPr>
          <w:rFonts w:cs="Times New Roman"/>
        </w:rPr>
        <w:t>tructured financ</w:t>
      </w:r>
      <w:r w:rsidR="00715F6A" w:rsidRPr="00124B71">
        <w:rPr>
          <w:rFonts w:cs="Times New Roman"/>
        </w:rPr>
        <w:t>ial</w:t>
      </w:r>
      <w:r w:rsidR="00236D4E" w:rsidRPr="00124B71">
        <w:rPr>
          <w:rFonts w:cs="Times New Roman"/>
        </w:rPr>
        <w:t xml:space="preserve"> entities are derivatives that obtain their value from </w:t>
      </w:r>
      <w:r w:rsidR="00715F6A" w:rsidRPr="00124B71">
        <w:rPr>
          <w:rFonts w:cs="Times New Roman"/>
        </w:rPr>
        <w:t>an underlying asset</w:t>
      </w:r>
      <w:r w:rsidR="00236D4E" w:rsidRPr="00124B71">
        <w:rPr>
          <w:rFonts w:cs="Times New Roman"/>
        </w:rPr>
        <w:t xml:space="preserve">. </w:t>
      </w:r>
      <w:r w:rsidR="00715F6A" w:rsidRPr="00124B71">
        <w:rPr>
          <w:rFonts w:cs="Times New Roman"/>
        </w:rPr>
        <w:t>Any asset that has a regular cashflow can be pooled through structured finance</w:t>
      </w:r>
      <w:r w:rsidR="001858B5">
        <w:rPr>
          <w:rFonts w:cs="Times New Roman"/>
        </w:rPr>
        <w:fldChar w:fldCharType="begin"/>
      </w:r>
      <w:r w:rsidR="003247C5">
        <w:instrText xml:space="preserve"> XE "</w:instrText>
      </w:r>
      <w:r w:rsidR="003247C5" w:rsidRPr="009F3643">
        <w:rPr>
          <w:rFonts w:cs="Times New Roman"/>
        </w:rPr>
        <w:instrText>structured finance</w:instrText>
      </w:r>
      <w:r w:rsidR="003247C5">
        <w:instrText xml:space="preserve">" </w:instrText>
      </w:r>
      <w:r w:rsidR="001858B5">
        <w:rPr>
          <w:rFonts w:cs="Times New Roman"/>
        </w:rPr>
        <w:fldChar w:fldCharType="end"/>
      </w:r>
      <w:r w:rsidR="00715F6A" w:rsidRPr="00124B71">
        <w:rPr>
          <w:rFonts w:cs="Times New Roman"/>
        </w:rPr>
        <w:t xml:space="preserve"> to create an asset-backed security</w:t>
      </w:r>
      <w:r w:rsidR="001858B5">
        <w:rPr>
          <w:rFonts w:cs="Times New Roman"/>
        </w:rPr>
        <w:fldChar w:fldCharType="begin"/>
      </w:r>
      <w:r w:rsidR="004F312D">
        <w:instrText xml:space="preserve"> XE "</w:instrText>
      </w:r>
      <w:r w:rsidR="004F312D" w:rsidRPr="00421ED4">
        <w:rPr>
          <w:rFonts w:cs="Times New Roman"/>
        </w:rPr>
        <w:instrText>asset-backed security</w:instrText>
      </w:r>
      <w:r w:rsidR="004F312D">
        <w:instrText xml:space="preserve">" </w:instrText>
      </w:r>
      <w:r w:rsidR="001858B5">
        <w:rPr>
          <w:rFonts w:cs="Times New Roman"/>
        </w:rPr>
        <w:fldChar w:fldCharType="end"/>
      </w:r>
      <w:r w:rsidR="00715F6A" w:rsidRPr="00124B71">
        <w:rPr>
          <w:rFonts w:cs="Times New Roman"/>
        </w:rPr>
        <w:t xml:space="preserve">. This cashflow can be split among various parties and valued based on the risk of repayment.  </w:t>
      </w:r>
      <w:r w:rsidR="00236D4E" w:rsidRPr="00124B71">
        <w:rPr>
          <w:rFonts w:cs="Times New Roman"/>
        </w:rPr>
        <w:t>For instance, the most common form of structured finance utilized to inflate the Great Housing Bubble was the collateralized debt obligation</w:t>
      </w:r>
      <w:r w:rsidR="001858B5">
        <w:rPr>
          <w:rFonts w:cs="Times New Roman"/>
        </w:rPr>
        <w:fldChar w:fldCharType="begin"/>
      </w:r>
      <w:r w:rsidR="003247C5">
        <w:instrText xml:space="preserve"> XE "</w:instrText>
      </w:r>
      <w:r w:rsidR="003247C5" w:rsidRPr="0048557D">
        <w:rPr>
          <w:rFonts w:cs="Times New Roman"/>
        </w:rPr>
        <w:instrText>collateralized debt obligation</w:instrText>
      </w:r>
      <w:r w:rsidR="003247C5">
        <w:instrText>" \t "</w:instrText>
      </w:r>
      <w:r w:rsidR="003247C5" w:rsidRPr="006330BD">
        <w:rPr>
          <w:rFonts w:asciiTheme="minorHAnsi" w:hAnsiTheme="minorHAnsi"/>
          <w:i/>
        </w:rPr>
        <w:instrText>See</w:instrText>
      </w:r>
      <w:r w:rsidR="003247C5" w:rsidRPr="006330BD">
        <w:rPr>
          <w:rFonts w:asciiTheme="minorHAnsi" w:hAnsiTheme="minorHAnsi"/>
        </w:rPr>
        <w:instrText xml:space="preserve"> CDO</w:instrText>
      </w:r>
      <w:r w:rsidR="003247C5">
        <w:instrText xml:space="preserve">" </w:instrText>
      </w:r>
      <w:r w:rsidR="001858B5">
        <w:rPr>
          <w:rFonts w:cs="Times New Roman"/>
        </w:rPr>
        <w:fldChar w:fldCharType="end"/>
      </w:r>
      <w:r w:rsidR="00236D4E" w:rsidRPr="00124B71">
        <w:rPr>
          <w:rFonts w:cs="Times New Roman"/>
        </w:rPr>
        <w:t xml:space="preserve"> or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00236D4E" w:rsidRPr="00124B71">
        <w:rPr>
          <w:rFonts w:cs="Times New Roman"/>
        </w:rPr>
        <w:t>. A CDO derive</w:t>
      </w:r>
      <w:r w:rsidR="00E8397C" w:rsidRPr="00124B71">
        <w:rPr>
          <w:rFonts w:cs="Times New Roman"/>
        </w:rPr>
        <w:t xml:space="preserve">s its value from the underlying, </w:t>
      </w:r>
      <w:r w:rsidR="00236D4E" w:rsidRPr="00124B71">
        <w:rPr>
          <w:rFonts w:cs="Times New Roman"/>
        </w:rPr>
        <w:t>asset</w:t>
      </w:r>
      <w:r w:rsidR="000C3A68" w:rsidRPr="00124B71">
        <w:rPr>
          <w:rFonts w:cs="Times New Roman"/>
        </w:rPr>
        <w:t>-</w:t>
      </w:r>
      <w:r w:rsidR="00236D4E" w:rsidRPr="00124B71">
        <w:rPr>
          <w:rFonts w:cs="Times New Roman"/>
        </w:rPr>
        <w:t>backed securities</w:t>
      </w:r>
      <w:r w:rsidR="001858B5">
        <w:rPr>
          <w:rFonts w:cs="Times New Roman"/>
        </w:rPr>
        <w:fldChar w:fldCharType="begin"/>
      </w:r>
      <w:r w:rsidR="00FF74AC">
        <w:instrText xml:space="preserve"> XE "</w:instrText>
      </w:r>
      <w:r w:rsidR="00FF74AC" w:rsidRPr="000A5EFF">
        <w:rPr>
          <w:rFonts w:cs="Times New Roman"/>
        </w:rPr>
        <w:instrText>asset-backed securities</w:instrText>
      </w:r>
      <w:r w:rsidR="00FF74AC">
        <w:instrText xml:space="preserve">" </w:instrText>
      </w:r>
      <w:r w:rsidR="001858B5">
        <w:rPr>
          <w:rFonts w:cs="Times New Roman"/>
        </w:rPr>
        <w:fldChar w:fldCharType="end"/>
      </w:r>
      <w:r w:rsidR="000C3A68" w:rsidRPr="00124B71">
        <w:rPr>
          <w:rFonts w:cs="Times New Roman"/>
        </w:rPr>
        <w:t xml:space="preserve"> which in the Great Housing Bubble were generally bundle</w:t>
      </w:r>
      <w:r w:rsidR="00373BE7" w:rsidRPr="00124B71">
        <w:rPr>
          <w:rFonts w:cs="Times New Roman"/>
        </w:rPr>
        <w:t>s</w:t>
      </w:r>
      <w:r w:rsidR="000C3A68" w:rsidRPr="00124B71">
        <w:rPr>
          <w:rFonts w:cs="Times New Roman"/>
        </w:rPr>
        <w:t xml:space="preserve"> of mortgage loans. </w:t>
      </w:r>
      <w:r w:rsidR="002C1D80" w:rsidRPr="00124B71">
        <w:rPr>
          <w:rFonts w:cs="Times New Roman"/>
        </w:rPr>
        <w:t xml:space="preserve">Mortgage loans </w:t>
      </w:r>
      <w:r w:rsidR="00CD4A0B" w:rsidRPr="00124B71">
        <w:rPr>
          <w:rFonts w:cs="Times New Roman"/>
        </w:rPr>
        <w:t>generate</w:t>
      </w:r>
      <w:r w:rsidR="002C1D80" w:rsidRPr="00124B71">
        <w:rPr>
          <w:rFonts w:cs="Times New Roman"/>
        </w:rPr>
        <w:t xml:space="preserve"> a steady cashflow stream as </w:t>
      </w:r>
      <w:r w:rsidR="00A877A4" w:rsidRPr="00124B71">
        <w:rPr>
          <w:rFonts w:cs="Times New Roman"/>
        </w:rPr>
        <w:t>individual</w:t>
      </w:r>
      <w:r w:rsidR="002C1D80" w:rsidRPr="00124B71">
        <w:rPr>
          <w:rFonts w:cs="Times New Roman"/>
        </w:rPr>
        <w:t xml:space="preserve"> homeowner</w:t>
      </w:r>
      <w:r w:rsidR="00A877A4" w:rsidRPr="00124B71">
        <w:rPr>
          <w:rFonts w:cs="Times New Roman"/>
        </w:rPr>
        <w:t>s</w:t>
      </w:r>
      <w:r w:rsidR="002C1D80" w:rsidRPr="00124B71">
        <w:rPr>
          <w:rFonts w:cs="Times New Roman"/>
        </w:rPr>
        <w:t xml:space="preserve"> pay their mortgage obligation</w:t>
      </w:r>
      <w:r w:rsidR="00A877A4" w:rsidRPr="00124B71">
        <w:rPr>
          <w:rFonts w:cs="Times New Roman"/>
        </w:rPr>
        <w:t>s</w:t>
      </w:r>
      <w:r w:rsidR="002C1D80" w:rsidRPr="00124B71">
        <w:rPr>
          <w:rFonts w:cs="Times New Roman"/>
        </w:rPr>
        <w:t xml:space="preserve">, and these loans </w:t>
      </w:r>
      <w:r w:rsidR="00715F6A" w:rsidRPr="00124B71">
        <w:rPr>
          <w:rFonts w:cs="Times New Roman"/>
        </w:rPr>
        <w:t>are collateralized by residential real estate. In the event of default on the mortgage held by a CDO, a house can be put through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715F6A" w:rsidRPr="00124B71">
        <w:rPr>
          <w:rFonts w:cs="Times New Roman"/>
        </w:rPr>
        <w:t xml:space="preserve"> to satisfy the mortgage debt and thereby return capital to the CDO. </w:t>
      </w:r>
    </w:p>
    <w:p w14:paraId="34D00CAC" w14:textId="77777777" w:rsidR="009D1A2E" w:rsidRPr="00124B71" w:rsidRDefault="009D1A2E" w:rsidP="009D1A2E">
      <w:pPr>
        <w:rPr>
          <w:rFonts w:cs="Times New Roman"/>
        </w:rPr>
      </w:pPr>
      <w:r w:rsidRPr="00124B71">
        <w:rPr>
          <w:rFonts w:cs="Times New Roman"/>
        </w:rPr>
        <w:t>In any asset-backed security</w:t>
      </w:r>
      <w:r w:rsidR="001858B5">
        <w:rPr>
          <w:rFonts w:cs="Times New Roman"/>
        </w:rPr>
        <w:fldChar w:fldCharType="begin"/>
      </w:r>
      <w:r w:rsidR="004F312D">
        <w:instrText xml:space="preserve"> XE "</w:instrText>
      </w:r>
      <w:r w:rsidR="004F312D" w:rsidRPr="00421ED4">
        <w:rPr>
          <w:rFonts w:cs="Times New Roman"/>
        </w:rPr>
        <w:instrText>asset-backed security</w:instrText>
      </w:r>
      <w:r w:rsidR="004F312D">
        <w:instrText xml:space="preserve">" </w:instrText>
      </w:r>
      <w:r w:rsidR="001858B5">
        <w:rPr>
          <w:rFonts w:cs="Times New Roman"/>
        </w:rPr>
        <w:fldChar w:fldCharType="end"/>
      </w:r>
      <w:r w:rsidRPr="00124B71">
        <w:rPr>
          <w:rFonts w:cs="Times New Roman"/>
        </w:rPr>
        <w:t>, assets are bundled together to reduce risk and make the asset more attractive to investors. In contrast, if an individual buys a mortgage loan from a lender in order to receive the interest payments, this investor assumes all the risk of default. The default loss risk might be low, but if one party must bear this risk, the investor significantly discounts the security to compensate. However, if this individual investor buys a small share of a large pool of mortgage loans, the investor reduces risk exposure significantly and thereby the discount for purchasing it. The value of the security is increased by pooling and thereby lowering the risk. Also, for an individual investor to purchase a mortgage loan requires a significant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investment as mortgage loans are often in the hundreds of thousands of dollars. If a number of mortgage loans are pooled and sold off to many investors as shares or interests in a financial intermediary like a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Pr="00124B71">
        <w:rPr>
          <w:rFonts w:cs="Times New Roman"/>
        </w:rPr>
        <w:t>, the equity requirement can be lowered considerably thus opening this type of investment to a broader investment community. It is the spreading of risk and the lowering of equity thresholds that makes structured finance</w:t>
      </w:r>
      <w:r w:rsidR="001858B5">
        <w:rPr>
          <w:rFonts w:cs="Times New Roman"/>
        </w:rPr>
        <w:fldChar w:fldCharType="begin"/>
      </w:r>
      <w:r w:rsidR="003247C5">
        <w:instrText xml:space="preserve"> XE "</w:instrText>
      </w:r>
      <w:r w:rsidR="003247C5" w:rsidRPr="009F3643">
        <w:rPr>
          <w:rFonts w:cs="Times New Roman"/>
        </w:rPr>
        <w:instrText>structured finance</w:instrText>
      </w:r>
      <w:r w:rsidR="003247C5">
        <w:instrText xml:space="preserve">" </w:instrText>
      </w:r>
      <w:r w:rsidR="001858B5">
        <w:rPr>
          <w:rFonts w:cs="Times New Roman"/>
        </w:rPr>
        <w:fldChar w:fldCharType="end"/>
      </w:r>
      <w:r w:rsidRPr="00124B71">
        <w:rPr>
          <w:rFonts w:cs="Times New Roman"/>
        </w:rPr>
        <w:t xml:space="preserve"> such an appealing investment tool. </w:t>
      </w:r>
    </w:p>
    <w:p w14:paraId="2C82F0B6" w14:textId="77777777" w:rsidR="00236D4E" w:rsidRPr="00124B71" w:rsidRDefault="00236D4E" w:rsidP="0058484D">
      <w:pPr>
        <w:rPr>
          <w:rFonts w:cs="Times New Roman"/>
        </w:rPr>
      </w:pPr>
    </w:p>
    <w:p w14:paraId="365941DF" w14:textId="61700B5B" w:rsidR="00C75F62" w:rsidRPr="00EF0EDA" w:rsidRDefault="00CF05FE" w:rsidP="00C75F62">
      <w:pPr>
        <w:pStyle w:val="Caption"/>
      </w:pPr>
      <w:bookmarkStart w:id="93" w:name="_Toc238867455"/>
      <w:r>
        <w:lastRenderedPageBreak/>
        <w:t>Figure</w:t>
      </w:r>
      <w:r w:rsidR="00C75F62" w:rsidRPr="00EF0EDA">
        <w:t xml:space="preserve"> </w:t>
      </w:r>
      <w:fldSimple w:instr=" SEQ Figure \* ARABIC ">
        <w:r w:rsidR="00493733">
          <w:rPr>
            <w:noProof/>
          </w:rPr>
          <w:t>14</w:t>
        </w:r>
      </w:fldSimple>
      <w:r w:rsidR="00317936">
        <w:t xml:space="preserve">: </w:t>
      </w:r>
      <w:r w:rsidR="00C75F62" w:rsidRPr="00EF0EDA">
        <w:t>Structure of a Collateralized Debt Obligation</w:t>
      </w:r>
      <w:bookmarkEnd w:id="93"/>
    </w:p>
    <w:p w14:paraId="1940D3FE" w14:textId="77777777" w:rsidR="00C75F62" w:rsidRPr="00EF0EDA" w:rsidRDefault="00AD6CCE" w:rsidP="009D1A2E">
      <w:pPr>
        <w:pStyle w:val="Graphics"/>
      </w:pPr>
      <w:r>
        <w:drawing>
          <wp:inline distT="0" distB="0" distL="0" distR="0" wp14:anchorId="4402DE93" wp14:editId="3D217AA7">
            <wp:extent cx="1828800" cy="2560320"/>
            <wp:effectExtent l="19050" t="0" r="0" b="0"/>
            <wp:docPr id="79" name="Picture 78" descr="Structure of a Collateralized Debt Oblig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cture of a Collateralized Debt Obligation.jpg"/>
                    <pic:cNvPicPr/>
                  </pic:nvPicPr>
                  <pic:blipFill>
                    <a:blip r:embed="rId46" cstate="print"/>
                    <a:stretch>
                      <a:fillRect/>
                    </a:stretch>
                  </pic:blipFill>
                  <pic:spPr>
                    <a:xfrm>
                      <a:off x="0" y="0"/>
                      <a:ext cx="1828800" cy="2560320"/>
                    </a:xfrm>
                    <a:prstGeom prst="rect">
                      <a:avLst/>
                    </a:prstGeom>
                  </pic:spPr>
                </pic:pic>
              </a:graphicData>
            </a:graphic>
          </wp:inline>
        </w:drawing>
      </w:r>
    </w:p>
    <w:p w14:paraId="671171CA" w14:textId="77777777" w:rsidR="00C75F62" w:rsidRPr="00124B71" w:rsidRDefault="0058484D" w:rsidP="00C75F62">
      <w:pPr>
        <w:rPr>
          <w:rFonts w:cs="Times New Roman"/>
        </w:rPr>
      </w:pPr>
      <w:r w:rsidRPr="00124B71">
        <w:rPr>
          <w:rFonts w:cs="Times New Roman"/>
        </w:rPr>
        <w:t>Collateralized debt obligations, like other asset-backed securities</w:t>
      </w:r>
      <w:r w:rsidR="001858B5">
        <w:rPr>
          <w:rFonts w:cs="Times New Roman"/>
        </w:rPr>
        <w:fldChar w:fldCharType="begin"/>
      </w:r>
      <w:r w:rsidR="00FF74AC">
        <w:instrText xml:space="preserve"> XE "</w:instrText>
      </w:r>
      <w:r w:rsidR="00FF74AC" w:rsidRPr="000A5EFF">
        <w:rPr>
          <w:rFonts w:cs="Times New Roman"/>
        </w:rPr>
        <w:instrText>asset-backed securities</w:instrText>
      </w:r>
      <w:r w:rsidR="00FF74AC">
        <w:instrText xml:space="preserve">" </w:instrText>
      </w:r>
      <w:r w:rsidR="001858B5">
        <w:rPr>
          <w:rFonts w:cs="Times New Roman"/>
        </w:rPr>
        <w:fldChar w:fldCharType="end"/>
      </w:r>
      <w:r w:rsidRPr="00124B71">
        <w:rPr>
          <w:rFonts w:cs="Times New Roman"/>
        </w:rPr>
        <w:t>, are divided in segments known as tranches (rhymes with launches</w:t>
      </w:r>
      <w:r w:rsidR="00A40CA5" w:rsidRPr="00124B71">
        <w:rPr>
          <w:rFonts w:cs="Times New Roman"/>
        </w:rPr>
        <w:t>).</w:t>
      </w:r>
      <w:r w:rsidRPr="00124B71">
        <w:rPr>
          <w:rFonts w:cs="Times New Roman"/>
        </w:rPr>
        <w:t xml:space="preserve"> These tranches</w:t>
      </w:r>
      <w:r w:rsidR="000C3366" w:rsidRPr="00124B71">
        <w:rPr>
          <w:rFonts w:cs="Times New Roman"/>
        </w:rPr>
        <w:t xml:space="preserve"> are</w:t>
      </w:r>
      <w:r w:rsidR="00A235D5" w:rsidRPr="00124B71">
        <w:rPr>
          <w:rFonts w:cs="Times New Roman"/>
        </w:rPr>
        <w:t xml:space="preserve"> typically titled:</w:t>
      </w:r>
      <w:r w:rsidR="00F0240A" w:rsidRPr="00124B71">
        <w:rPr>
          <w:rFonts w:cs="Times New Roman"/>
        </w:rPr>
        <w:t xml:space="preserve"> senior, mezzanine and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FD5A08" w:rsidRPr="00124B71">
        <w:rPr>
          <w:rFonts w:cs="Times New Roman"/>
        </w:rPr>
        <w:t xml:space="preserve"> based on their risk exposure</w:t>
      </w:r>
      <w:r w:rsidR="000C3366" w:rsidRPr="00124B71">
        <w:rPr>
          <w:rFonts w:cs="Times New Roman"/>
        </w:rPr>
        <w:t>.</w:t>
      </w:r>
      <w:r w:rsidR="00F0240A" w:rsidRPr="00124B71">
        <w:rPr>
          <w:rFonts w:cs="Times New Roman"/>
        </w:rPr>
        <w:t xml:space="preserve"> There is no single structure or formula for a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00F0240A" w:rsidRPr="00124B71">
        <w:rPr>
          <w:rFonts w:cs="Times New Roman"/>
        </w:rPr>
        <w:t>, and many contain</w:t>
      </w:r>
      <w:r w:rsidR="00FD5A08" w:rsidRPr="00124B71">
        <w:rPr>
          <w:rFonts w:cs="Times New Roman"/>
        </w:rPr>
        <w:t xml:space="preserve"> numerous subdivisions resulting in</w:t>
      </w:r>
      <w:r w:rsidR="00F0240A" w:rsidRPr="00124B71">
        <w:rPr>
          <w:rFonts w:cs="Times New Roman"/>
        </w:rPr>
        <w:t xml:space="preserve"> more </w:t>
      </w:r>
      <w:r w:rsidR="00FD5A08" w:rsidRPr="00124B71">
        <w:rPr>
          <w:rFonts w:cs="Times New Roman"/>
        </w:rPr>
        <w:t>segments</w:t>
      </w:r>
      <w:r w:rsidR="00F0240A" w:rsidRPr="00124B71">
        <w:rPr>
          <w:rFonts w:cs="Times New Roman"/>
        </w:rPr>
        <w:t xml:space="preserve"> than the three described.</w:t>
      </w:r>
      <w:r w:rsidR="000C3366" w:rsidRPr="00124B71">
        <w:rPr>
          <w:rFonts w:cs="Times New Roman"/>
        </w:rPr>
        <w:t xml:space="preserve"> Similar to the lien</w:t>
      </w:r>
      <w:r w:rsidR="001858B5">
        <w:rPr>
          <w:rFonts w:cs="Times New Roman"/>
        </w:rPr>
        <w:fldChar w:fldCharType="begin"/>
      </w:r>
      <w:r w:rsidR="00180E6F">
        <w:instrText xml:space="preserve"> XE "</w:instrText>
      </w:r>
      <w:r w:rsidR="00180E6F" w:rsidRPr="00502317">
        <w:rPr>
          <w:rFonts w:cs="Times New Roman"/>
        </w:rPr>
        <w:instrText>lien</w:instrText>
      </w:r>
      <w:r w:rsidR="00180E6F">
        <w:instrText xml:space="preserve">" </w:instrText>
      </w:r>
      <w:r w:rsidR="001858B5">
        <w:rPr>
          <w:rFonts w:cs="Times New Roman"/>
        </w:rPr>
        <w:fldChar w:fldCharType="end"/>
      </w:r>
      <w:r w:rsidR="000C3366" w:rsidRPr="00124B71">
        <w:rPr>
          <w:rFonts w:cs="Times New Roman"/>
        </w:rPr>
        <w:t xml:space="preserve"> order of mortgage obligations, these tranches are paid in order of priority. The senior tranche</w:t>
      </w:r>
      <w:r w:rsidR="001858B5">
        <w:rPr>
          <w:rFonts w:cs="Times New Roman"/>
        </w:rPr>
        <w:fldChar w:fldCharType="begin"/>
      </w:r>
      <w:r w:rsidR="003247C5">
        <w:instrText xml:space="preserve"> XE "</w:instrText>
      </w:r>
      <w:r w:rsidR="003247C5" w:rsidRPr="003700F0">
        <w:rPr>
          <w:rFonts w:cs="Times New Roman"/>
        </w:rPr>
        <w:instrText>senior tranche</w:instrText>
      </w:r>
      <w:r w:rsidR="003247C5">
        <w:instrText xml:space="preserve">" </w:instrText>
      </w:r>
      <w:r w:rsidR="001858B5">
        <w:rPr>
          <w:rFonts w:cs="Times New Roman"/>
        </w:rPr>
        <w:fldChar w:fldCharType="end"/>
      </w:r>
      <w:r w:rsidR="000C3366" w:rsidRPr="00124B71">
        <w:rPr>
          <w:rFonts w:cs="Times New Roman"/>
        </w:rPr>
        <w:t xml:space="preserve"> is paid first, the mezzanine tranche</w:t>
      </w:r>
      <w:r w:rsidR="001858B5">
        <w:rPr>
          <w:rFonts w:cs="Times New Roman"/>
        </w:rPr>
        <w:fldChar w:fldCharType="begin"/>
      </w:r>
      <w:r w:rsidR="003247C5">
        <w:instrText xml:space="preserve"> XE "</w:instrText>
      </w:r>
      <w:r w:rsidR="003247C5" w:rsidRPr="00FA469A">
        <w:rPr>
          <w:rFonts w:cs="Times New Roman"/>
        </w:rPr>
        <w:instrText>mezzanine tranche</w:instrText>
      </w:r>
      <w:r w:rsidR="003247C5">
        <w:instrText xml:space="preserve">" </w:instrText>
      </w:r>
      <w:r w:rsidR="001858B5">
        <w:rPr>
          <w:rFonts w:cs="Times New Roman"/>
        </w:rPr>
        <w:fldChar w:fldCharType="end"/>
      </w:r>
      <w:r w:rsidR="000C3366" w:rsidRPr="00124B71">
        <w:rPr>
          <w:rFonts w:cs="Times New Roman"/>
        </w:rPr>
        <w:t xml:space="preserve"> </w:t>
      </w:r>
      <w:r w:rsidR="00B40A82" w:rsidRPr="00124B71">
        <w:rPr>
          <w:rFonts w:cs="Times New Roman"/>
        </w:rPr>
        <w:t>is</w:t>
      </w:r>
      <w:r w:rsidR="000C3366" w:rsidRPr="00124B71">
        <w:rPr>
          <w:rFonts w:cs="Times New Roman"/>
        </w:rPr>
        <w:t xml:space="preserve"> paid next, and finally the equity tranche</w:t>
      </w:r>
      <w:r w:rsidR="001858B5">
        <w:rPr>
          <w:rFonts w:cs="Times New Roman"/>
        </w:rPr>
        <w:fldChar w:fldCharType="begin"/>
      </w:r>
      <w:r w:rsidR="003247C5">
        <w:instrText xml:space="preserve"> XE "</w:instrText>
      </w:r>
      <w:r w:rsidR="003247C5" w:rsidRPr="00CD245B">
        <w:rPr>
          <w:rFonts w:cs="Times New Roman"/>
        </w:rPr>
        <w:instrText>equity tranche</w:instrText>
      </w:r>
      <w:r w:rsidR="003247C5">
        <w:instrText xml:space="preserve">" </w:instrText>
      </w:r>
      <w:r w:rsidR="001858B5">
        <w:rPr>
          <w:rFonts w:cs="Times New Roman"/>
        </w:rPr>
        <w:fldChar w:fldCharType="end"/>
      </w:r>
      <w:r w:rsidR="00B40A82" w:rsidRPr="00124B71">
        <w:rPr>
          <w:rFonts w:cs="Times New Roman"/>
        </w:rPr>
        <w:t xml:space="preserve"> is</w:t>
      </w:r>
      <w:r w:rsidR="000C3366" w:rsidRPr="00124B71">
        <w:rPr>
          <w:rFonts w:cs="Times New Roman"/>
        </w:rPr>
        <w:t xml:space="preserve"> paid any remainder. Since these obligations are paid in order, the senior tranche has the least risk exposure</w:t>
      </w:r>
      <w:r w:rsidR="00A235D5" w:rsidRPr="00124B71">
        <w:rPr>
          <w:rFonts w:cs="Times New Roman"/>
        </w:rPr>
        <w:t xml:space="preserve"> and lowest returns</w:t>
      </w:r>
      <w:r w:rsidR="000C3366" w:rsidRPr="00124B71">
        <w:rPr>
          <w:rFonts w:cs="Times New Roman"/>
        </w:rPr>
        <w:t xml:space="preserve">, and the equity tranche has the </w:t>
      </w:r>
      <w:r w:rsidR="00A235D5" w:rsidRPr="00124B71">
        <w:rPr>
          <w:rFonts w:cs="Times New Roman"/>
        </w:rPr>
        <w:t xml:space="preserve">highest risk and greatest </w:t>
      </w:r>
      <w:r w:rsidR="00FD5A08" w:rsidRPr="00124B71">
        <w:rPr>
          <w:rFonts w:cs="Times New Roman"/>
        </w:rPr>
        <w:t xml:space="preserve">potential for </w:t>
      </w:r>
      <w:r w:rsidR="00A235D5" w:rsidRPr="00124B71">
        <w:rPr>
          <w:rFonts w:cs="Times New Roman"/>
        </w:rPr>
        <w:t>return</w:t>
      </w:r>
      <w:r w:rsidR="000C3366" w:rsidRPr="00124B71">
        <w:rPr>
          <w:rFonts w:cs="Times New Roman"/>
        </w:rPr>
        <w:t>.</w:t>
      </w:r>
      <w:r w:rsidR="00722A57" w:rsidRPr="00124B71">
        <w:rPr>
          <w:rFonts w:cs="Times New Roman"/>
        </w:rPr>
        <w:t xml:space="preserve"> To further lessen risk (and make the transaction even more complicated) insurance policies are often issued to insure the buyer of a senior tranche against loss. These policies known as credit default swaps</w:t>
      </w:r>
      <w:r w:rsidR="001858B5">
        <w:rPr>
          <w:rFonts w:cs="Times New Roman"/>
        </w:rPr>
        <w:fldChar w:fldCharType="begin"/>
      </w:r>
      <w:r w:rsidR="003247C5">
        <w:instrText xml:space="preserve"> XE "</w:instrText>
      </w:r>
      <w:r w:rsidR="003247C5" w:rsidRPr="00196C60">
        <w:rPr>
          <w:rFonts w:cs="Times New Roman"/>
        </w:rPr>
        <w:instrText>credit default swaps</w:instrText>
      </w:r>
      <w:r w:rsidR="003247C5">
        <w:instrText xml:space="preserve">" </w:instrText>
      </w:r>
      <w:r w:rsidR="001858B5">
        <w:rPr>
          <w:rFonts w:cs="Times New Roman"/>
        </w:rPr>
        <w:fldChar w:fldCharType="end"/>
      </w:r>
      <w:r w:rsidR="00722A57" w:rsidRPr="00124B71">
        <w:rPr>
          <w:rFonts w:cs="Times New Roman"/>
        </w:rPr>
        <w:t xml:space="preserve"> were a very lucrative business during the Great Housing Bubble. It was such good business that many insurers took </w:t>
      </w:r>
      <w:r w:rsidR="002264F7" w:rsidRPr="00124B71">
        <w:rPr>
          <w:rFonts w:cs="Times New Roman"/>
        </w:rPr>
        <w:t>excessive risks and lost a great deal of money when hous</w:t>
      </w:r>
      <w:r w:rsidR="003910C9" w:rsidRPr="00124B71">
        <w:rPr>
          <w:rFonts w:cs="Times New Roman"/>
        </w:rPr>
        <w:t>e</w:t>
      </w:r>
      <w:r w:rsidR="002264F7" w:rsidRPr="00124B71">
        <w:rPr>
          <w:rFonts w:cs="Times New Roman"/>
        </w:rPr>
        <w:t xml:space="preserve"> prices declined</w:t>
      </w:r>
      <w:r w:rsidR="00635AA0" w:rsidRPr="00124B71">
        <w:rPr>
          <w:rFonts w:cs="Times New Roman"/>
        </w:rPr>
        <w:t xml:space="preserve">. </w:t>
      </w:r>
      <w:r w:rsidR="00783BB3" w:rsidRPr="00124B71">
        <w:rPr>
          <w:rStyle w:val="EndnoteReference"/>
          <w:rFonts w:cs="Times New Roman"/>
        </w:rPr>
        <w:endnoteReference w:id="66"/>
      </w:r>
    </w:p>
    <w:p w14:paraId="23474D44" w14:textId="77777777" w:rsidR="00466CAA" w:rsidRPr="00124B71" w:rsidRDefault="002264F7" w:rsidP="000031C7">
      <w:pPr>
        <w:suppressAutoHyphens/>
        <w:rPr>
          <w:rFonts w:cs="Times New Roman"/>
        </w:rPr>
      </w:pPr>
      <w:r w:rsidRPr="00124B71">
        <w:rPr>
          <w:rFonts w:cs="Times New Roman"/>
        </w:rPr>
        <w:t>The real magic of structured finance</w:t>
      </w:r>
      <w:r w:rsidR="001858B5">
        <w:rPr>
          <w:rFonts w:cs="Times New Roman"/>
        </w:rPr>
        <w:fldChar w:fldCharType="begin"/>
      </w:r>
      <w:r w:rsidR="003247C5">
        <w:instrText xml:space="preserve"> XE "</w:instrText>
      </w:r>
      <w:r w:rsidR="003247C5" w:rsidRPr="009F3643">
        <w:rPr>
          <w:rFonts w:cs="Times New Roman"/>
        </w:rPr>
        <w:instrText>structured finance</w:instrText>
      </w:r>
      <w:r w:rsidR="003247C5">
        <w:instrText xml:space="preserve">" </w:instrText>
      </w:r>
      <w:r w:rsidR="001858B5">
        <w:rPr>
          <w:rFonts w:cs="Times New Roman"/>
        </w:rPr>
        <w:fldChar w:fldCharType="end"/>
      </w:r>
      <w:r w:rsidRPr="00124B71">
        <w:rPr>
          <w:rFonts w:cs="Times New Roman"/>
        </w:rPr>
        <w:t xml:space="preserve"> is its ability to take assets of low investment quality and turn it into something viable</w:t>
      </w:r>
      <w:r w:rsidR="00A235D5" w:rsidRPr="00124B71">
        <w:rPr>
          <w:rFonts w:cs="Times New Roman"/>
        </w:rPr>
        <w:t>. George Soros</w:t>
      </w:r>
      <w:r w:rsidR="001858B5">
        <w:rPr>
          <w:rFonts w:cs="Times New Roman"/>
        </w:rPr>
        <w:fldChar w:fldCharType="begin"/>
      </w:r>
      <w:r w:rsidR="003247C5">
        <w:instrText xml:space="preserve"> XE "</w:instrText>
      </w:r>
      <w:r w:rsidR="003247C5" w:rsidRPr="002122A7">
        <w:rPr>
          <w:rFonts w:cs="Times New Roman"/>
        </w:rPr>
        <w:instrText>George Soros</w:instrText>
      </w:r>
      <w:r w:rsidR="003247C5">
        <w:instrText xml:space="preserve">" </w:instrText>
      </w:r>
      <w:r w:rsidR="001858B5">
        <w:rPr>
          <w:rFonts w:cs="Times New Roman"/>
        </w:rPr>
        <w:fldChar w:fldCharType="end"/>
      </w:r>
      <w:r w:rsidR="00A235D5" w:rsidRPr="00124B71">
        <w:rPr>
          <w:rFonts w:cs="Times New Roman"/>
        </w:rPr>
        <w:t xml:space="preserve"> aptly titled his book, “The Alchemy of Finance.”</w:t>
      </w:r>
      <w:r w:rsidR="00635AA0" w:rsidRPr="00124B71">
        <w:rPr>
          <w:rFonts w:cs="Times New Roman"/>
        </w:rPr>
        <w:t xml:space="preserve"> </w:t>
      </w:r>
      <w:r w:rsidR="00656E6C" w:rsidRPr="00124B71">
        <w:rPr>
          <w:rStyle w:val="EndnoteReference"/>
          <w:rFonts w:cs="Times New Roman"/>
        </w:rPr>
        <w:endnoteReference w:id="67"/>
      </w:r>
      <w:r w:rsidR="002F7AD9" w:rsidRPr="00124B71">
        <w:rPr>
          <w:rFonts w:cs="Times New Roman"/>
        </w:rPr>
        <w:t xml:space="preserve"> </w:t>
      </w:r>
      <w:r w:rsidR="00A235D5" w:rsidRPr="00124B71">
        <w:rPr>
          <w:rFonts w:cs="Times New Roman"/>
        </w:rPr>
        <w:t xml:space="preserve">Like the alchemists of medieval Europe, modern </w:t>
      </w:r>
      <w:r w:rsidR="00375DDD" w:rsidRPr="00124B71">
        <w:rPr>
          <w:rFonts w:cs="Times New Roman"/>
        </w:rPr>
        <w:t>investment bankers</w:t>
      </w:r>
      <w:r w:rsidR="00A235D5" w:rsidRPr="00124B71">
        <w:rPr>
          <w:rFonts w:cs="Times New Roman"/>
        </w:rPr>
        <w:t xml:space="preserve"> tr</w:t>
      </w:r>
      <w:r w:rsidR="00375DDD" w:rsidRPr="00124B71">
        <w:rPr>
          <w:rFonts w:cs="Times New Roman"/>
        </w:rPr>
        <w:t>y</w:t>
      </w:r>
      <w:r w:rsidR="00A235D5" w:rsidRPr="00124B71">
        <w:rPr>
          <w:rFonts w:cs="Times New Roman"/>
        </w:rPr>
        <w:t xml:space="preserve"> to turn lead into gold.</w:t>
      </w:r>
      <w:r w:rsidRPr="00124B71">
        <w:rPr>
          <w:rFonts w:cs="Times New Roman"/>
        </w:rPr>
        <w:t xml:space="preserve"> </w:t>
      </w:r>
      <w:r w:rsidR="00BA7E45" w:rsidRPr="00124B71">
        <w:rPr>
          <w:rFonts w:cs="Times New Roman"/>
        </w:rPr>
        <w:t>The syndicators who create and manage collateralized debt obligations</w:t>
      </w:r>
      <w:r w:rsidR="00466CAA" w:rsidRPr="00124B71">
        <w:rPr>
          <w:rFonts w:cs="Times New Roman"/>
        </w:rPr>
        <w:t xml:space="preserve"> assess the risk of loss on the underlying asset and break it down into three categories corresponding to the three tranches. The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466CAA" w:rsidRPr="00124B71">
        <w:rPr>
          <w:rFonts w:cs="Times New Roman"/>
        </w:rPr>
        <w:t xml:space="preserve"> tranche in a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00466CAA" w:rsidRPr="00124B71">
        <w:rPr>
          <w:rFonts w:cs="Times New Roman"/>
        </w:rPr>
        <w:t xml:space="preserve"> assumes the expected risk of loss. For example, if subprime loans expect an 8% loss from defaults, then the equity tranche</w:t>
      </w:r>
      <w:r w:rsidR="001858B5">
        <w:rPr>
          <w:rFonts w:cs="Times New Roman"/>
        </w:rPr>
        <w:fldChar w:fldCharType="begin"/>
      </w:r>
      <w:r w:rsidR="003247C5">
        <w:instrText xml:space="preserve"> XE "</w:instrText>
      </w:r>
      <w:r w:rsidR="003247C5" w:rsidRPr="00CD245B">
        <w:rPr>
          <w:rFonts w:cs="Times New Roman"/>
        </w:rPr>
        <w:instrText>equity tranche</w:instrText>
      </w:r>
      <w:r w:rsidR="003247C5">
        <w:instrText xml:space="preserve">" </w:instrText>
      </w:r>
      <w:r w:rsidR="001858B5">
        <w:rPr>
          <w:rFonts w:cs="Times New Roman"/>
        </w:rPr>
        <w:fldChar w:fldCharType="end"/>
      </w:r>
      <w:r w:rsidR="00466CAA" w:rsidRPr="00124B71">
        <w:rPr>
          <w:rFonts w:cs="Times New Roman"/>
        </w:rPr>
        <w:t xml:space="preserve"> will be 8% of the CDO. The syndicator typically keeps this equity tranche as part of their incentive fee, but practically speaking, the discount would be so steep it is hardly worth selling. If defaults losses are less than 8%, </w:t>
      </w:r>
      <w:r w:rsidR="00466CAA" w:rsidRPr="00124B71">
        <w:rPr>
          <w:rFonts w:cs="Times New Roman"/>
        </w:rPr>
        <w:lastRenderedPageBreak/>
        <w:t>they see tremendous profits, and if it is over 8%, they see nothing. The Mezzanine tranche assumes the risk beyond the expected risk. If the average default loss is around 8%, and the highest default loss ever recorded is 24%, the mezzanine tranche</w:t>
      </w:r>
      <w:r w:rsidR="001858B5">
        <w:rPr>
          <w:rFonts w:cs="Times New Roman"/>
        </w:rPr>
        <w:fldChar w:fldCharType="begin"/>
      </w:r>
      <w:r w:rsidR="003247C5">
        <w:instrText xml:space="preserve"> XE "</w:instrText>
      </w:r>
      <w:r w:rsidR="003247C5" w:rsidRPr="00FA469A">
        <w:rPr>
          <w:rFonts w:cs="Times New Roman"/>
        </w:rPr>
        <w:instrText>mezzanine tranche</w:instrText>
      </w:r>
      <w:r w:rsidR="003247C5">
        <w:instrText xml:space="preserve">" </w:instrText>
      </w:r>
      <w:r w:rsidR="001858B5">
        <w:rPr>
          <w:rFonts w:cs="Times New Roman"/>
        </w:rPr>
        <w:fldChar w:fldCharType="end"/>
      </w:r>
      <w:r w:rsidR="00466CAA" w:rsidRPr="00124B71">
        <w:rPr>
          <w:rFonts w:cs="Times New Roman"/>
        </w:rPr>
        <w:t xml:space="preserve"> exists to take on this risk. There is a very good chance they will see most or all of their money because the average default loss is being absorbed by the equity tranche. The senior tranche</w:t>
      </w:r>
      <w:r w:rsidR="001858B5">
        <w:rPr>
          <w:rFonts w:cs="Times New Roman"/>
        </w:rPr>
        <w:fldChar w:fldCharType="begin"/>
      </w:r>
      <w:r w:rsidR="003247C5">
        <w:instrText xml:space="preserve"> XE "</w:instrText>
      </w:r>
      <w:r w:rsidR="003247C5" w:rsidRPr="003700F0">
        <w:rPr>
          <w:rFonts w:cs="Times New Roman"/>
        </w:rPr>
        <w:instrText>senior tranche</w:instrText>
      </w:r>
      <w:r w:rsidR="003247C5">
        <w:instrText xml:space="preserve">" </w:instrText>
      </w:r>
      <w:r w:rsidR="001858B5">
        <w:rPr>
          <w:rFonts w:cs="Times New Roman"/>
        </w:rPr>
        <w:fldChar w:fldCharType="end"/>
      </w:r>
      <w:r w:rsidR="00466CAA" w:rsidRPr="00124B71">
        <w:rPr>
          <w:rFonts w:cs="Times New Roman"/>
        </w:rPr>
        <w:t xml:space="preserve"> is supposed to have no risk from default loss. The line between mezzanine and senior is at or beyond the highest default </w:t>
      </w:r>
      <w:r w:rsidR="003F7ADD" w:rsidRPr="00124B71">
        <w:rPr>
          <w:rFonts w:cs="Times New Roman"/>
        </w:rPr>
        <w:t xml:space="preserve">loss </w:t>
      </w:r>
      <w:r w:rsidR="00466CAA" w:rsidRPr="00124B71">
        <w:rPr>
          <w:rFonts w:cs="Times New Roman"/>
        </w:rPr>
        <w:t>rate ever recorded. This is not to say there is no risk, but it would take an unprecedented event to see any losses in this tranche</w:t>
      </w:r>
      <w:r w:rsidR="007C469A">
        <w:rPr>
          <w:rFonts w:cs="Times New Roman"/>
        </w:rPr>
        <w:t>–</w:t>
      </w:r>
      <w:r w:rsidR="00466CAA" w:rsidRPr="00124B71">
        <w:rPr>
          <w:rFonts w:cs="Times New Roman"/>
        </w:rPr>
        <w:t xml:space="preserve">something like the collapse of </w:t>
      </w:r>
      <w:r w:rsidR="001A34D5">
        <w:rPr>
          <w:rFonts w:cs="Times New Roman"/>
        </w:rPr>
        <w:t>the Great Housing Bubble</w:t>
      </w:r>
      <w:r w:rsidR="00466CAA" w:rsidRPr="00124B71">
        <w:rPr>
          <w:rFonts w:cs="Times New Roman"/>
        </w:rPr>
        <w:t>.</w:t>
      </w:r>
    </w:p>
    <w:p w14:paraId="016BFF5A" w14:textId="77777777" w:rsidR="00697005" w:rsidRPr="00124B71" w:rsidRDefault="00697005" w:rsidP="00697005">
      <w:pPr>
        <w:rPr>
          <w:rFonts w:cs="Times New Roman"/>
        </w:rPr>
      </w:pPr>
      <w:r w:rsidRPr="00124B71">
        <w:rPr>
          <w:rFonts w:cs="Times New Roman"/>
        </w:rPr>
        <w:t>Syndicators</w:t>
      </w:r>
      <w:r w:rsidR="001858B5">
        <w:rPr>
          <w:rFonts w:cs="Times New Roman"/>
        </w:rPr>
        <w:fldChar w:fldCharType="begin"/>
      </w:r>
      <w:r w:rsidR="003247C5">
        <w:instrText xml:space="preserve"> XE "</w:instrText>
      </w:r>
      <w:r w:rsidR="003247C5" w:rsidRPr="00811B7F">
        <w:rPr>
          <w:rFonts w:cs="Times New Roman"/>
        </w:rPr>
        <w:instrText>Syndicators</w:instrText>
      </w:r>
      <w:r w:rsidR="003247C5">
        <w:instrText xml:space="preserve">" </w:instrText>
      </w:r>
      <w:r w:rsidR="001858B5">
        <w:rPr>
          <w:rFonts w:cs="Times New Roman"/>
        </w:rPr>
        <w:fldChar w:fldCharType="end"/>
      </w:r>
      <w:r w:rsidRPr="00124B71">
        <w:rPr>
          <w:rFonts w:cs="Times New Roman"/>
        </w:rPr>
        <w:t xml:space="preserve"> of collateralized debt obligations go to the open market to raise sufficient capital to buy the necessary securities and cover their fees. Since there is very little risk to the senior tranche</w:t>
      </w:r>
      <w:r w:rsidR="001858B5">
        <w:rPr>
          <w:rFonts w:cs="Times New Roman"/>
        </w:rPr>
        <w:fldChar w:fldCharType="begin"/>
      </w:r>
      <w:r w:rsidR="003247C5">
        <w:instrText xml:space="preserve"> XE "</w:instrText>
      </w:r>
      <w:r w:rsidR="003247C5" w:rsidRPr="003700F0">
        <w:rPr>
          <w:rFonts w:cs="Times New Roman"/>
        </w:rPr>
        <w:instrText>senior tranche</w:instrText>
      </w:r>
      <w:r w:rsidR="003247C5">
        <w:instrText xml:space="preserve">" </w:instrText>
      </w:r>
      <w:r w:rsidR="001858B5">
        <w:rPr>
          <w:rFonts w:cs="Times New Roman"/>
        </w:rPr>
        <w:fldChar w:fldCharType="end"/>
      </w:r>
      <w:r w:rsidRPr="00124B71">
        <w:rPr>
          <w:rFonts w:cs="Times New Roman"/>
        </w:rPr>
        <w:t xml:space="preserve"> holders, they require a </w:t>
      </w:r>
      <w:r w:rsidR="00E23673" w:rsidRPr="00124B71">
        <w:rPr>
          <w:rFonts w:cs="Times New Roman"/>
        </w:rPr>
        <w:t>lesser</w:t>
      </w:r>
      <w:r w:rsidRPr="00124B71">
        <w:rPr>
          <w:rFonts w:cs="Times New Roman"/>
        </w:rPr>
        <w:t xml:space="preserve"> return on their investment. Although they own 76% of the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Pr="00124B71">
        <w:rPr>
          <w:rFonts w:cs="Times New Roman"/>
        </w:rPr>
        <w:t xml:space="preserve"> and receive 76% of the cashflow, they will pay more than 76% of the capital costs of the syndication (close to 85%) and still receive their required rate of return because the underlying subprime loan pool is paying </w:t>
      </w:r>
      <w:r w:rsidR="00E23673" w:rsidRPr="00124B71">
        <w:rPr>
          <w:rFonts w:cs="Times New Roman"/>
        </w:rPr>
        <w:t>in excess of the return required by senior tranche holders</w:t>
      </w:r>
      <w:r w:rsidRPr="00124B71">
        <w:rPr>
          <w:rFonts w:cs="Times New Roman"/>
        </w:rPr>
        <w:t>. The mezzanine tranche</w:t>
      </w:r>
      <w:r w:rsidR="001858B5">
        <w:rPr>
          <w:rFonts w:cs="Times New Roman"/>
        </w:rPr>
        <w:fldChar w:fldCharType="begin"/>
      </w:r>
      <w:r w:rsidR="003247C5">
        <w:instrText xml:space="preserve"> XE "</w:instrText>
      </w:r>
      <w:r w:rsidR="003247C5" w:rsidRPr="00FA469A">
        <w:rPr>
          <w:rFonts w:cs="Times New Roman"/>
        </w:rPr>
        <w:instrText>mezzanine tranche</w:instrText>
      </w:r>
      <w:r w:rsidR="003247C5">
        <w:instrText xml:space="preserve">" </w:instrText>
      </w:r>
      <w:r w:rsidR="001858B5">
        <w:rPr>
          <w:rFonts w:cs="Times New Roman"/>
        </w:rPr>
        <w:fldChar w:fldCharType="end"/>
      </w:r>
      <w:r w:rsidRPr="00124B71">
        <w:rPr>
          <w:rFonts w:cs="Times New Roman"/>
        </w:rPr>
        <w:t xml:space="preserve"> has more risk, and they will require a higher rate of return more closely approximating the interest rate on the underlying subprime mortgage. The remaining cost of the syndication is raised by the mezzanine tranche. The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tranche raises no additional capital, and it is generally kept on the books of the syndicator as a bonus.</w:t>
      </w:r>
    </w:p>
    <w:p w14:paraId="272FC469" w14:textId="69A15FF2" w:rsidR="00127EA0" w:rsidRPr="00124B71" w:rsidRDefault="00745273" w:rsidP="00697005">
      <w:pPr>
        <w:rPr>
          <w:rFonts w:cs="Times New Roman"/>
        </w:rPr>
      </w:pPr>
      <w:r w:rsidRPr="00124B71">
        <w:rPr>
          <w:rFonts w:cs="Times New Roman"/>
        </w:rPr>
        <w:t>One can argue that structured finance</w:t>
      </w:r>
      <w:r w:rsidR="001858B5">
        <w:rPr>
          <w:rFonts w:cs="Times New Roman"/>
        </w:rPr>
        <w:fldChar w:fldCharType="begin"/>
      </w:r>
      <w:r w:rsidR="003247C5">
        <w:instrText xml:space="preserve"> XE "</w:instrText>
      </w:r>
      <w:r w:rsidR="003247C5" w:rsidRPr="009F3643">
        <w:rPr>
          <w:rFonts w:cs="Times New Roman"/>
        </w:rPr>
        <w:instrText>structured finance</w:instrText>
      </w:r>
      <w:r w:rsidR="003247C5">
        <w:instrText xml:space="preserve">" </w:instrText>
      </w:r>
      <w:r w:rsidR="001858B5">
        <w:rPr>
          <w:rFonts w:cs="Times New Roman"/>
        </w:rPr>
        <w:fldChar w:fldCharType="end"/>
      </w:r>
      <w:r w:rsidRPr="00124B71">
        <w:rPr>
          <w:rFonts w:cs="Times New Roman"/>
        </w:rPr>
        <w:t xml:space="preserve"> creates greater efficiency in our financial system because capital is freed to pursue other objectives. Although, it can also be argued, as Warren Buffet</w:t>
      </w:r>
      <w:r w:rsidR="001858B5">
        <w:rPr>
          <w:rFonts w:cs="Times New Roman"/>
        </w:rPr>
        <w:fldChar w:fldCharType="begin"/>
      </w:r>
      <w:r w:rsidR="003247C5">
        <w:instrText xml:space="preserve"> XE "</w:instrText>
      </w:r>
      <w:r w:rsidR="003247C5" w:rsidRPr="00414028">
        <w:rPr>
          <w:rFonts w:cs="Times New Roman"/>
        </w:rPr>
        <w:instrText>Warren Buffet</w:instrText>
      </w:r>
      <w:r w:rsidR="003247C5">
        <w:instrText xml:space="preserve">" </w:instrText>
      </w:r>
      <w:r w:rsidR="001858B5">
        <w:rPr>
          <w:rFonts w:cs="Times New Roman"/>
        </w:rPr>
        <w:fldChar w:fldCharType="end"/>
      </w:r>
      <w:r w:rsidRPr="00124B71">
        <w:rPr>
          <w:rFonts w:cs="Times New Roman"/>
        </w:rPr>
        <w:t xml:space="preserve"> has, that derivatives, the product of structured finance, are “financial weapons of mass destruction.”</w:t>
      </w:r>
      <w:r w:rsidR="00656E6C" w:rsidRPr="00124B71">
        <w:rPr>
          <w:rFonts w:cs="Times New Roman"/>
        </w:rPr>
        <w:t xml:space="preserve"> </w:t>
      </w:r>
      <w:sdt>
        <w:sdtPr>
          <w:rPr>
            <w:rFonts w:cs="Times New Roman"/>
          </w:rPr>
          <w:id w:val="932359"/>
          <w:citation/>
        </w:sdtPr>
        <w:sdtContent>
          <w:r w:rsidR="001858B5" w:rsidRPr="00124B71">
            <w:rPr>
              <w:rFonts w:cs="Times New Roman"/>
            </w:rPr>
            <w:fldChar w:fldCharType="begin"/>
          </w:r>
          <w:r w:rsidR="00F43CEA" w:rsidRPr="00124B71">
            <w:rPr>
              <w:rFonts w:cs="Times New Roman"/>
            </w:rPr>
            <w:instrText xml:space="preserve"> CITATION War02 \l 1033 </w:instrText>
          </w:r>
          <w:r w:rsidR="001858B5" w:rsidRPr="00124B71">
            <w:rPr>
              <w:rFonts w:cs="Times New Roman"/>
            </w:rPr>
            <w:fldChar w:fldCharType="separate"/>
          </w:r>
          <w:r w:rsidR="007E3004" w:rsidRPr="007E3004">
            <w:rPr>
              <w:rFonts w:cs="Times New Roman"/>
              <w:noProof/>
            </w:rPr>
            <w:t>(Buffet, 2002)</w:t>
          </w:r>
          <w:r w:rsidR="001858B5" w:rsidRPr="00124B71">
            <w:rPr>
              <w:rFonts w:cs="Times New Roman"/>
            </w:rPr>
            <w:fldChar w:fldCharType="end"/>
          </w:r>
        </w:sdtContent>
      </w:sdt>
      <w:r w:rsidRPr="00124B71">
        <w:rPr>
          <w:rFonts w:cs="Times New Roman"/>
        </w:rPr>
        <w:t xml:space="preserve"> Both arguments stem from the same characteristic of these securities: excessive debt. </w:t>
      </w:r>
      <w:r w:rsidR="00127EA0" w:rsidRPr="00124B71">
        <w:rPr>
          <w:rFonts w:cs="Times New Roman"/>
        </w:rPr>
        <w:t>When the loan that became part of the collateralized debt obligation was originated, this money was created out of nothing by the originating lender. This is how all money is created in a fractional reserve banking system</w:t>
      </w:r>
      <w:r w:rsidR="001858B5">
        <w:rPr>
          <w:rFonts w:cs="Times New Roman"/>
        </w:rPr>
        <w:fldChar w:fldCharType="begin"/>
      </w:r>
      <w:r w:rsidR="003247C5">
        <w:instrText xml:space="preserve"> XE "</w:instrText>
      </w:r>
      <w:r w:rsidR="003247C5" w:rsidRPr="000D5EB7">
        <w:rPr>
          <w:rFonts w:cs="Times New Roman"/>
        </w:rPr>
        <w:instrText>fractional reserve banking system</w:instrText>
      </w:r>
      <w:r w:rsidR="003247C5">
        <w:instrText xml:space="preserve">" </w:instrText>
      </w:r>
      <w:r w:rsidR="001858B5">
        <w:rPr>
          <w:rFonts w:cs="Times New Roman"/>
        </w:rPr>
        <w:fldChar w:fldCharType="end"/>
      </w:r>
      <w:r w:rsidR="00656E6C" w:rsidRPr="00124B71">
        <w:rPr>
          <w:rFonts w:cs="Times New Roman"/>
        </w:rPr>
        <w:t xml:space="preserve"> </w:t>
      </w:r>
      <w:sdt>
        <w:sdtPr>
          <w:rPr>
            <w:rFonts w:cs="Times New Roman"/>
          </w:rPr>
          <w:id w:val="932360"/>
          <w:citation/>
        </w:sdtPr>
        <w:sdtContent>
          <w:r w:rsidR="001858B5" w:rsidRPr="00124B71">
            <w:rPr>
              <w:rFonts w:cs="Times New Roman"/>
            </w:rPr>
            <w:fldChar w:fldCharType="begin"/>
          </w:r>
          <w:r w:rsidR="00F43CEA" w:rsidRPr="00124B71">
            <w:rPr>
              <w:rFonts w:cs="Times New Roman"/>
            </w:rPr>
            <w:instrText xml:space="preserve"> CITATION She05 \l 1033 </w:instrText>
          </w:r>
          <w:r w:rsidR="001858B5" w:rsidRPr="00124B71">
            <w:rPr>
              <w:rFonts w:cs="Times New Roman"/>
            </w:rPr>
            <w:fldChar w:fldCharType="separate"/>
          </w:r>
          <w:r w:rsidR="007E3004" w:rsidRPr="007E3004">
            <w:rPr>
              <w:rFonts w:cs="Times New Roman"/>
              <w:noProof/>
            </w:rPr>
            <w:t>(Heffernan, 2005)</w:t>
          </w:r>
          <w:r w:rsidR="001858B5" w:rsidRPr="00124B71">
            <w:rPr>
              <w:rFonts w:cs="Times New Roman"/>
            </w:rPr>
            <w:fldChar w:fldCharType="end"/>
          </w:r>
        </w:sdtContent>
      </w:sdt>
      <w:r w:rsidR="00127EA0" w:rsidRPr="00124B71">
        <w:rPr>
          <w:rFonts w:cs="Times New Roman"/>
        </w:rPr>
        <w:t xml:space="preserve">. </w:t>
      </w:r>
      <w:r w:rsidR="00F15C2E" w:rsidRPr="00124B71">
        <w:rPr>
          <w:rFonts w:cs="Times New Roman"/>
        </w:rPr>
        <w:t xml:space="preserve">As long as there is sufficient cashflow, debt creation is </w:t>
      </w:r>
      <w:r w:rsidR="00E773F6" w:rsidRPr="00124B71">
        <w:rPr>
          <w:rFonts w:cs="Times New Roman"/>
        </w:rPr>
        <w:t>normal</w:t>
      </w:r>
      <w:r w:rsidR="00F15C2E" w:rsidRPr="00124B71">
        <w:rPr>
          <w:rFonts w:cs="Times New Roman"/>
        </w:rPr>
        <w:t xml:space="preserve">; however, when excessive debt is </w:t>
      </w:r>
      <w:r w:rsidR="00127EA0" w:rsidRPr="00124B71">
        <w:rPr>
          <w:rFonts w:cs="Times New Roman"/>
        </w:rPr>
        <w:t>created</w:t>
      </w:r>
      <w:r w:rsidR="00F15C2E" w:rsidRPr="00124B71">
        <w:rPr>
          <w:rFonts w:cs="Times New Roman"/>
        </w:rPr>
        <w:t xml:space="preserve"> and available cashflow cannot service this debt</w:t>
      </w:r>
      <w:r w:rsidR="00E773F6" w:rsidRPr="00124B71">
        <w:rPr>
          <w:rFonts w:cs="Times New Roman"/>
        </w:rPr>
        <w:t>, the system experiences the</w:t>
      </w:r>
      <w:r w:rsidR="00127EA0" w:rsidRPr="00124B71">
        <w:rPr>
          <w:rFonts w:cs="Times New Roman"/>
        </w:rPr>
        <w:t xml:space="preserve"> </w:t>
      </w:r>
      <w:r w:rsidR="00E773F6" w:rsidRPr="00124B71">
        <w:rPr>
          <w:rFonts w:cs="Times New Roman"/>
        </w:rPr>
        <w:t xml:space="preserve">very serious </w:t>
      </w:r>
      <w:r w:rsidR="00127EA0" w:rsidRPr="00124B71">
        <w:rPr>
          <w:rFonts w:cs="Times New Roman"/>
        </w:rPr>
        <w:t xml:space="preserve">problem of </w:t>
      </w:r>
      <w:r w:rsidR="00F15C2E" w:rsidRPr="00124B71">
        <w:rPr>
          <w:rFonts w:cs="Times New Roman"/>
        </w:rPr>
        <w:t>insolvency</w:t>
      </w:r>
      <w:r w:rsidR="00EA7B9C" w:rsidRPr="00124B71">
        <w:rPr>
          <w:rFonts w:cs="Times New Roman"/>
        </w:rPr>
        <w:t xml:space="preserve"> which can lead to monetary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\t "</w:instrText>
      </w:r>
      <w:r w:rsidR="003247C5" w:rsidRPr="00244AC9">
        <w:rPr>
          <w:rFonts w:asciiTheme="minorHAnsi" w:hAnsiTheme="minorHAnsi"/>
          <w:i/>
        </w:rPr>
        <w:instrText>See</w:instrText>
      </w:r>
      <w:r w:rsidR="003247C5" w:rsidRPr="00244AC9">
        <w:rPr>
          <w:rFonts w:asciiTheme="minorHAnsi" w:hAnsiTheme="minorHAnsi"/>
        </w:rPr>
        <w:instrText xml:space="preserve"> Monetary Deflation</w:instrText>
      </w:r>
      <w:r w:rsidR="003247C5">
        <w:instrText xml:space="preserve">" </w:instrText>
      </w:r>
      <w:r w:rsidR="001858B5">
        <w:rPr>
          <w:rFonts w:cs="Times New Roman"/>
        </w:rPr>
        <w:fldChar w:fldCharType="end"/>
      </w:r>
      <w:r w:rsidR="001858B5">
        <w:rPr>
          <w:rFonts w:cs="Times New Roman"/>
        </w:rPr>
        <w:fldChar w:fldCharType="begin"/>
      </w:r>
      <w:r w:rsidR="003247C5">
        <w:instrText xml:space="preserve"> XE "</w:instrText>
      </w:r>
      <w:r w:rsidR="003247C5" w:rsidRPr="002A5759">
        <w:rPr>
          <w:rFonts w:cs="Times New Roman"/>
        </w:rPr>
        <w:instrText>monetary deflation</w:instrText>
      </w:r>
      <w:r w:rsidR="003247C5">
        <w:instrText xml:space="preserve">" </w:instrText>
      </w:r>
      <w:r w:rsidR="001858B5">
        <w:rPr>
          <w:rFonts w:cs="Times New Roman"/>
        </w:rPr>
        <w:fldChar w:fldCharType="end"/>
      </w:r>
      <w:r w:rsidR="007C469A">
        <w:rPr>
          <w:rFonts w:cs="Times New Roman"/>
        </w:rPr>
        <w:t>–</w:t>
      </w:r>
      <w:r w:rsidR="00554A87" w:rsidRPr="00124B71">
        <w:rPr>
          <w:rFonts w:cs="Times New Roman"/>
        </w:rPr>
        <w:t>the disappearance of lend</w:t>
      </w:r>
      <w:r w:rsidR="00A877A4" w:rsidRPr="00124B71">
        <w:rPr>
          <w:rFonts w:cs="Times New Roman"/>
        </w:rPr>
        <w:t>er-created money into the ether</w:t>
      </w:r>
      <w:r w:rsidR="00554A87" w:rsidRPr="00124B71">
        <w:rPr>
          <w:rFonts w:cs="Times New Roman"/>
        </w:rPr>
        <w:t xml:space="preserve"> from which it was created</w:t>
      </w:r>
      <w:r w:rsidR="00EA7B9C" w:rsidRPr="00124B71">
        <w:rPr>
          <w:rFonts w:cs="Times New Roman"/>
        </w:rPr>
        <w:t>.</w:t>
      </w:r>
    </w:p>
    <w:p w14:paraId="6E8ECA22" w14:textId="77777777" w:rsidR="00EA7B9C" w:rsidRPr="00124B71" w:rsidRDefault="00EE3728" w:rsidP="00AD2108">
      <w:pPr>
        <w:rPr>
          <w:rFonts w:cs="Times New Roman"/>
        </w:rPr>
      </w:pPr>
      <w:r w:rsidRPr="00124B71">
        <w:rPr>
          <w:rFonts w:cs="Times New Roman"/>
        </w:rPr>
        <w:t xml:space="preserve">If an individual investor wanted to </w:t>
      </w:r>
      <w:r w:rsidR="00127EA0" w:rsidRPr="00124B71">
        <w:rPr>
          <w:rFonts w:cs="Times New Roman"/>
        </w:rPr>
        <w:t>buy a mortgage loan</w:t>
      </w:r>
      <w:r w:rsidRPr="00124B71">
        <w:rPr>
          <w:rFonts w:cs="Times New Roman"/>
        </w:rPr>
        <w:t xml:space="preserve">, </w:t>
      </w:r>
      <w:r w:rsidR="00A877A4" w:rsidRPr="00124B71">
        <w:rPr>
          <w:rFonts w:cs="Times New Roman"/>
        </w:rPr>
        <w:t>the purchase would proceed</w:t>
      </w:r>
      <w:r w:rsidRPr="00124B71">
        <w:rPr>
          <w:rFonts w:cs="Times New Roman"/>
        </w:rPr>
        <w:t xml:space="preserve"> with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rather than lender</w:t>
      </w:r>
      <w:r w:rsidR="00554A87" w:rsidRPr="00124B71">
        <w:rPr>
          <w:rFonts w:cs="Times New Roman"/>
        </w:rPr>
        <w:t>-</w:t>
      </w:r>
      <w:r w:rsidRPr="00124B71">
        <w:rPr>
          <w:rFonts w:cs="Times New Roman"/>
        </w:rPr>
        <w:t>created money. However, o</w:t>
      </w:r>
      <w:r w:rsidR="00745273" w:rsidRPr="00124B71">
        <w:rPr>
          <w:rFonts w:cs="Times New Roman"/>
        </w:rPr>
        <w:t>nce packaged into a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00745273" w:rsidRPr="00124B71">
        <w:rPr>
          <w:rFonts w:cs="Times New Roman"/>
        </w:rPr>
        <w:t>, the senior tranche</w:t>
      </w:r>
      <w:r w:rsidR="001858B5">
        <w:rPr>
          <w:rFonts w:cs="Times New Roman"/>
        </w:rPr>
        <w:fldChar w:fldCharType="begin"/>
      </w:r>
      <w:r w:rsidR="003247C5">
        <w:instrText xml:space="preserve"> XE "</w:instrText>
      </w:r>
      <w:r w:rsidR="003247C5" w:rsidRPr="003700F0">
        <w:rPr>
          <w:rFonts w:cs="Times New Roman"/>
        </w:rPr>
        <w:instrText>senior tranche</w:instrText>
      </w:r>
      <w:r w:rsidR="003247C5">
        <w:instrText xml:space="preserve">" </w:instrText>
      </w:r>
      <w:r w:rsidR="001858B5">
        <w:rPr>
          <w:rFonts w:cs="Times New Roman"/>
        </w:rPr>
        <w:fldChar w:fldCharType="end"/>
      </w:r>
      <w:r w:rsidR="00745273" w:rsidRPr="00124B71">
        <w:rPr>
          <w:rFonts w:cs="Times New Roman"/>
        </w:rPr>
        <w:t xml:space="preserve"> is often purchased by an investment banker or another lender which also created this money from nothing. Since the equity tranche</w:t>
      </w:r>
      <w:r w:rsidR="001858B5">
        <w:rPr>
          <w:rFonts w:cs="Times New Roman"/>
        </w:rPr>
        <w:fldChar w:fldCharType="begin"/>
      </w:r>
      <w:r w:rsidR="003247C5">
        <w:instrText xml:space="preserve"> XE "</w:instrText>
      </w:r>
      <w:r w:rsidR="003247C5" w:rsidRPr="00CD245B">
        <w:rPr>
          <w:rFonts w:cs="Times New Roman"/>
        </w:rPr>
        <w:instrText>equity tranche</w:instrText>
      </w:r>
      <w:r w:rsidR="003247C5">
        <w:instrText xml:space="preserve">" </w:instrText>
      </w:r>
      <w:r w:rsidR="001858B5">
        <w:rPr>
          <w:rFonts w:cs="Times New Roman"/>
        </w:rPr>
        <w:fldChar w:fldCharType="end"/>
      </w:r>
      <w:r w:rsidR="00745273" w:rsidRPr="00124B71">
        <w:rPr>
          <w:rFonts w:cs="Times New Roman"/>
        </w:rPr>
        <w:t xml:space="preserve"> raises no capital, the mezzanine tranche</w:t>
      </w:r>
      <w:r w:rsidR="001858B5">
        <w:rPr>
          <w:rFonts w:cs="Times New Roman"/>
        </w:rPr>
        <w:fldChar w:fldCharType="begin"/>
      </w:r>
      <w:r w:rsidR="003247C5">
        <w:instrText xml:space="preserve"> XE "</w:instrText>
      </w:r>
      <w:r w:rsidR="003247C5" w:rsidRPr="00FA469A">
        <w:rPr>
          <w:rFonts w:cs="Times New Roman"/>
        </w:rPr>
        <w:instrText>mezzanine tranche</w:instrText>
      </w:r>
      <w:r w:rsidR="003247C5">
        <w:instrText xml:space="preserve">" </w:instrText>
      </w:r>
      <w:r w:rsidR="001858B5">
        <w:rPr>
          <w:rFonts w:cs="Times New Roman"/>
        </w:rPr>
        <w:fldChar w:fldCharType="end"/>
      </w:r>
      <w:r w:rsidR="00745273" w:rsidRPr="00124B71">
        <w:rPr>
          <w:rFonts w:cs="Times New Roman"/>
        </w:rPr>
        <w:t xml:space="preserve"> may be the only money in the structure not created by a lender out of the ether. </w:t>
      </w:r>
      <w:r w:rsidRPr="00124B71">
        <w:rPr>
          <w:rFonts w:cs="Times New Roman"/>
        </w:rPr>
        <w:t xml:space="preserve">With so little “real” money in the deal, there is very little buffer between what would be a loss of </w:t>
      </w:r>
      <w:r w:rsidR="00F15C2E" w:rsidRPr="00124B71">
        <w:rPr>
          <w:rFonts w:cs="Times New Roman"/>
        </w:rPr>
        <w:t xml:space="preserve">invested </w:t>
      </w:r>
      <w:r w:rsidRPr="00124B71">
        <w:rPr>
          <w:rFonts w:cs="Times New Roman"/>
        </w:rPr>
        <w:t xml:space="preserve">capital and a </w:t>
      </w:r>
      <w:r w:rsidR="00F15C2E" w:rsidRPr="00124B71">
        <w:rPr>
          <w:rFonts w:cs="Times New Roman"/>
        </w:rPr>
        <w:t>banking loss of created capital</w:t>
      </w:r>
      <w:r w:rsidR="00127EA0" w:rsidRPr="00124B71">
        <w:rPr>
          <w:rFonts w:cs="Times New Roman"/>
        </w:rPr>
        <w:t>.</w:t>
      </w:r>
      <w:r w:rsidR="00AD2108" w:rsidRPr="00124B71">
        <w:rPr>
          <w:rFonts w:cs="Times New Roman"/>
        </w:rPr>
        <w:t xml:space="preserve"> </w:t>
      </w:r>
      <w:r w:rsidR="00EA7B9C" w:rsidRPr="00124B71">
        <w:rPr>
          <w:rFonts w:cs="Times New Roman"/>
        </w:rPr>
        <w:t>There is a tipping point where the debt service exceeds the cashflow, and when this tipping point is reached, the entire debt st</w:t>
      </w:r>
      <w:r w:rsidR="00955CD4">
        <w:rPr>
          <w:rFonts w:cs="Times New Roman"/>
        </w:rPr>
        <w:t>ructure may collapse</w:t>
      </w:r>
      <w:r w:rsidR="00EA7B9C" w:rsidRPr="00124B71">
        <w:rPr>
          <w:rFonts w:cs="Times New Roman"/>
        </w:rPr>
        <w:t xml:space="preserve"> in a deflationary spiral.</w:t>
      </w:r>
      <w:r w:rsidR="00635AA0" w:rsidRPr="00124B71">
        <w:rPr>
          <w:rFonts w:cs="Times New Roman"/>
        </w:rPr>
        <w:t xml:space="preserve"> </w:t>
      </w:r>
      <w:r w:rsidR="00656E6C" w:rsidRPr="00124B71">
        <w:rPr>
          <w:rStyle w:val="EndnoteReference"/>
          <w:rFonts w:cs="Times New Roman"/>
        </w:rPr>
        <w:endnoteReference w:id="68"/>
      </w:r>
      <w:r w:rsidR="00EA7B9C" w:rsidRPr="00124B71">
        <w:rPr>
          <w:rFonts w:cs="Times New Roman"/>
        </w:rPr>
        <w:t xml:space="preserve"> </w:t>
      </w:r>
      <w:r w:rsidR="00AD2108" w:rsidRPr="00124B71">
        <w:rPr>
          <w:rFonts w:cs="Times New Roman"/>
        </w:rPr>
        <w:t xml:space="preserve">The </w:t>
      </w:r>
      <w:r w:rsidR="00AD2108" w:rsidRPr="00124B71">
        <w:rPr>
          <w:rFonts w:cs="Times New Roman"/>
        </w:rPr>
        <w:lastRenderedPageBreak/>
        <w:t>structured finance</w:t>
      </w:r>
      <w:r w:rsidR="001858B5">
        <w:rPr>
          <w:rFonts w:cs="Times New Roman"/>
        </w:rPr>
        <w:fldChar w:fldCharType="begin"/>
      </w:r>
      <w:r w:rsidR="003247C5">
        <w:instrText xml:space="preserve"> XE "</w:instrText>
      </w:r>
      <w:r w:rsidR="003247C5" w:rsidRPr="009F3643">
        <w:rPr>
          <w:rFonts w:cs="Times New Roman"/>
        </w:rPr>
        <w:instrText>structured finance</w:instrText>
      </w:r>
      <w:r w:rsidR="003247C5">
        <w:instrText xml:space="preserve">" </w:instrText>
      </w:r>
      <w:r w:rsidR="001858B5">
        <w:rPr>
          <w:rFonts w:cs="Times New Roman"/>
        </w:rPr>
        <w:fldChar w:fldCharType="end"/>
      </w:r>
      <w:r w:rsidR="00AD2108" w:rsidRPr="00124B71">
        <w:rPr>
          <w:rFonts w:cs="Times New Roman"/>
        </w:rPr>
        <w:t xml:space="preserve"> products such as collateralized debt obligations and their derivatives are highly leveraged instruments with a very sensitive tipping point. </w:t>
      </w:r>
      <w:r w:rsidR="002F7AD9" w:rsidRPr="00124B71">
        <w:rPr>
          <w:rFonts w:cs="Times New Roman"/>
        </w:rPr>
        <w:t>These instruments are also highly sensitive to short term credit availability and lending rates. The long-term CDOs were often financed by continually rolling over short term debt. Rising cost of short-term debt would take a while to cause problems, but a sudden withdrawal of credit availability, as was witnessed during the credit crunch</w:t>
      </w:r>
      <w:r w:rsidR="001858B5">
        <w:rPr>
          <w:rFonts w:cs="Times New Roman"/>
        </w:rPr>
        <w:fldChar w:fldCharType="begin"/>
      </w:r>
      <w:r w:rsidR="00FA2AEF">
        <w:instrText xml:space="preserve"> XE "</w:instrText>
      </w:r>
      <w:r w:rsidR="00FA2AEF" w:rsidRPr="00F6304A">
        <w:rPr>
          <w:rFonts w:cs="Times New Roman"/>
        </w:rPr>
        <w:instrText>credit crunch</w:instrText>
      </w:r>
      <w:r w:rsidR="00FA2AEF">
        <w:instrText xml:space="preserve">" </w:instrText>
      </w:r>
      <w:r w:rsidR="001858B5">
        <w:rPr>
          <w:rFonts w:cs="Times New Roman"/>
        </w:rPr>
        <w:fldChar w:fldCharType="end"/>
      </w:r>
      <w:r w:rsidR="002F7AD9" w:rsidRPr="00124B71">
        <w:rPr>
          <w:rFonts w:cs="Times New Roman"/>
        </w:rPr>
        <w:t xml:space="preserve">, meant desperate sales for those who owned these instruments. </w:t>
      </w:r>
      <w:r w:rsidR="00EA7B9C" w:rsidRPr="00124B71">
        <w:rPr>
          <w:rFonts w:cs="Times New Roman"/>
        </w:rPr>
        <w:t>Monetary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00EA7B9C" w:rsidRPr="00124B71">
        <w:rPr>
          <w:rFonts w:cs="Times New Roman"/>
        </w:rPr>
        <w:t xml:space="preserve"> was a major concern to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00EA7B9C" w:rsidRPr="00124B71">
        <w:rPr>
          <w:rFonts w:cs="Times New Roman"/>
        </w:rPr>
        <w:t xml:space="preserve"> as the Great Housing Bubble began to deflate.</w:t>
      </w:r>
    </w:p>
    <w:p w14:paraId="76ED6575" w14:textId="77777777" w:rsidR="005844D4" w:rsidRPr="00124B71" w:rsidRDefault="0094767A" w:rsidP="00C2285F">
      <w:pPr>
        <w:rPr>
          <w:rFonts w:cs="Times New Roman"/>
        </w:rPr>
      </w:pPr>
      <w:r w:rsidRPr="00124B71">
        <w:rPr>
          <w:rFonts w:cs="Times New Roman"/>
        </w:rPr>
        <w:t>The use of structured finance</w:t>
      </w:r>
      <w:r w:rsidR="001858B5">
        <w:rPr>
          <w:rFonts w:cs="Times New Roman"/>
        </w:rPr>
        <w:fldChar w:fldCharType="begin"/>
      </w:r>
      <w:r w:rsidR="003247C5">
        <w:instrText xml:space="preserve"> XE "</w:instrText>
      </w:r>
      <w:r w:rsidR="003247C5" w:rsidRPr="009F3643">
        <w:rPr>
          <w:rFonts w:cs="Times New Roman"/>
        </w:rPr>
        <w:instrText>structured finance</w:instrText>
      </w:r>
      <w:r w:rsidR="003247C5">
        <w:instrText xml:space="preserve">" </w:instrText>
      </w:r>
      <w:r w:rsidR="001858B5">
        <w:rPr>
          <w:rFonts w:cs="Times New Roman"/>
        </w:rPr>
        <w:fldChar w:fldCharType="end"/>
      </w:r>
      <w:r w:rsidRPr="00124B71">
        <w:rPr>
          <w:rFonts w:cs="Times New Roman"/>
        </w:rPr>
        <w:t xml:space="preserve"> techniques in the syndication of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Pr="00124B71">
        <w:rPr>
          <w:rFonts w:cs="Times New Roman"/>
        </w:rPr>
        <w:t xml:space="preserve"> debt obligations was not by itself a problem causing </w:t>
      </w:r>
      <w:r w:rsidR="00EA563D" w:rsidRPr="00124B71">
        <w:rPr>
          <w:rFonts w:cs="Times New Roman"/>
        </w:rPr>
        <w:t>t</w:t>
      </w:r>
      <w:r w:rsidRPr="00124B71">
        <w:rPr>
          <w:rFonts w:cs="Times New Roman"/>
        </w:rPr>
        <w:t xml:space="preserve">he Great </w:t>
      </w:r>
      <w:r w:rsidR="00EA563D" w:rsidRPr="00124B71">
        <w:rPr>
          <w:rFonts w:cs="Times New Roman"/>
        </w:rPr>
        <w:t>Housing</w:t>
      </w:r>
      <w:r w:rsidRPr="00124B71">
        <w:rPr>
          <w:rFonts w:cs="Times New Roman"/>
        </w:rPr>
        <w:t xml:space="preserve"> Bubble. This was part of the infrastructure for delivering capital to the mortgage market which began with the creation of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Pr="00124B71">
        <w:rPr>
          <w:rFonts w:cs="Times New Roman"/>
        </w:rPr>
        <w:t>.</w:t>
      </w:r>
      <w:r w:rsidR="007F40BC" w:rsidRPr="00124B71">
        <w:rPr>
          <w:rFonts w:cs="Times New Roman"/>
        </w:rPr>
        <w:t xml:space="preserve"> </w:t>
      </w:r>
      <w:r w:rsidR="005844D4" w:rsidRPr="00124B71">
        <w:rPr>
          <w:rFonts w:cs="Times New Roman"/>
        </w:rPr>
        <w:t>In the aftermath of the crash of house prices, collateralized debt obligations received a</w:t>
      </w:r>
      <w:r w:rsidR="007F40BC" w:rsidRPr="00124B71">
        <w:rPr>
          <w:rFonts w:cs="Times New Roman"/>
        </w:rPr>
        <w:t xml:space="preserve"> bad reputation as dangerous securities unworthy of the safe, “AAA” ratings they received from the companies that evaluate the creditworthiness of financial instruments. The advantages of structured finance did not disappear because of problems with the market or </w:t>
      </w:r>
      <w:r w:rsidR="008A1AA1" w:rsidRPr="00124B71">
        <w:rPr>
          <w:rFonts w:cs="Times New Roman"/>
        </w:rPr>
        <w:t xml:space="preserve">the ill-advised ratings </w:t>
      </w:r>
      <w:r w:rsidR="007F40BC" w:rsidRPr="00124B71">
        <w:rPr>
          <w:rFonts w:cs="Times New Roman"/>
        </w:rPr>
        <w:t xml:space="preserve">these securities </w:t>
      </w:r>
      <w:r w:rsidR="008A1AA1" w:rsidRPr="00124B71">
        <w:rPr>
          <w:rFonts w:cs="Times New Roman"/>
        </w:rPr>
        <w:t>received</w:t>
      </w:r>
      <w:r w:rsidR="007F40BC" w:rsidRPr="00124B71">
        <w:rPr>
          <w:rFonts w:cs="Times New Roman"/>
        </w:rPr>
        <w:t>. Collateralized Debt Obligations</w:t>
      </w:r>
      <w:r w:rsidR="0061670B" w:rsidRPr="00124B71">
        <w:rPr>
          <w:rFonts w:cs="Times New Roman"/>
        </w:rPr>
        <w:t xml:space="preserve"> as syndicators of mortgage-backed securities</w:t>
      </w:r>
      <w:r w:rsidR="001858B5">
        <w:rPr>
          <w:rFonts w:cs="Times New Roman"/>
        </w:rPr>
        <w:fldChar w:fldCharType="begin"/>
      </w:r>
      <w:r w:rsidR="00E84A0F">
        <w:instrText xml:space="preserve"> XE "</w:instrText>
      </w:r>
      <w:r w:rsidR="00E84A0F" w:rsidRPr="006650A7">
        <w:rPr>
          <w:rFonts w:cs="Times New Roman"/>
        </w:rPr>
        <w:instrText>mortgage-backed securities</w:instrText>
      </w:r>
      <w:r w:rsidR="00E84A0F">
        <w:instrText xml:space="preserve">" </w:instrText>
      </w:r>
      <w:r w:rsidR="001858B5">
        <w:rPr>
          <w:rFonts w:cs="Times New Roman"/>
        </w:rPr>
        <w:fldChar w:fldCharType="end"/>
      </w:r>
      <w:r w:rsidR="0061670B" w:rsidRPr="00124B71">
        <w:rPr>
          <w:rFonts w:cs="Times New Roman"/>
        </w:rPr>
        <w:t xml:space="preserve"> nearly disappeared in 2008. However, they</w:t>
      </w:r>
      <w:r w:rsidR="007F40BC" w:rsidRPr="00124B71">
        <w:rPr>
          <w:rFonts w:cs="Times New Roman"/>
        </w:rPr>
        <w:t xml:space="preserve"> did not go away, and they </w:t>
      </w:r>
      <w:r w:rsidR="0061670B" w:rsidRPr="00124B71">
        <w:rPr>
          <w:rFonts w:cs="Times New Roman"/>
        </w:rPr>
        <w:t xml:space="preserve">will </w:t>
      </w:r>
      <w:r w:rsidR="004334FE" w:rsidRPr="00124B71">
        <w:rPr>
          <w:rFonts w:cs="Times New Roman"/>
        </w:rPr>
        <w:t>continue to be an integral part of the capital delivery system providing money for buyers to purchase residential real estate.</w:t>
      </w:r>
    </w:p>
    <w:p w14:paraId="0C5A3FB4" w14:textId="77777777" w:rsidR="00A6426B" w:rsidRPr="00EF0EDA" w:rsidRDefault="00A6426B" w:rsidP="00A6426B">
      <w:pPr>
        <w:pStyle w:val="Heading2"/>
      </w:pPr>
      <w:bookmarkStart w:id="94" w:name="_Toc238867322"/>
      <w:r w:rsidRPr="00EF0EDA">
        <w:t>Systemic Risk</w:t>
      </w:r>
      <w:r w:rsidR="005A049A" w:rsidRPr="00EF0EDA">
        <w:t xml:space="preserve"> in the Housing Market</w:t>
      </w:r>
      <w:bookmarkEnd w:id="94"/>
    </w:p>
    <w:p w14:paraId="7D4A9C27" w14:textId="77777777" w:rsidR="00F74A32" w:rsidRPr="00124B71" w:rsidRDefault="00A02E4A" w:rsidP="00C2285F">
      <w:pPr>
        <w:rPr>
          <w:rFonts w:cs="Times New Roman"/>
        </w:rPr>
      </w:pPr>
      <w:r w:rsidRPr="00124B71">
        <w:rPr>
          <w:rFonts w:cs="Times New Roman"/>
        </w:rPr>
        <w:t>Credit rating and analysis of collateralized debt obligations and all structured finance</w:t>
      </w:r>
      <w:r w:rsidR="001858B5">
        <w:rPr>
          <w:rFonts w:cs="Times New Roman"/>
        </w:rPr>
        <w:fldChar w:fldCharType="begin"/>
      </w:r>
      <w:r w:rsidR="003247C5">
        <w:instrText xml:space="preserve"> XE "</w:instrText>
      </w:r>
      <w:r w:rsidR="003247C5" w:rsidRPr="009F3643">
        <w:rPr>
          <w:rFonts w:cs="Times New Roman"/>
        </w:rPr>
        <w:instrText>structured finance</w:instrText>
      </w:r>
      <w:r w:rsidR="003247C5">
        <w:instrText xml:space="preserve">" </w:instrText>
      </w:r>
      <w:r w:rsidR="001858B5">
        <w:rPr>
          <w:rFonts w:cs="Times New Roman"/>
        </w:rPr>
        <w:fldChar w:fldCharType="end"/>
      </w:r>
      <w:r w:rsidRPr="00124B71">
        <w:rPr>
          <w:rFonts w:cs="Times New Roman"/>
        </w:rPr>
        <w:t xml:space="preserve"> products are </w:t>
      </w:r>
      <w:r w:rsidR="00EA563D" w:rsidRPr="00124B71">
        <w:rPr>
          <w:rFonts w:cs="Times New Roman"/>
        </w:rPr>
        <w:t>integral to</w:t>
      </w:r>
      <w:r w:rsidRPr="00124B71">
        <w:rPr>
          <w:rFonts w:cs="Times New Roman"/>
        </w:rPr>
        <w:t xml:space="preserve"> the smooth function of the secondary market for mortgage loans.</w:t>
      </w:r>
      <w:r w:rsidR="00F74A32" w:rsidRPr="00124B71">
        <w:rPr>
          <w:rFonts w:cs="Times New Roman"/>
        </w:rPr>
        <w:t xml:space="preserve"> A credit rating agency is a company that analyzes issuers of debt and debt-like securities and gives them an overall credit rating which measures the </w:t>
      </w:r>
      <w:r w:rsidR="002E1A74" w:rsidRPr="00124B71">
        <w:rPr>
          <w:rFonts w:cs="Times New Roman"/>
        </w:rPr>
        <w:t>issuer’s</w:t>
      </w:r>
      <w:r w:rsidR="00F74A32" w:rsidRPr="00124B71">
        <w:rPr>
          <w:rFonts w:cs="Times New Roman"/>
        </w:rPr>
        <w:t xml:space="preserve"> ability to satisfy its debt obligations. </w:t>
      </w:r>
      <w:r w:rsidR="00BB620A" w:rsidRPr="00124B71">
        <w:rPr>
          <w:rFonts w:cs="Times New Roman"/>
        </w:rPr>
        <w:t>There are more than 100 major rating agencies</w:t>
      </w:r>
      <w:r w:rsidR="001858B5">
        <w:rPr>
          <w:rFonts w:cs="Times New Roman"/>
        </w:rPr>
        <w:fldChar w:fldCharType="begin"/>
      </w:r>
      <w:r w:rsidR="003247C5">
        <w:instrText xml:space="preserve"> XE "</w:instrText>
      </w:r>
      <w:r w:rsidR="003247C5" w:rsidRPr="006F4983">
        <w:rPr>
          <w:rFonts w:cs="Times New Roman"/>
        </w:rPr>
        <w:instrText>rating agencies</w:instrText>
      </w:r>
      <w:r w:rsidR="003247C5">
        <w:instrText xml:space="preserve">" </w:instrText>
      </w:r>
      <w:r w:rsidR="001858B5">
        <w:rPr>
          <w:rFonts w:cs="Times New Roman"/>
        </w:rPr>
        <w:fldChar w:fldCharType="end"/>
      </w:r>
      <w:r w:rsidR="00BB620A" w:rsidRPr="00124B71">
        <w:rPr>
          <w:rFonts w:cs="Times New Roman"/>
        </w:rPr>
        <w:t xml:space="preserve"> around the world, an</w:t>
      </w:r>
      <w:r w:rsidR="00EA563D" w:rsidRPr="00124B71">
        <w:rPr>
          <w:rFonts w:cs="Times New Roman"/>
        </w:rPr>
        <w:t xml:space="preserve">d three of the largest and most </w:t>
      </w:r>
      <w:r w:rsidR="00BB620A" w:rsidRPr="00124B71">
        <w:rPr>
          <w:rFonts w:cs="Times New Roman"/>
        </w:rPr>
        <w:t>important ones in the United States are Fitch Ratings</w:t>
      </w:r>
      <w:r w:rsidR="001858B5">
        <w:rPr>
          <w:rFonts w:cs="Times New Roman"/>
        </w:rPr>
        <w:fldChar w:fldCharType="begin"/>
      </w:r>
      <w:r w:rsidR="003247C5">
        <w:instrText xml:space="preserve"> XE "</w:instrText>
      </w:r>
      <w:r w:rsidR="003247C5" w:rsidRPr="001F0F37">
        <w:rPr>
          <w:rFonts w:cs="Times New Roman"/>
        </w:rPr>
        <w:instrText>Fitch Ratings</w:instrText>
      </w:r>
      <w:r w:rsidR="003247C5">
        <w:instrText xml:space="preserve">" </w:instrText>
      </w:r>
      <w:r w:rsidR="001858B5">
        <w:rPr>
          <w:rFonts w:cs="Times New Roman"/>
        </w:rPr>
        <w:fldChar w:fldCharType="end"/>
      </w:r>
      <w:r w:rsidR="00BB620A" w:rsidRPr="00124B71">
        <w:rPr>
          <w:rFonts w:cs="Times New Roman"/>
        </w:rPr>
        <w:t>, Moody’s</w:t>
      </w:r>
      <w:r w:rsidR="001858B5">
        <w:rPr>
          <w:rFonts w:cs="Times New Roman"/>
        </w:rPr>
        <w:fldChar w:fldCharType="begin"/>
      </w:r>
      <w:r w:rsidR="003247C5">
        <w:instrText xml:space="preserve"> XE "</w:instrText>
      </w:r>
      <w:r w:rsidR="003247C5" w:rsidRPr="003B7149">
        <w:rPr>
          <w:rFonts w:cs="Times New Roman"/>
        </w:rPr>
        <w:instrText>Moody’s</w:instrText>
      </w:r>
      <w:r w:rsidR="003247C5">
        <w:instrText xml:space="preserve">" </w:instrText>
      </w:r>
      <w:r w:rsidR="001858B5">
        <w:rPr>
          <w:rFonts w:cs="Times New Roman"/>
        </w:rPr>
        <w:fldChar w:fldCharType="end"/>
      </w:r>
      <w:r w:rsidR="00BB620A" w:rsidRPr="00124B71">
        <w:rPr>
          <w:rFonts w:cs="Times New Roman"/>
        </w:rPr>
        <w:t xml:space="preserve"> and Standard &amp; Poor’s</w:t>
      </w:r>
      <w:r w:rsidR="001858B5">
        <w:rPr>
          <w:rFonts w:cs="Times New Roman"/>
        </w:rPr>
        <w:fldChar w:fldCharType="begin"/>
      </w:r>
      <w:r w:rsidR="003247C5">
        <w:instrText xml:space="preserve"> XE "</w:instrText>
      </w:r>
      <w:r w:rsidR="003247C5" w:rsidRPr="00EC2FC2">
        <w:rPr>
          <w:rFonts w:cs="Times New Roman"/>
        </w:rPr>
        <w:instrText>Standard &amp; Poor’s</w:instrText>
      </w:r>
      <w:r w:rsidR="003247C5">
        <w:instrText xml:space="preserve">" </w:instrText>
      </w:r>
      <w:r w:rsidR="001858B5">
        <w:rPr>
          <w:rFonts w:cs="Times New Roman"/>
        </w:rPr>
        <w:fldChar w:fldCharType="end"/>
      </w:r>
      <w:r w:rsidR="00BB620A" w:rsidRPr="00124B71">
        <w:rPr>
          <w:rFonts w:cs="Times New Roman"/>
        </w:rPr>
        <w:t xml:space="preserve">. A debt </w:t>
      </w:r>
      <w:r w:rsidR="002E1A74" w:rsidRPr="00124B71">
        <w:rPr>
          <w:rFonts w:cs="Times New Roman"/>
        </w:rPr>
        <w:t>issuer’s</w:t>
      </w:r>
      <w:r w:rsidR="00BB620A" w:rsidRPr="00124B71">
        <w:rPr>
          <w:rFonts w:cs="Times New Roman"/>
        </w:rPr>
        <w:t xml:space="preserve"> credit rating</w:t>
      </w:r>
      <w:r w:rsidR="00F74A32" w:rsidRPr="00124B71">
        <w:rPr>
          <w:rFonts w:cs="Times New Roman"/>
        </w:rPr>
        <w:t xml:space="preserve"> is very similar to the FICO</w:t>
      </w:r>
      <w:r w:rsidR="001858B5">
        <w:rPr>
          <w:rFonts w:cs="Times New Roman"/>
        </w:rPr>
        <w:fldChar w:fldCharType="begin"/>
      </w:r>
      <w:r w:rsidR="003247C5">
        <w:instrText xml:space="preserve"> XE "</w:instrText>
      </w:r>
      <w:r w:rsidR="003247C5" w:rsidRPr="006E6D09">
        <w:rPr>
          <w:rFonts w:cs="Times New Roman"/>
        </w:rPr>
        <w:instrText>FICO</w:instrText>
      </w:r>
      <w:r w:rsidR="003247C5">
        <w:instrText xml:space="preserve">" </w:instrText>
      </w:r>
      <w:r w:rsidR="001858B5">
        <w:rPr>
          <w:rFonts w:cs="Times New Roman"/>
        </w:rPr>
        <w:fldChar w:fldCharType="end"/>
      </w:r>
      <w:r w:rsidR="00F74A32" w:rsidRPr="00124B71">
        <w:rPr>
          <w:rFonts w:cs="Times New Roman"/>
        </w:rPr>
        <w:t xml:space="preserve"> score of an individual rated by the Fair Isaac Corporation</w:t>
      </w:r>
      <w:r w:rsidR="001858B5">
        <w:rPr>
          <w:rFonts w:cs="Times New Roman"/>
        </w:rPr>
        <w:fldChar w:fldCharType="begin"/>
      </w:r>
      <w:r w:rsidR="003247C5">
        <w:instrText xml:space="preserve"> XE "</w:instrText>
      </w:r>
      <w:r w:rsidR="003247C5" w:rsidRPr="00147236">
        <w:rPr>
          <w:rFonts w:cs="Times New Roman"/>
        </w:rPr>
        <w:instrText>Fair Isaac Corporation</w:instrText>
      </w:r>
      <w:r w:rsidR="003247C5">
        <w:instrText xml:space="preserve">" </w:instrText>
      </w:r>
      <w:r w:rsidR="001858B5">
        <w:rPr>
          <w:rFonts w:cs="Times New Roman"/>
        </w:rPr>
        <w:fldChar w:fldCharType="end"/>
      </w:r>
      <w:r w:rsidR="001858B5">
        <w:rPr>
          <w:rFonts w:cs="Times New Roman"/>
        </w:rPr>
        <w:fldChar w:fldCharType="begin"/>
      </w:r>
      <w:r w:rsidR="003247C5">
        <w:instrText xml:space="preserve"> XE "</w:instrText>
      </w:r>
      <w:r w:rsidR="003247C5" w:rsidRPr="00147236">
        <w:rPr>
          <w:rFonts w:cs="Times New Roman"/>
        </w:rPr>
        <w:instrText>Fair Isaac Corporation</w:instrText>
      </w:r>
      <w:r w:rsidR="003247C5">
        <w:instrText>" \t "</w:instrText>
      </w:r>
      <w:r w:rsidR="003247C5" w:rsidRPr="009D7EA8">
        <w:rPr>
          <w:rFonts w:asciiTheme="minorHAnsi" w:hAnsiTheme="minorHAnsi"/>
          <w:i/>
        </w:rPr>
        <w:instrText>See</w:instrText>
      </w:r>
      <w:r w:rsidR="003247C5" w:rsidRPr="009D7EA8">
        <w:rPr>
          <w:rFonts w:asciiTheme="minorHAnsi" w:hAnsiTheme="minorHAnsi"/>
        </w:rPr>
        <w:instrText xml:space="preserve"> FICO</w:instrText>
      </w:r>
      <w:r w:rsidR="003247C5">
        <w:instrText xml:space="preserve">" </w:instrText>
      </w:r>
      <w:r w:rsidR="001858B5">
        <w:rPr>
          <w:rFonts w:cs="Times New Roman"/>
        </w:rPr>
        <w:fldChar w:fldCharType="end"/>
      </w:r>
      <w:r w:rsidR="00F74A32" w:rsidRPr="00124B71">
        <w:rPr>
          <w:rFonts w:cs="Times New Roman"/>
        </w:rPr>
        <w:t xml:space="preserve"> widely used in the United States by institutional lenders. Of greater importance to the housing market, the credit rating agencies also analyze and rate the creditworthiness of the various tranches of collateralized debt obligations</w:t>
      </w:r>
      <w:r w:rsidR="00BB620A" w:rsidRPr="00124B71">
        <w:rPr>
          <w:rFonts w:cs="Times New Roman"/>
        </w:rPr>
        <w:t xml:space="preserve"> traded in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00F74A32" w:rsidRPr="00124B71">
        <w:rPr>
          <w:rFonts w:cs="Times New Roman"/>
        </w:rPr>
        <w:t>.</w:t>
      </w:r>
      <w:r w:rsidR="00BB620A" w:rsidRPr="00124B71">
        <w:rPr>
          <w:rFonts w:cs="Times New Roman"/>
        </w:rPr>
        <w:t xml:space="preserve"> </w:t>
      </w:r>
    </w:p>
    <w:p w14:paraId="3255741D" w14:textId="77777777" w:rsidR="00BB620A" w:rsidRPr="00124B71" w:rsidRDefault="00BB620A" w:rsidP="000031C7">
      <w:pPr>
        <w:suppressAutoHyphens/>
        <w:rPr>
          <w:rFonts w:cs="Times New Roman"/>
        </w:rPr>
      </w:pPr>
      <w:r w:rsidRPr="00124B71">
        <w:rPr>
          <w:rFonts w:cs="Times New Roman"/>
        </w:rPr>
        <w:t>Credit ratings</w:t>
      </w:r>
      <w:r w:rsidR="001858B5">
        <w:rPr>
          <w:rFonts w:cs="Times New Roman"/>
        </w:rPr>
        <w:fldChar w:fldCharType="begin"/>
      </w:r>
      <w:r w:rsidR="003247C5">
        <w:instrText xml:space="preserve"> XE "</w:instrText>
      </w:r>
      <w:r w:rsidR="003247C5" w:rsidRPr="00351CD6">
        <w:rPr>
          <w:rFonts w:cs="Times New Roman"/>
        </w:rPr>
        <w:instrText>Credit ratings</w:instrText>
      </w:r>
      <w:r w:rsidR="003247C5">
        <w:instrText xml:space="preserve">" </w:instrText>
      </w:r>
      <w:r w:rsidR="001858B5">
        <w:rPr>
          <w:rFonts w:cs="Times New Roman"/>
        </w:rPr>
        <w:fldChar w:fldCharType="end"/>
      </w:r>
      <w:r w:rsidRPr="00124B71">
        <w:rPr>
          <w:rFonts w:cs="Times New Roman"/>
        </w:rPr>
        <w:t xml:space="preserve"> are widely used by investors because they provide a convenient tool for comparing the credit risk among various investment alternatives. The analysis of risk is crucial in determining the interest rate a syndicator will need to offer to attract sufficient investment capital</w:t>
      </w:r>
      <w:r w:rsidR="00EA563D" w:rsidRPr="00124B71">
        <w:rPr>
          <w:rFonts w:cs="Times New Roman"/>
        </w:rPr>
        <w:t>. F</w:t>
      </w:r>
      <w:r w:rsidRPr="00124B71">
        <w:rPr>
          <w:rFonts w:cs="Times New Roman"/>
        </w:rPr>
        <w:t>rom the other side of the transaction, it is important to the investor who is comparing the interest rates being offered by various investments. The ratings agencies provide this critical, third-party analysis both sides of the transaction can rely upon for unbiased</w:t>
      </w:r>
      <w:r w:rsidR="002E1A74" w:rsidRPr="00124B71">
        <w:rPr>
          <w:rFonts w:cs="Times New Roman"/>
        </w:rPr>
        <w:t xml:space="preserve">, accurate information. When the ratings agencies are doing </w:t>
      </w:r>
      <w:r w:rsidR="002E1A74" w:rsidRPr="00124B71">
        <w:rPr>
          <w:rFonts w:cs="Times New Roman"/>
        </w:rPr>
        <w:lastRenderedPageBreak/>
        <w:t>their job well, there is greater efficiency in capital markets as syndicators of securities are obtaining maximum market values, and investors are minimizing their risks. This efficiency in the capital markets leads to better resource utilization and stronger economic growth.</w:t>
      </w:r>
    </w:p>
    <w:p w14:paraId="13543E40" w14:textId="77777777" w:rsidR="00745A96" w:rsidRPr="00124B71" w:rsidRDefault="002E1A74" w:rsidP="00C2285F">
      <w:pPr>
        <w:rPr>
          <w:rFonts w:cs="Times New Roman"/>
        </w:rPr>
      </w:pPr>
      <w:r w:rsidRPr="00124B71">
        <w:rPr>
          <w:rFonts w:cs="Times New Roman"/>
        </w:rPr>
        <w:t xml:space="preserve">Unfortunately for many investors in collateralized debt obligations during </w:t>
      </w:r>
      <w:r w:rsidR="001A34D5">
        <w:rPr>
          <w:rFonts w:cs="Times New Roman"/>
        </w:rPr>
        <w:t>the Great Housing Bubble</w:t>
      </w:r>
      <w:r w:rsidRPr="00124B71">
        <w:rPr>
          <w:rFonts w:cs="Times New Roman"/>
        </w:rPr>
        <w:t>, the ratings agencies did not provide a</w:t>
      </w:r>
      <w:r w:rsidR="000653E9" w:rsidRPr="00124B71">
        <w:rPr>
          <w:rFonts w:cs="Times New Roman"/>
        </w:rPr>
        <w:t>n</w:t>
      </w:r>
      <w:r w:rsidRPr="00124B71">
        <w:rPr>
          <w:rFonts w:cs="Times New Roman"/>
        </w:rPr>
        <w:t xml:space="preserve"> accurate or credible rating of many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Pr="00124B71">
        <w:rPr>
          <w:rFonts w:cs="Times New Roman"/>
        </w:rPr>
        <w:t xml:space="preserve"> tranches.</w:t>
      </w:r>
      <w:r w:rsidR="000653E9" w:rsidRPr="00124B71">
        <w:rPr>
          <w:rFonts w:cs="Times New Roman"/>
        </w:rPr>
        <w:t xml:space="preserve"> When the housing market pricing declined, many CDO tranches were subsequently downgraded.</w:t>
      </w:r>
      <w:r w:rsidRPr="00124B71">
        <w:rPr>
          <w:rFonts w:cs="Times New Roman"/>
        </w:rPr>
        <w:t xml:space="preserve"> In defense of the agencies, they were providing an analysis of risk based on existing market conditions. Their reports contained caveats concerning downside risks in the event market conditions changed, but this list of risks is standard in any analysis and widely ignored by investors who are counting on the rating to be a market forecasting tool rather than the market reporting tool it really is.</w:t>
      </w:r>
      <w:r w:rsidR="000653E9" w:rsidRPr="00124B71">
        <w:rPr>
          <w:rFonts w:cs="Times New Roman"/>
        </w:rPr>
        <w:t xml:space="preserve"> Credit rating agencies</w:t>
      </w:r>
      <w:r w:rsidR="001858B5">
        <w:rPr>
          <w:rFonts w:cs="Times New Roman"/>
        </w:rPr>
        <w:fldChar w:fldCharType="begin"/>
      </w:r>
      <w:r w:rsidR="003247C5">
        <w:instrText xml:space="preserve"> XE "</w:instrText>
      </w:r>
      <w:r w:rsidR="003247C5" w:rsidRPr="006F4983">
        <w:rPr>
          <w:rFonts w:cs="Times New Roman"/>
        </w:rPr>
        <w:instrText>rating agencies</w:instrText>
      </w:r>
      <w:r w:rsidR="003247C5">
        <w:instrText xml:space="preserve">" </w:instrText>
      </w:r>
      <w:r w:rsidR="001858B5">
        <w:rPr>
          <w:rFonts w:cs="Times New Roman"/>
        </w:rPr>
        <w:fldChar w:fldCharType="end"/>
      </w:r>
      <w:r w:rsidR="000653E9" w:rsidRPr="00124B71">
        <w:rPr>
          <w:rFonts w:cs="Times New Roman"/>
        </w:rPr>
        <w:t xml:space="preserve"> are not in the business of market forecasting or evaluating systemic risks</w:t>
      </w:r>
      <w:r w:rsidR="001858B5">
        <w:rPr>
          <w:rFonts w:cs="Times New Roman"/>
        </w:rPr>
        <w:fldChar w:fldCharType="begin"/>
      </w:r>
      <w:r w:rsidR="003247C5">
        <w:instrText xml:space="preserve"> XE "</w:instrText>
      </w:r>
      <w:r w:rsidR="003247C5" w:rsidRPr="00D455C5">
        <w:rPr>
          <w:rFonts w:cs="Times New Roman"/>
        </w:rPr>
        <w:instrText>systemic risks</w:instrText>
      </w:r>
      <w:r w:rsidR="003247C5">
        <w:instrText xml:space="preserve">" </w:instrText>
      </w:r>
      <w:r w:rsidR="001858B5">
        <w:rPr>
          <w:rFonts w:cs="Times New Roman"/>
        </w:rPr>
        <w:fldChar w:fldCharType="end"/>
      </w:r>
      <w:r w:rsidR="000653E9" w:rsidRPr="00124B71">
        <w:rPr>
          <w:rFonts w:cs="Times New Roman"/>
        </w:rPr>
        <w:t>.</w:t>
      </w:r>
      <w:r w:rsidR="00745A96" w:rsidRPr="00124B71">
        <w:rPr>
          <w:rFonts w:cs="Times New Roman"/>
        </w:rPr>
        <w:t xml:space="preserve"> </w:t>
      </w:r>
    </w:p>
    <w:p w14:paraId="21E4DC31" w14:textId="77777777" w:rsidR="00BB620A" w:rsidRPr="00124B71" w:rsidRDefault="00745A96" w:rsidP="00C2285F">
      <w:pPr>
        <w:rPr>
          <w:rFonts w:cs="Times New Roman"/>
        </w:rPr>
      </w:pPr>
      <w:r w:rsidRPr="00124B71">
        <w:rPr>
          <w:rFonts w:cs="Times New Roman"/>
        </w:rPr>
        <w:t xml:space="preserve">There is a deeper problem with the ratings agencies that began to surface in </w:t>
      </w:r>
      <w:r w:rsidR="001A34D5">
        <w:rPr>
          <w:rFonts w:cs="Times New Roman"/>
        </w:rPr>
        <w:t>the Great Housing Bubble</w:t>
      </w:r>
      <w:r w:rsidRPr="00124B71">
        <w:rPr>
          <w:rFonts w:cs="Times New Roman"/>
        </w:rPr>
        <w:t>. Ratings agencies used to charge investors for their risk analysis, but there was a transition to charging the issuers instead. As one might imagine, there are reports that ratings agencies were concerned if they gave CDOs poor ratings, their primary source of income would go elsewhere. This put pressure on the agencies to overlook certain problems or merely list them as footnotes to their reports rather than lower a rating due to a foreseeable contingency such as a decline in house prices.</w:t>
      </w:r>
    </w:p>
    <w:p w14:paraId="63E00D74" w14:textId="77777777" w:rsidR="008E6FBF" w:rsidRPr="00EF0EDA" w:rsidRDefault="008E6FBF" w:rsidP="00B250BE">
      <w:pPr>
        <w:pStyle w:val="Heading3"/>
      </w:pPr>
      <w:bookmarkStart w:id="95" w:name="_Toc238867323"/>
      <w:r w:rsidRPr="00EF0EDA">
        <w:t>Mortgage Default Losses</w:t>
      </w:r>
      <w:bookmarkEnd w:id="95"/>
    </w:p>
    <w:p w14:paraId="25710A30" w14:textId="77777777" w:rsidR="008E6FBF" w:rsidRPr="00124B71" w:rsidRDefault="008E6FBF" w:rsidP="008E6FBF">
      <w:pPr>
        <w:rPr>
          <w:rFonts w:cs="Times New Roman"/>
        </w:rPr>
      </w:pPr>
      <w:r w:rsidRPr="00124B71">
        <w:rPr>
          <w:rFonts w:cs="Times New Roman"/>
        </w:rPr>
        <w:t>There is risk of loss in any investment, and losses in collateralized debt obligations arise from the difference in the book value of the underlying mortgage note and the actual resale value of the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Pr="00124B71">
        <w:rPr>
          <w:rFonts w:cs="Times New Roman"/>
        </w:rPr>
        <w:t xml:space="preserve"> on the open market, if this collateral is subject 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There is an important distinction that must be made between the default rate on a mortgage loan and the resultant loss incurred when a default occurs. High mortgage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Pr="00124B71">
        <w:rPr>
          <w:rFonts w:cs="Times New Roman"/>
        </w:rPr>
        <w:t xml:space="preserve"> do not necessarily translate into high mortgage default losses</w:t>
      </w:r>
      <w:r w:rsidR="001858B5">
        <w:rPr>
          <w:rFonts w:cs="Times New Roman"/>
        </w:rPr>
        <w:fldChar w:fldCharType="begin"/>
      </w:r>
      <w:r w:rsidR="003247C5">
        <w:instrText xml:space="preserve"> XE "</w:instrText>
      </w:r>
      <w:r w:rsidR="003247C5" w:rsidRPr="0073163B">
        <w:rPr>
          <w:rFonts w:cs="Times New Roman"/>
        </w:rPr>
        <w:instrText>mortgage default losses</w:instrText>
      </w:r>
      <w:r w:rsidR="003247C5">
        <w:instrText xml:space="preserve">" </w:instrText>
      </w:r>
      <w:r w:rsidR="001858B5">
        <w:rPr>
          <w:rFonts w:cs="Times New Roman"/>
        </w:rPr>
        <w:fldChar w:fldCharType="end"/>
      </w:r>
      <w:r w:rsidRPr="00124B71">
        <w:rPr>
          <w:rFonts w:cs="Times New Roman"/>
        </w:rPr>
        <w:t xml:space="preserve"> and vice-versa.</w:t>
      </w:r>
    </w:p>
    <w:p w14:paraId="7CA08E41" w14:textId="77777777" w:rsidR="008E6FBF" w:rsidRPr="00124B71" w:rsidRDefault="008E6FBF" w:rsidP="008E6FBF">
      <w:pPr>
        <w:rPr>
          <w:rFonts w:cs="Times New Roman"/>
        </w:rPr>
      </w:pPr>
      <w:r w:rsidRPr="00124B71">
        <w:rPr>
          <w:rFonts w:cs="Times New Roman"/>
        </w:rPr>
        <w:t>Subprime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Pr="00124B71">
        <w:rPr>
          <w:rFonts w:cs="Times New Roman"/>
        </w:rPr>
        <w:t xml:space="preserve"> loans have had</w:t>
      </w:r>
      <w:r w:rsidR="00EA563D" w:rsidRPr="00124B71">
        <w:rPr>
          <w:rFonts w:cs="Times New Roman"/>
        </w:rPr>
        <w:t xml:space="preserve"> comparatively</w:t>
      </w:r>
      <w:r w:rsidRPr="00124B71">
        <w:rPr>
          <w:rFonts w:cs="Times New Roman"/>
        </w:rPr>
        <w:t xml:space="preserve"> high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Pr="00124B71">
        <w:rPr>
          <w:rFonts w:cs="Times New Roman"/>
        </w:rPr>
        <w:t xml:space="preserve"> since their introduction. When subprime mortgages began to capture broader market share starting in 1994, the rate of home ownership in the United States began to rise.  The increasing use of subprime loans and the subsequent increase in home ownership rates</w:t>
      </w:r>
      <w:r w:rsidR="001858B5">
        <w:rPr>
          <w:rFonts w:cs="Times New Roman"/>
        </w:rPr>
        <w:fldChar w:fldCharType="begin"/>
      </w:r>
      <w:r w:rsidR="00074436">
        <w:instrText xml:space="preserve"> XE "</w:instrText>
      </w:r>
      <w:r w:rsidR="00074436" w:rsidRPr="00FD699A">
        <w:rPr>
          <w:rFonts w:cs="Times New Roman"/>
        </w:rPr>
        <w:instrText>home ownership rates</w:instrText>
      </w:r>
      <w:r w:rsidR="00074436">
        <w:instrText xml:space="preserve">" </w:instrText>
      </w:r>
      <w:r w:rsidR="001858B5">
        <w:rPr>
          <w:rFonts w:cs="Times New Roman"/>
        </w:rPr>
        <w:fldChar w:fldCharType="end"/>
      </w:r>
      <w:r w:rsidRPr="00124B71">
        <w:rPr>
          <w:rFonts w:cs="Times New Roman"/>
        </w:rPr>
        <w:t xml:space="preserve"> put upward pressures on house prices. As house prices began their upward march, the default losses from subprime defaults began to fall because the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Pr="00124B71">
        <w:rPr>
          <w:rFonts w:cs="Times New Roman"/>
        </w:rPr>
        <w:t xml:space="preserve"> was obtaining more resale value</w:t>
      </w:r>
      <w:r w:rsidR="00C770F7" w:rsidRPr="00124B71">
        <w:rPr>
          <w:rFonts w:cs="Times New Roman"/>
        </w:rPr>
        <w:t>, or was being sold by the subprime borrower before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This made subprime lending, and its associated high default rates, look less risky to investors because these default rates were not translating into default losses. As time went on and prices continued to rise, subprime lending established a track record of investor safety which drew more capital into</w:t>
      </w:r>
      <w:r w:rsidR="00233E60" w:rsidRPr="00124B71">
        <w:rPr>
          <w:rFonts w:cs="Times New Roman"/>
        </w:rPr>
        <w:t xml:space="preserve"> the industry</w:t>
      </w:r>
      <w:r w:rsidR="00EA563D" w:rsidRPr="00124B71">
        <w:rPr>
          <w:rFonts w:cs="Times New Roman"/>
        </w:rPr>
        <w:t>. H</w:t>
      </w:r>
      <w:r w:rsidR="00233E60" w:rsidRPr="00124B71">
        <w:rPr>
          <w:rFonts w:cs="Times New Roman"/>
        </w:rPr>
        <w:t xml:space="preserve">owever, since the </w:t>
      </w:r>
      <w:r w:rsidR="00233E60" w:rsidRPr="00124B71">
        <w:rPr>
          <w:rFonts w:cs="Times New Roman"/>
        </w:rPr>
        <w:lastRenderedPageBreak/>
        <w:t>relative safety of subprime lending was entirely predicated upon rising prices, it was an industry doomed to fail once prices stopped rising.</w:t>
      </w:r>
    </w:p>
    <w:p w14:paraId="367E4402" w14:textId="77777777" w:rsidR="008E6FBF" w:rsidRPr="00124B71" w:rsidRDefault="00233E60" w:rsidP="008E6FBF">
      <w:pPr>
        <w:rPr>
          <w:rFonts w:cs="Times New Roman"/>
        </w:rPr>
      </w:pPr>
      <w:r w:rsidRPr="00124B71">
        <w:rPr>
          <w:rFonts w:cs="Times New Roman"/>
        </w:rPr>
        <w:t xml:space="preserve">Take this phenomenon to its extreme and its instability becomes readily apparent. Imagine a time when prices are rising, perhaps even due </w:t>
      </w:r>
      <w:r w:rsidR="00EA563D" w:rsidRPr="00124B71">
        <w:rPr>
          <w:rFonts w:cs="Times New Roman"/>
        </w:rPr>
        <w:t>purchases by</w:t>
      </w:r>
      <w:r w:rsidRPr="00124B71">
        <w:rPr>
          <w:rFonts w:cs="Times New Roman"/>
        </w:rPr>
        <w:t xml:space="preserve"> subprime borrowers, and imagine what would happen if 100% of the subprime borrowers defaulted without making a single payment. It would take approximately one year for the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and relisting process to move forward, and during that year, the prices of resale houses would have increased. When the lender would go to the open market to sell the property, </w:t>
      </w:r>
      <w:r w:rsidR="00EA563D" w:rsidRPr="00124B71">
        <w:rPr>
          <w:rFonts w:cs="Times New Roman"/>
        </w:rPr>
        <w:t>it</w:t>
      </w:r>
      <w:r w:rsidRPr="00124B71">
        <w:rPr>
          <w:rFonts w:cs="Times New Roman"/>
        </w:rPr>
        <w:t xml:space="preserve"> would obtain enough money to pay back the loan and the lost interest so there would be no default loss. What just happened? Lenders became de facto real estate speculators profiting from the buying and selling of homes in the secondary market rather than lenders profiting from making loans and collecting interest payments. This profiting from speculation is the core mechanism that disguised the riskiness of subprime lending. When these speculative profits evaporated when prices began declining, the subprime industry imploded and its implosion exacerbated the decline of home prices.</w:t>
      </w:r>
    </w:p>
    <w:p w14:paraId="2503C5E3" w14:textId="77777777" w:rsidR="00B250BE" w:rsidRPr="00EF0EDA" w:rsidRDefault="00B250BE" w:rsidP="00B250BE">
      <w:pPr>
        <w:pStyle w:val="Heading3"/>
      </w:pPr>
      <w:bookmarkStart w:id="96" w:name="_Toc238867324"/>
      <w:r w:rsidRPr="00EF0EDA">
        <w:t>Risk Synergy</w:t>
      </w:r>
      <w:bookmarkEnd w:id="96"/>
    </w:p>
    <w:p w14:paraId="1CCB620B" w14:textId="77777777" w:rsidR="000653E9" w:rsidRPr="00124B71" w:rsidRDefault="000653E9" w:rsidP="00C2285F">
      <w:pPr>
        <w:rPr>
          <w:rFonts w:cs="Times New Roman"/>
        </w:rPr>
      </w:pPr>
      <w:r w:rsidRPr="00124B71">
        <w:rPr>
          <w:rFonts w:cs="Times New Roman"/>
        </w:rPr>
        <w:t xml:space="preserve">One of the major failings of the credit markets in </w:t>
      </w:r>
      <w:r w:rsidR="001A34D5">
        <w:rPr>
          <w:rFonts w:cs="Times New Roman"/>
        </w:rPr>
        <w:t>the Great Housing Bubble</w:t>
      </w:r>
      <w:r w:rsidRPr="00124B71">
        <w:rPr>
          <w:rFonts w:cs="Times New Roman"/>
        </w:rPr>
        <w:t xml:space="preserve"> was the failure to take a holistic view and evaluate the systemic risks</w:t>
      </w:r>
      <w:r w:rsidR="001858B5">
        <w:rPr>
          <w:rFonts w:cs="Times New Roman"/>
        </w:rPr>
        <w:fldChar w:fldCharType="begin"/>
      </w:r>
      <w:r w:rsidR="003247C5">
        <w:instrText xml:space="preserve"> XE "</w:instrText>
      </w:r>
      <w:r w:rsidR="003247C5" w:rsidRPr="00D455C5">
        <w:rPr>
          <w:rFonts w:cs="Times New Roman"/>
        </w:rPr>
        <w:instrText>systemic risks</w:instrText>
      </w:r>
      <w:r w:rsidR="003247C5">
        <w:instrText xml:space="preserve">" </w:instrText>
      </w:r>
      <w:r w:rsidR="001858B5">
        <w:rPr>
          <w:rFonts w:cs="Times New Roman"/>
        </w:rPr>
        <w:fldChar w:fldCharType="end"/>
      </w:r>
      <w:r w:rsidRPr="00124B71">
        <w:rPr>
          <w:rFonts w:cs="Times New Roman"/>
        </w:rPr>
        <w:t xml:space="preserve"> involved. </w:t>
      </w:r>
      <w:r w:rsidR="00AA62A8" w:rsidRPr="00124B71">
        <w:rPr>
          <w:rFonts w:cs="Times New Roman"/>
        </w:rPr>
        <w:t xml:space="preserve">A </w:t>
      </w:r>
      <w:r w:rsidR="00EA563D" w:rsidRPr="00124B71">
        <w:rPr>
          <w:rFonts w:cs="Times New Roman"/>
        </w:rPr>
        <w:t>standard</w:t>
      </w:r>
      <w:r w:rsidR="00AA62A8" w:rsidRPr="00124B71">
        <w:rPr>
          <w:rFonts w:cs="Times New Roman"/>
        </w:rPr>
        <w:t xml:space="preserve"> credit analysis reviews various risk parameters and attempts to rate the impact of each. The implicit assumption is that the total risk is equal to the sum of the </w:t>
      </w:r>
      <w:r w:rsidR="00E56543" w:rsidRPr="00124B71">
        <w:rPr>
          <w:rFonts w:cs="Times New Roman"/>
        </w:rPr>
        <w:t>parts; however t</w:t>
      </w:r>
      <w:r w:rsidR="00AA62A8" w:rsidRPr="00124B71">
        <w:rPr>
          <w:rFonts w:cs="Times New Roman"/>
        </w:rPr>
        <w:t>his is not necessarily the case. Synergy is when the whole is greater than the sum of its parts</w:t>
      </w:r>
      <w:r w:rsidR="0001530B" w:rsidRPr="00124B71">
        <w:rPr>
          <w:rFonts w:cs="Times New Roman"/>
        </w:rPr>
        <w:t>, and</w:t>
      </w:r>
      <w:r w:rsidR="00AA62A8" w:rsidRPr="00124B71">
        <w:rPr>
          <w:rFonts w:cs="Times New Roman"/>
        </w:rPr>
        <w:t xml:space="preserve"> </w:t>
      </w:r>
      <w:r w:rsidR="0001530B" w:rsidRPr="00124B71">
        <w:rPr>
          <w:rFonts w:cs="Times New Roman"/>
        </w:rPr>
        <w:t>t</w:t>
      </w:r>
      <w:r w:rsidR="00E56543" w:rsidRPr="00124B71">
        <w:rPr>
          <w:rFonts w:cs="Times New Roman"/>
        </w:rPr>
        <w:t xml:space="preserve">here </w:t>
      </w:r>
      <w:r w:rsidR="0001530B" w:rsidRPr="00124B71">
        <w:rPr>
          <w:rFonts w:cs="Times New Roman"/>
        </w:rPr>
        <w:t>is</w:t>
      </w:r>
      <w:r w:rsidR="00E56543" w:rsidRPr="00124B71">
        <w:rPr>
          <w:rFonts w:cs="Times New Roman"/>
        </w:rPr>
        <w:t xml:space="preserve"> a strong synergy in default</w:t>
      </w:r>
      <w:r w:rsidR="003F3930" w:rsidRPr="00124B71">
        <w:rPr>
          <w:rFonts w:cs="Times New Roman"/>
        </w:rPr>
        <w:t xml:space="preserve"> loss</w:t>
      </w:r>
      <w:r w:rsidR="00E56543" w:rsidRPr="00124B71">
        <w:rPr>
          <w:rFonts w:cs="Times New Roman"/>
        </w:rPr>
        <w:t xml:space="preserve"> risk in collateralized debt obligations</w:t>
      </w:r>
      <w:r w:rsidR="0001530B" w:rsidRPr="00124B71">
        <w:rPr>
          <w:rFonts w:cs="Times New Roman"/>
        </w:rPr>
        <w:t xml:space="preserve"> that became apparent </w:t>
      </w:r>
      <w:r w:rsidR="00E56543" w:rsidRPr="00124B71">
        <w:rPr>
          <w:rFonts w:cs="Times New Roman"/>
        </w:rPr>
        <w:t xml:space="preserve">during </w:t>
      </w:r>
      <w:r w:rsidR="001A34D5">
        <w:rPr>
          <w:rFonts w:cs="Times New Roman"/>
        </w:rPr>
        <w:t>the Great Housing Bubble</w:t>
      </w:r>
      <w:r w:rsidR="00E56543" w:rsidRPr="00124B71">
        <w:rPr>
          <w:rFonts w:cs="Times New Roman"/>
        </w:rPr>
        <w:t>. The credit rating agencies</w:t>
      </w:r>
      <w:r w:rsidR="001858B5">
        <w:rPr>
          <w:rFonts w:cs="Times New Roman"/>
        </w:rPr>
        <w:fldChar w:fldCharType="begin"/>
      </w:r>
      <w:r w:rsidR="003247C5">
        <w:instrText xml:space="preserve"> XE "</w:instrText>
      </w:r>
      <w:r w:rsidR="003247C5" w:rsidRPr="006F4983">
        <w:rPr>
          <w:rFonts w:cs="Times New Roman"/>
        </w:rPr>
        <w:instrText>rating agencies</w:instrText>
      </w:r>
      <w:r w:rsidR="003247C5">
        <w:instrText xml:space="preserve">" </w:instrText>
      </w:r>
      <w:r w:rsidR="001858B5">
        <w:rPr>
          <w:rFonts w:cs="Times New Roman"/>
        </w:rPr>
        <w:fldChar w:fldCharType="end"/>
      </w:r>
      <w:r w:rsidR="00E56543" w:rsidRPr="00124B71">
        <w:rPr>
          <w:rFonts w:cs="Times New Roman"/>
        </w:rPr>
        <w:t xml:space="preserve"> </w:t>
      </w:r>
      <w:r w:rsidR="0001530B" w:rsidRPr="00124B71">
        <w:rPr>
          <w:rFonts w:cs="Times New Roman"/>
        </w:rPr>
        <w:t xml:space="preserve">failed to </w:t>
      </w:r>
      <w:r w:rsidR="00E56543" w:rsidRPr="00124B71">
        <w:rPr>
          <w:rFonts w:cs="Times New Roman"/>
        </w:rPr>
        <w:t>identify this</w:t>
      </w:r>
      <w:r w:rsidR="0001530B" w:rsidRPr="00124B71">
        <w:rPr>
          <w:rFonts w:cs="Times New Roman"/>
        </w:rPr>
        <w:t xml:space="preserve"> risk</w:t>
      </w:r>
      <w:r w:rsidR="00CA6371" w:rsidRPr="00124B71">
        <w:rPr>
          <w:rFonts w:cs="Times New Roman"/>
        </w:rPr>
        <w:t xml:space="preserve"> synergy</w:t>
      </w:r>
      <w:r w:rsidR="001858B5">
        <w:rPr>
          <w:rFonts w:cs="Times New Roman"/>
        </w:rPr>
        <w:fldChar w:fldCharType="begin"/>
      </w:r>
      <w:r w:rsidR="003247C5">
        <w:instrText xml:space="preserve"> XE "</w:instrText>
      </w:r>
      <w:r w:rsidR="003247C5" w:rsidRPr="000620FE">
        <w:rPr>
          <w:rFonts w:cs="Times New Roman"/>
        </w:rPr>
        <w:instrText>risk synergy</w:instrText>
      </w:r>
      <w:r w:rsidR="003247C5">
        <w:instrText xml:space="preserve">" </w:instrText>
      </w:r>
      <w:r w:rsidR="001858B5">
        <w:rPr>
          <w:rFonts w:cs="Times New Roman"/>
        </w:rPr>
        <w:fldChar w:fldCharType="end"/>
      </w:r>
      <w:r w:rsidR="00CA6371" w:rsidRPr="00124B71">
        <w:rPr>
          <w:rFonts w:cs="Times New Roman"/>
        </w:rPr>
        <w:t xml:space="preserve"> until after the </w:t>
      </w:r>
      <w:r w:rsidR="00E56543" w:rsidRPr="00124B71">
        <w:rPr>
          <w:rFonts w:cs="Times New Roman"/>
        </w:rPr>
        <w:t>fact.</w:t>
      </w:r>
    </w:p>
    <w:p w14:paraId="417D0BE6" w14:textId="77777777" w:rsidR="00F26655" w:rsidRPr="00124B71" w:rsidRDefault="0085076F" w:rsidP="00C2285F">
      <w:pPr>
        <w:rPr>
          <w:rFonts w:cs="Times New Roman"/>
        </w:rPr>
      </w:pPr>
      <w:r w:rsidRPr="00124B71">
        <w:rPr>
          <w:rFonts w:cs="Times New Roman"/>
        </w:rPr>
        <w:t>The risk of default</w:t>
      </w:r>
      <w:r w:rsidR="003F3930" w:rsidRPr="00124B71">
        <w:rPr>
          <w:rFonts w:cs="Times New Roman"/>
        </w:rPr>
        <w:t xml:space="preserve"> loss</w:t>
      </w:r>
      <w:r w:rsidRPr="00124B71">
        <w:rPr>
          <w:rFonts w:cs="Times New Roman"/>
        </w:rPr>
        <w:t xml:space="preserve"> in a tranche of a collateralized debt obligation is directly related to the default</w:t>
      </w:r>
      <w:r w:rsidR="003F3930" w:rsidRPr="00124B71">
        <w:rPr>
          <w:rFonts w:cs="Times New Roman"/>
        </w:rPr>
        <w:t xml:space="preserve"> loss</w:t>
      </w:r>
      <w:r w:rsidRPr="00124B71">
        <w:rPr>
          <w:rFonts w:cs="Times New Roman"/>
        </w:rPr>
        <w:t xml:space="preserve"> risk in the underlying mortgage notes. There are </w:t>
      </w:r>
      <w:r w:rsidR="001158BB" w:rsidRPr="00124B71">
        <w:rPr>
          <w:rFonts w:cs="Times New Roman"/>
        </w:rPr>
        <w:t>six</w:t>
      </w:r>
      <w:r w:rsidRPr="00124B71">
        <w:rPr>
          <w:rFonts w:cs="Times New Roman"/>
        </w:rPr>
        <w:t xml:space="preserve"> general areas of credit </w:t>
      </w:r>
      <w:r w:rsidR="003F3930" w:rsidRPr="00124B71">
        <w:rPr>
          <w:rFonts w:cs="Times New Roman"/>
        </w:rPr>
        <w:t>default loss risk</w:t>
      </w:r>
      <w:r w:rsidRPr="00124B71">
        <w:rPr>
          <w:rFonts w:cs="Times New Roman"/>
        </w:rPr>
        <w:t xml:space="preserve"> that may be evaluated independently, but their interactions are often synergistic in nature: creditworthiness risk, high combined-loan-to-value</w:t>
      </w:r>
      <w:r w:rsidR="001858B5">
        <w:rPr>
          <w:rFonts w:cs="Times New Roman"/>
        </w:rPr>
        <w:fldChar w:fldCharType="begin"/>
      </w:r>
      <w:r w:rsidR="003247C5">
        <w:instrText xml:space="preserve"> XE "</w:instrText>
      </w:r>
      <w:r w:rsidR="003247C5" w:rsidRPr="00022402">
        <w:rPr>
          <w:rFonts w:cs="Times New Roman"/>
        </w:rPr>
        <w:instrText>combined-loan-to-value</w:instrText>
      </w:r>
      <w:r w:rsidR="003247C5">
        <w:instrText xml:space="preserve">" </w:instrText>
      </w:r>
      <w:r w:rsidR="001858B5">
        <w:rPr>
          <w:rFonts w:cs="Times New Roman"/>
        </w:rPr>
        <w:fldChar w:fldCharType="end"/>
      </w:r>
      <w:r w:rsidRPr="00124B71">
        <w:rPr>
          <w:rFonts w:cs="Times New Roman"/>
        </w:rPr>
        <w:t xml:space="preserve"> default risk, high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Pr="00124B71">
        <w:rPr>
          <w:rFonts w:cs="Times New Roman"/>
        </w:rPr>
        <w:t xml:space="preserve"> risk, fraud and misrepresentation risk,</w:t>
      </w:r>
      <w:r w:rsidR="001158BB" w:rsidRPr="00124B71">
        <w:rPr>
          <w:rFonts w:cs="Times New Roman"/>
        </w:rPr>
        <w:t xml:space="preserve"> investment perception risk,</w:t>
      </w:r>
      <w:r w:rsidRPr="00124B71">
        <w:rPr>
          <w:rFonts w:cs="Times New Roman"/>
        </w:rPr>
        <w:t xml:space="preserve"> and </w:t>
      </w:r>
      <w:r w:rsidR="00C770F7" w:rsidRPr="00124B71">
        <w:rPr>
          <w:rFonts w:cs="Times New Roman"/>
        </w:rPr>
        <w:t>resale</w:t>
      </w:r>
      <w:r w:rsidRPr="00124B71">
        <w:rPr>
          <w:rFonts w:cs="Times New Roman"/>
        </w:rPr>
        <w:t xml:space="preserve"> valu</w:t>
      </w:r>
      <w:r w:rsidR="00C770F7" w:rsidRPr="00124B71">
        <w:rPr>
          <w:rFonts w:cs="Times New Roman"/>
        </w:rPr>
        <w:t>e</w:t>
      </w:r>
      <w:r w:rsidRPr="00124B71">
        <w:rPr>
          <w:rFonts w:cs="Times New Roman"/>
        </w:rPr>
        <w:t xml:space="preserve"> risk. </w:t>
      </w:r>
      <w:r w:rsidR="00F26655" w:rsidRPr="00124B71">
        <w:rPr>
          <w:rFonts w:cs="Times New Roman"/>
        </w:rPr>
        <w:t>Of these general areas of risk</w:t>
      </w:r>
      <w:r w:rsidR="00EA563D" w:rsidRPr="00124B71">
        <w:rPr>
          <w:rFonts w:cs="Times New Roman"/>
        </w:rPr>
        <w:t>,</w:t>
      </w:r>
      <w:r w:rsidR="00F06052" w:rsidRPr="00124B71">
        <w:rPr>
          <w:rFonts w:cs="Times New Roman"/>
        </w:rPr>
        <w:t xml:space="preserve"> market valuation</w:t>
      </w:r>
      <w:r w:rsidR="00F26655" w:rsidRPr="00124B71">
        <w:rPr>
          <w:rFonts w:cs="Times New Roman"/>
        </w:rPr>
        <w:t xml:space="preserve"> is most responsible for creating synergistic effects and amplifying default </w:t>
      </w:r>
      <w:r w:rsidR="003F3930" w:rsidRPr="00124B71">
        <w:rPr>
          <w:rFonts w:cs="Times New Roman"/>
        </w:rPr>
        <w:t>losses</w:t>
      </w:r>
      <w:r w:rsidR="00F26655" w:rsidRPr="00124B71">
        <w:rPr>
          <w:rFonts w:cs="Times New Roman"/>
        </w:rPr>
        <w:t>.</w:t>
      </w:r>
      <w:r w:rsidR="00B34624" w:rsidRPr="00124B71">
        <w:rPr>
          <w:rFonts w:cs="Times New Roman"/>
        </w:rPr>
        <w:t xml:space="preserve"> Since many of the more “innovative” loan programs entered the market during a time of rising prices, there was no history of performance of these securities in other market conditions making it very difficult to assess the impact a down market would have on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B34624" w:rsidRPr="00124B71">
        <w:rPr>
          <w:rFonts w:cs="Times New Roman"/>
        </w:rPr>
        <w:t>. As it turns out, exotic loan programs do not perform well in any conditions other than a raging bull market.</w:t>
      </w:r>
    </w:p>
    <w:p w14:paraId="753E5077" w14:textId="77777777" w:rsidR="00B250BE" w:rsidRPr="00EF0EDA" w:rsidRDefault="00B250BE" w:rsidP="00B250BE">
      <w:pPr>
        <w:pStyle w:val="Heading3"/>
      </w:pPr>
      <w:bookmarkStart w:id="97" w:name="_Toc238867325"/>
      <w:r w:rsidRPr="00EF0EDA">
        <w:t>Creditworthiness Risk</w:t>
      </w:r>
      <w:bookmarkEnd w:id="97"/>
    </w:p>
    <w:p w14:paraId="72A1E43B" w14:textId="77777777" w:rsidR="00F26655" w:rsidRPr="00124B71" w:rsidRDefault="001158BB" w:rsidP="00F26655">
      <w:pPr>
        <w:rPr>
          <w:rFonts w:cs="Times New Roman"/>
        </w:rPr>
      </w:pPr>
      <w:r w:rsidRPr="00124B71">
        <w:rPr>
          <w:rFonts w:cs="Times New Roman"/>
        </w:rPr>
        <w:t xml:space="preserve">Every mortgage loan that is originated contains an evaluation of the creditworthiness of the borrower who is responsible for making timely mortgage </w:t>
      </w:r>
      <w:r w:rsidRPr="00124B71">
        <w:rPr>
          <w:rFonts w:cs="Times New Roman"/>
        </w:rPr>
        <w:lastRenderedPageBreak/>
        <w:t>note payments. The most common evaluation tool is the FICO</w:t>
      </w:r>
      <w:r w:rsidR="001858B5">
        <w:rPr>
          <w:rFonts w:cs="Times New Roman"/>
        </w:rPr>
        <w:fldChar w:fldCharType="begin"/>
      </w:r>
      <w:r w:rsidR="003247C5">
        <w:instrText xml:space="preserve"> XE "</w:instrText>
      </w:r>
      <w:r w:rsidR="003247C5" w:rsidRPr="006E6D09">
        <w:rPr>
          <w:rFonts w:cs="Times New Roman"/>
        </w:rPr>
        <w:instrText>FICO</w:instrText>
      </w:r>
      <w:r w:rsidR="003247C5">
        <w:instrText xml:space="preserve">" </w:instrText>
      </w:r>
      <w:r w:rsidR="001858B5">
        <w:rPr>
          <w:rFonts w:cs="Times New Roman"/>
        </w:rPr>
        <w:fldChar w:fldCharType="end"/>
      </w:r>
      <w:r w:rsidRPr="00124B71">
        <w:rPr>
          <w:rFonts w:cs="Times New Roman"/>
        </w:rPr>
        <w:t xml:space="preserve"> score. Prime</w:t>
      </w:r>
      <w:r w:rsidR="001858B5">
        <w:rPr>
          <w:rFonts w:cs="Times New Roman"/>
        </w:rPr>
        <w:fldChar w:fldCharType="begin"/>
      </w:r>
      <w:r w:rsidR="001A53F8">
        <w:instrText xml:space="preserve"> XE "</w:instrText>
      </w:r>
      <w:r w:rsidR="001A53F8" w:rsidRPr="00011BCA">
        <w:rPr>
          <w:rFonts w:cs="Times New Roman"/>
        </w:rPr>
        <w:instrText>Prime</w:instrText>
      </w:r>
      <w:r w:rsidR="001A53F8">
        <w:instrText xml:space="preserve">" </w:instrText>
      </w:r>
      <w:r w:rsidR="001858B5">
        <w:rPr>
          <w:rFonts w:cs="Times New Roman"/>
        </w:rPr>
        <w:fldChar w:fldCharType="end"/>
      </w:r>
      <w:r w:rsidRPr="00124B71">
        <w:rPr>
          <w:rFonts w:cs="Times New Roman"/>
        </w:rPr>
        <w:t xml:space="preserve"> borrowers have the highest FICO scores, they are considered the lowest default risk, and they receive the lowest interest rates as a result. Subprime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Pr="00124B71">
        <w:rPr>
          <w:rFonts w:cs="Times New Roman"/>
        </w:rPr>
        <w:t xml:space="preserve"> borrowers have the lowest FICO scores, they are considered the highest default risk, and they receive the highest interest rates. This is the best documented and most carefully evaluated risk parameter. Before many of the loan programs were introduced during the Great Housing Bubble, FICO scores</w:t>
      </w:r>
      <w:r w:rsidR="00477D8E" w:rsidRPr="00124B71">
        <w:rPr>
          <w:rFonts w:cs="Times New Roman"/>
        </w:rPr>
        <w:t xml:space="preserve"> strongly correlated with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477D8E" w:rsidRPr="00124B71">
        <w:rPr>
          <w:rFonts w:cs="Times New Roman"/>
        </w:rPr>
        <w:t>. This correspondence broke down in the price decline when the bubble popped because the other risk factors proved to have a greater influence</w:t>
      </w:r>
      <w:r w:rsidR="00EA563D" w:rsidRPr="00124B71">
        <w:rPr>
          <w:rFonts w:cs="Times New Roman"/>
        </w:rPr>
        <w:t xml:space="preserve"> than expected</w:t>
      </w:r>
      <w:r w:rsidR="00477D8E" w:rsidRPr="00124B71">
        <w:rPr>
          <w:rFonts w:cs="Times New Roman"/>
        </w:rPr>
        <w:t>.</w:t>
      </w:r>
    </w:p>
    <w:p w14:paraId="47BDA724" w14:textId="77777777" w:rsidR="00B250BE" w:rsidRPr="00EF0EDA" w:rsidRDefault="00B250BE" w:rsidP="00B250BE">
      <w:pPr>
        <w:pStyle w:val="Heading3"/>
      </w:pPr>
      <w:bookmarkStart w:id="98" w:name="_Toc238867326"/>
      <w:r w:rsidRPr="00EF0EDA">
        <w:t>High CLTV</w:t>
      </w:r>
      <w:r w:rsidR="001858B5">
        <w:fldChar w:fldCharType="begin"/>
      </w:r>
      <w:r w:rsidR="003247C5">
        <w:instrText xml:space="preserve"> XE "</w:instrText>
      </w:r>
      <w:r w:rsidR="003247C5" w:rsidRPr="00BA40EB">
        <w:rPr>
          <w:rFonts w:cs="Times New Roman"/>
        </w:rPr>
        <w:instrText>CLTV</w:instrText>
      </w:r>
      <w:r w:rsidR="003247C5">
        <w:instrText xml:space="preserve">" </w:instrText>
      </w:r>
      <w:r w:rsidR="001858B5">
        <w:fldChar w:fldCharType="end"/>
      </w:r>
      <w:r w:rsidRPr="00EF0EDA">
        <w:t xml:space="preserve"> Defaults</w:t>
      </w:r>
      <w:bookmarkEnd w:id="98"/>
    </w:p>
    <w:p w14:paraId="51C1E5B8" w14:textId="77777777" w:rsidR="00F26655" w:rsidRPr="00124B71" w:rsidRDefault="00477D8E" w:rsidP="00F26655">
      <w:pPr>
        <w:rPr>
          <w:rFonts w:cs="Times New Roman"/>
        </w:rPr>
      </w:pPr>
      <w:r w:rsidRPr="00124B71">
        <w:rPr>
          <w:rFonts w:cs="Times New Roman"/>
        </w:rPr>
        <w:t>The combined-loan-to-value</w:t>
      </w:r>
      <w:r w:rsidR="001858B5">
        <w:rPr>
          <w:rFonts w:cs="Times New Roman"/>
        </w:rPr>
        <w:fldChar w:fldCharType="begin"/>
      </w:r>
      <w:r w:rsidR="003247C5">
        <w:instrText xml:space="preserve"> XE "</w:instrText>
      </w:r>
      <w:r w:rsidR="003247C5" w:rsidRPr="00022402">
        <w:rPr>
          <w:rFonts w:cs="Times New Roman"/>
        </w:rPr>
        <w:instrText>combined-loan-to-value</w:instrText>
      </w:r>
      <w:r w:rsidR="003247C5">
        <w:instrText xml:space="preserve">" </w:instrText>
      </w:r>
      <w:r w:rsidR="001858B5">
        <w:rPr>
          <w:rFonts w:cs="Times New Roman"/>
        </w:rPr>
        <w:fldChar w:fldCharType="end"/>
      </w:r>
      <w:r w:rsidR="001858B5">
        <w:rPr>
          <w:rFonts w:cs="Times New Roman"/>
        </w:rPr>
        <w:fldChar w:fldCharType="begin"/>
      </w:r>
      <w:r w:rsidR="003247C5">
        <w:instrText xml:space="preserve"> XE "</w:instrText>
      </w:r>
      <w:r w:rsidR="003247C5" w:rsidRPr="00022402">
        <w:rPr>
          <w:rFonts w:cs="Times New Roman"/>
        </w:rPr>
        <w:instrText>combined-loan-to-value</w:instrText>
      </w:r>
      <w:r w:rsidR="003247C5">
        <w:instrText>" \t "</w:instrText>
      </w:r>
      <w:r w:rsidR="003247C5" w:rsidRPr="005C7B17">
        <w:rPr>
          <w:rFonts w:asciiTheme="minorHAnsi" w:hAnsiTheme="minorHAnsi"/>
          <w:i/>
        </w:rPr>
        <w:instrText>See</w:instrText>
      </w:r>
      <w:r w:rsidR="003247C5" w:rsidRPr="005C7B17">
        <w:rPr>
          <w:rFonts w:asciiTheme="minorHAnsi" w:hAnsiTheme="minorHAnsi"/>
        </w:rPr>
        <w:instrText xml:space="preserve"> CLTV</w:instrText>
      </w:r>
      <w:r w:rsidR="003247C5">
        <w:instrText xml:space="preserve">" </w:instrText>
      </w:r>
      <w:r w:rsidR="001858B5">
        <w:rPr>
          <w:rFonts w:cs="Times New Roman"/>
        </w:rPr>
        <w:fldChar w:fldCharType="end"/>
      </w:r>
      <w:r w:rsidRPr="00124B71">
        <w:rPr>
          <w:rFonts w:cs="Times New Roman"/>
        </w:rPr>
        <w:t xml:space="preserve"> (CLTV</w:t>
      </w:r>
      <w:r w:rsidR="001858B5">
        <w:rPr>
          <w:rFonts w:cs="Times New Roman"/>
        </w:rPr>
        <w:fldChar w:fldCharType="begin"/>
      </w:r>
      <w:r w:rsidR="003247C5">
        <w:instrText xml:space="preserve"> XE "</w:instrText>
      </w:r>
      <w:r w:rsidR="003247C5" w:rsidRPr="00BA40EB">
        <w:rPr>
          <w:rFonts w:cs="Times New Roman"/>
        </w:rPr>
        <w:instrText>CLTV</w:instrText>
      </w:r>
      <w:r w:rsidR="003247C5">
        <w:instrText xml:space="preserve">" </w:instrText>
      </w:r>
      <w:r w:rsidR="001858B5">
        <w:rPr>
          <w:rFonts w:cs="Times New Roman"/>
        </w:rPr>
        <w:fldChar w:fldCharType="end"/>
      </w:r>
      <w:r w:rsidRPr="00124B71">
        <w:rPr>
          <w:rFonts w:cs="Times New Roman"/>
        </w:rPr>
        <w:t xml:space="preserve">) is the total debt of all mortgage obligations as a percentage of the appraised value of a particular property. A high CLTV generally corresponds to a low downpayment, but as resale values fell in the market crash, the CLTV rose </w:t>
      </w:r>
      <w:r w:rsidR="00F50505" w:rsidRPr="00124B71">
        <w:rPr>
          <w:rFonts w:cs="Times New Roman"/>
        </w:rPr>
        <w:t xml:space="preserve">for many borrowers </w:t>
      </w:r>
      <w:r w:rsidRPr="00124B71">
        <w:rPr>
          <w:rFonts w:cs="Times New Roman"/>
        </w:rPr>
        <w:t>as a consequence</w:t>
      </w:r>
      <w:r w:rsidR="00F50505" w:rsidRPr="00124B71">
        <w:rPr>
          <w:rFonts w:cs="Times New Roman"/>
        </w:rPr>
        <w:t xml:space="preserve"> of falling prices</w:t>
      </w:r>
      <w:r w:rsidRPr="00124B71">
        <w:rPr>
          <w:rFonts w:cs="Times New Roman"/>
        </w:rPr>
        <w:t>.</w:t>
      </w:r>
      <w:r w:rsidR="00F50505" w:rsidRPr="00124B71">
        <w:rPr>
          <w:rFonts w:cs="Times New Roman"/>
        </w:rPr>
        <w:t xml:space="preserve"> A</w:t>
      </w:r>
      <w:r w:rsidR="00CA6371" w:rsidRPr="00124B71">
        <w:rPr>
          <w:rFonts w:cs="Times New Roman"/>
        </w:rPr>
        <w:t>lthough a</w:t>
      </w:r>
      <w:r w:rsidR="00F50505" w:rsidRPr="00124B71">
        <w:rPr>
          <w:rFonts w:cs="Times New Roman"/>
        </w:rPr>
        <w:t>ll borrowers with high CLTV loan balances show high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CA6371" w:rsidRPr="00124B71">
        <w:rPr>
          <w:rFonts w:cs="Times New Roman"/>
        </w:rPr>
        <w:t>, i</w:t>
      </w:r>
      <w:r w:rsidRPr="00124B71">
        <w:rPr>
          <w:rFonts w:cs="Times New Roman"/>
        </w:rPr>
        <w:t xml:space="preserve">t is important to distinguish between those borrowers who had a high CLTV because of a low downpayment and those who had </w:t>
      </w:r>
      <w:r w:rsidR="00F50505" w:rsidRPr="00124B71">
        <w:rPr>
          <w:rFonts w:cs="Times New Roman"/>
        </w:rPr>
        <w:t>a high CLTV</w:t>
      </w:r>
      <w:r w:rsidRPr="00124B71">
        <w:rPr>
          <w:rFonts w:cs="Times New Roman"/>
        </w:rPr>
        <w:t xml:space="preserve"> because of falling values. Even though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Pr="00124B71">
        <w:rPr>
          <w:rFonts w:cs="Times New Roman"/>
        </w:rPr>
        <w:t xml:space="preserve"> are a sunk cost and irrelevant to the market value of a house, </w:t>
      </w:r>
      <w:r w:rsidR="00EA563D" w:rsidRPr="00124B71">
        <w:rPr>
          <w:rFonts w:cs="Times New Roman"/>
        </w:rPr>
        <w:t>they do</w:t>
      </w:r>
      <w:r w:rsidRPr="00124B71">
        <w:rPr>
          <w:rFonts w:cs="Times New Roman"/>
        </w:rPr>
        <w:t xml:space="preserve"> have a strong psychological impact on the behavior of homeowners</w:t>
      </w:r>
      <w:r w:rsidR="00656E6C" w:rsidRPr="00124B71">
        <w:rPr>
          <w:rFonts w:cs="Times New Roman"/>
        </w:rPr>
        <w:t>.</w:t>
      </w:r>
      <w:r w:rsidR="00635AA0" w:rsidRPr="00124B71">
        <w:rPr>
          <w:rFonts w:cs="Times New Roman"/>
        </w:rPr>
        <w:t xml:space="preserve"> </w:t>
      </w:r>
      <w:r w:rsidR="002B6101" w:rsidRPr="00124B71">
        <w:rPr>
          <w:rStyle w:val="EndnoteReference"/>
          <w:rFonts w:cs="Times New Roman"/>
        </w:rPr>
        <w:endnoteReference w:id="69"/>
      </w:r>
      <w:r w:rsidRPr="00124B71">
        <w:rPr>
          <w:rFonts w:cs="Times New Roman"/>
        </w:rPr>
        <w:t xml:space="preserve"> People who put</w:t>
      </w:r>
      <w:r w:rsidR="00F50505" w:rsidRPr="00124B71">
        <w:rPr>
          <w:rFonts w:cs="Times New Roman"/>
        </w:rPr>
        <w:t xml:space="preserve"> little or</w:t>
      </w:r>
      <w:r w:rsidRPr="00124B71">
        <w:rPr>
          <w:rFonts w:cs="Times New Roman"/>
        </w:rPr>
        <w:t xml:space="preserve"> no</w:t>
      </w:r>
      <w:r w:rsidR="00F50505" w:rsidRPr="00124B71">
        <w:rPr>
          <w:rFonts w:cs="Times New Roman"/>
        </w:rPr>
        <w:t xml:space="preserve"> money</w:t>
      </w:r>
      <w:r w:rsidRPr="00124B71">
        <w:rPr>
          <w:rFonts w:cs="Times New Roman"/>
        </w:rPr>
        <w:t xml:space="preserve"> of their own money into the purchase of real estate </w:t>
      </w:r>
      <w:r w:rsidR="00D0439E" w:rsidRPr="00124B71">
        <w:rPr>
          <w:rFonts w:cs="Times New Roman"/>
        </w:rPr>
        <w:t xml:space="preserve">exhibit greater default rates because they are not losing much of </w:t>
      </w:r>
      <w:r w:rsidR="00D0439E" w:rsidRPr="00124B71">
        <w:rPr>
          <w:rFonts w:cs="Times New Roman"/>
          <w:i/>
        </w:rPr>
        <w:t>their</w:t>
      </w:r>
      <w:r w:rsidR="00D0439E" w:rsidRPr="00124B71">
        <w:rPr>
          <w:rFonts w:cs="Times New Roman"/>
        </w:rPr>
        <w:t xml:space="preserve"> money.</w:t>
      </w:r>
      <w:r w:rsidRPr="00124B71">
        <w:rPr>
          <w:rFonts w:cs="Times New Roman"/>
        </w:rPr>
        <w:t xml:space="preserve"> </w:t>
      </w:r>
      <w:r w:rsidR="00D0439E" w:rsidRPr="00124B71">
        <w:rPr>
          <w:rFonts w:cs="Times New Roman"/>
        </w:rPr>
        <w:t>Most people really do not care if the lender loses money, particularly if they will not have to repay the lender for the loss</w:t>
      </w:r>
      <w:r w:rsidR="00EA563D" w:rsidRPr="00124B71">
        <w:rPr>
          <w:rFonts w:cs="Times New Roman"/>
        </w:rPr>
        <w:t xml:space="preserve"> or incur tax penalties on the forgiven debt</w:t>
      </w:r>
      <w:r w:rsidR="00D0439E" w:rsidRPr="00124B71">
        <w:rPr>
          <w:rFonts w:cs="Times New Roman"/>
        </w:rPr>
        <w:t>. When borrower</w:t>
      </w:r>
      <w:r w:rsidR="00EA563D" w:rsidRPr="00124B71">
        <w:rPr>
          <w:rFonts w:cs="Times New Roman"/>
        </w:rPr>
        <w:t>s</w:t>
      </w:r>
      <w:r w:rsidR="00D0439E" w:rsidRPr="00124B71">
        <w:rPr>
          <w:rFonts w:cs="Times New Roman"/>
        </w:rPr>
        <w:t xml:space="preserve"> ha</w:t>
      </w:r>
      <w:r w:rsidR="00EA563D" w:rsidRPr="00124B71">
        <w:rPr>
          <w:rFonts w:cs="Times New Roman"/>
        </w:rPr>
        <w:t xml:space="preserve">ve </w:t>
      </w:r>
      <w:r w:rsidR="00D0439E" w:rsidRPr="00124B71">
        <w:rPr>
          <w:rFonts w:cs="Times New Roman"/>
        </w:rPr>
        <w:t xml:space="preserve">less of their money in a transaction they are less likely to sacrifice to stay current on their mortgage note obligations, and they are more likely to default if resale values decline, particularly if their payments are greater than the cost of a comparable rental. </w:t>
      </w:r>
    </w:p>
    <w:p w14:paraId="1696B54A" w14:textId="77777777" w:rsidR="00012A64" w:rsidRPr="00EF0EDA" w:rsidRDefault="00012A64" w:rsidP="00012A64">
      <w:pPr>
        <w:pStyle w:val="Heading3"/>
      </w:pPr>
      <w:bookmarkStart w:id="99" w:name="_Toc238867327"/>
      <w:r w:rsidRPr="00EF0EDA">
        <w:t>Fraud and Misrepresentation Risk</w:t>
      </w:r>
      <w:bookmarkEnd w:id="99"/>
    </w:p>
    <w:p w14:paraId="2EB58B83" w14:textId="77777777" w:rsidR="00012A64" w:rsidRPr="00124B71" w:rsidRDefault="00012A64" w:rsidP="00012A64">
      <w:pPr>
        <w:rPr>
          <w:rFonts w:cs="Times New Roman"/>
        </w:rPr>
      </w:pPr>
      <w:r w:rsidRPr="00124B71">
        <w:rPr>
          <w:rFonts w:cs="Times New Roman"/>
        </w:rPr>
        <w:t>Most purchasers of collateralized debt obligations did not realize there was a huge amount of fraud and misrepresentation in the underlying loans they were purchasing. High CLTV</w:t>
      </w:r>
      <w:r w:rsidR="001858B5">
        <w:rPr>
          <w:rFonts w:cs="Times New Roman"/>
        </w:rPr>
        <w:fldChar w:fldCharType="begin"/>
      </w:r>
      <w:r w:rsidR="003247C5">
        <w:instrText xml:space="preserve"> XE "</w:instrText>
      </w:r>
      <w:r w:rsidR="003247C5" w:rsidRPr="00BA40EB">
        <w:rPr>
          <w:rFonts w:cs="Times New Roman"/>
        </w:rPr>
        <w:instrText>CLTV</w:instrText>
      </w:r>
      <w:r w:rsidR="003247C5">
        <w:instrText xml:space="preserve">" </w:instrText>
      </w:r>
      <w:r w:rsidR="001858B5">
        <w:rPr>
          <w:rFonts w:cs="Times New Roman"/>
        </w:rPr>
        <w:fldChar w:fldCharType="end"/>
      </w:r>
      <w:r w:rsidRPr="00124B71">
        <w:rPr>
          <w:rFonts w:cs="Times New Roman"/>
        </w:rPr>
        <w:t xml:space="preserve"> financing, particularly the widely offered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became the ideal tool for fraud. </w:t>
      </w:r>
      <w:r w:rsidR="00EA563D" w:rsidRPr="00124B71">
        <w:rPr>
          <w:rFonts w:cs="Times New Roman"/>
        </w:rPr>
        <w:t>F</w:t>
      </w:r>
      <w:r w:rsidRPr="00124B71">
        <w:rPr>
          <w:rFonts w:cs="Times New Roman"/>
        </w:rPr>
        <w:t>raudulent transaction</w:t>
      </w:r>
      <w:r w:rsidR="00EA563D" w:rsidRPr="00124B71">
        <w:rPr>
          <w:rFonts w:cs="Times New Roman"/>
        </w:rPr>
        <w:t>s</w:t>
      </w:r>
      <w:r w:rsidRPr="00124B71">
        <w:rPr>
          <w:rFonts w:cs="Times New Roman"/>
        </w:rPr>
        <w:t xml:space="preserve"> require “straw buyer</w:t>
      </w:r>
      <w:r w:rsidR="00EA563D" w:rsidRPr="00124B71">
        <w:rPr>
          <w:rFonts w:cs="Times New Roman"/>
        </w:rPr>
        <w:t>s</w:t>
      </w:r>
      <w:r w:rsidRPr="00124B71">
        <w:rPr>
          <w:rFonts w:cs="Times New Roman"/>
        </w:rPr>
        <w:t>” willing to sacrifice their credit for a fee</w:t>
      </w:r>
      <w:r w:rsidR="005A2D07">
        <w:rPr>
          <w:rFonts w:cs="Times New Roman"/>
        </w:rPr>
        <w:t xml:space="preserve"> (or identity theft</w:t>
      </w:r>
      <w:r w:rsidRPr="00124B71">
        <w:rPr>
          <w:rFonts w:cs="Times New Roman"/>
        </w:rPr>
        <w:t>,</w:t>
      </w:r>
      <w:r w:rsidR="005A2D07">
        <w:rPr>
          <w:rFonts w:cs="Times New Roman"/>
        </w:rPr>
        <w:t>)</w:t>
      </w:r>
      <w:r w:rsidRPr="00124B71">
        <w:rPr>
          <w:rFonts w:cs="Times New Roman"/>
        </w:rPr>
        <w:t xml:space="preserve"> appraiser</w:t>
      </w:r>
      <w:r w:rsidR="00EA563D" w:rsidRPr="00124B71">
        <w:rPr>
          <w:rFonts w:cs="Times New Roman"/>
        </w:rPr>
        <w:t>s</w:t>
      </w:r>
      <w:r w:rsidRPr="00124B71">
        <w:rPr>
          <w:rFonts w:cs="Times New Roman"/>
        </w:rPr>
        <w:t xml:space="preserve"> willing to inflate the houses value, and realtor</w:t>
      </w:r>
      <w:r w:rsidR="00EA563D" w:rsidRPr="00124B71">
        <w:rPr>
          <w:rFonts w:cs="Times New Roman"/>
        </w:rPr>
        <w:t>s</w:t>
      </w:r>
      <w:r w:rsidRPr="00124B71">
        <w:rPr>
          <w:rFonts w:cs="Times New Roman"/>
        </w:rPr>
        <w:t xml:space="preserve"> and mortgage broker</w:t>
      </w:r>
      <w:r w:rsidR="00EA563D" w:rsidRPr="00124B71">
        <w:rPr>
          <w:rFonts w:cs="Times New Roman"/>
        </w:rPr>
        <w:t>s</w:t>
      </w:r>
      <w:r w:rsidRPr="00124B71">
        <w:rPr>
          <w:rFonts w:cs="Times New Roman"/>
        </w:rPr>
        <w:t xml:space="preserve"> either willing to go along with the transaction for cash or too ignorant to see the truth. In </w:t>
      </w:r>
      <w:r w:rsidR="00EA563D" w:rsidRPr="00124B71">
        <w:rPr>
          <w:rFonts w:cs="Times New Roman"/>
        </w:rPr>
        <w:t>a</w:t>
      </w:r>
      <w:r w:rsidRPr="00124B71">
        <w:rPr>
          <w:rFonts w:cs="Times New Roman"/>
        </w:rPr>
        <w:t xml:space="preserve"> transaction, the straw buyer purchased a house for greater than its true market value, and the excess payment was used to pay off the corrupted parties. Fraud was much easier to commit with 100% financing because the bank loaned the full amount of an inflated appraisal. It is much harder to commit fraud when the bank only loan</w:t>
      </w:r>
      <w:r w:rsidR="00CA6371" w:rsidRPr="00124B71">
        <w:rPr>
          <w:rFonts w:cs="Times New Roman"/>
        </w:rPr>
        <w:t>s</w:t>
      </w:r>
      <w:r w:rsidRPr="00124B71">
        <w:rPr>
          <w:rFonts w:cs="Times New Roman"/>
        </w:rPr>
        <w:t xml:space="preserve"> 80% of a property’s value. Most often the seller was in on the scam and was using the transaction to get </w:t>
      </w:r>
      <w:r w:rsidRPr="00124B71">
        <w:rPr>
          <w:rFonts w:cs="Times New Roman"/>
        </w:rPr>
        <w:lastRenderedPageBreak/>
        <w:t>out of a bad deal, but sometimes sellers were also innocent victims. The straw buyer ha</w:t>
      </w:r>
      <w:r w:rsidR="00CA6371" w:rsidRPr="00124B71">
        <w:rPr>
          <w:rFonts w:cs="Times New Roman"/>
        </w:rPr>
        <w:t>d</w:t>
      </w:r>
      <w:r w:rsidRPr="00124B71">
        <w:rPr>
          <w:rFonts w:cs="Times New Roman"/>
        </w:rPr>
        <w:t xml:space="preserve"> no intention of repaying the loan from the start, and the property quickly</w:t>
      </w:r>
      <w:r w:rsidR="00CA6371" w:rsidRPr="00124B71">
        <w:rPr>
          <w:rFonts w:cs="Times New Roman"/>
        </w:rPr>
        <w:t xml:space="preserve"> went</w:t>
      </w:r>
      <w:r w:rsidRPr="00124B71">
        <w:rPr>
          <w:rFonts w:cs="Times New Roman"/>
        </w:rPr>
        <w:t xml:space="preserve"> into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w:t>
      </w:r>
    </w:p>
    <w:p w14:paraId="05B5D9D7" w14:textId="77777777" w:rsidR="00012A64" w:rsidRPr="00124B71" w:rsidRDefault="00012A64" w:rsidP="00012A64">
      <w:pPr>
        <w:rPr>
          <w:rFonts w:cs="Times New Roman"/>
        </w:rPr>
      </w:pPr>
      <w:r w:rsidRPr="00124B71">
        <w:rPr>
          <w:rFonts w:cs="Times New Roman"/>
        </w:rPr>
        <w:t>A more common problem was misrepresentation of income. Stated-income loans, also known as “liar loans,” were very common during the bubble rally. People would simply make up a number that qualified them for a loan an</w:t>
      </w:r>
      <w:r w:rsidR="00F531C1" w:rsidRPr="00124B71">
        <w:rPr>
          <w:rFonts w:cs="Times New Roman"/>
        </w:rPr>
        <w:t xml:space="preserve">d state it on their mortgage application. One of the assumptions purchasers of CDOs made was that the originators of the underlying loans made sure the borrowers </w:t>
      </w:r>
      <w:r w:rsidR="0016137D" w:rsidRPr="00124B71">
        <w:rPr>
          <w:rFonts w:cs="Times New Roman"/>
        </w:rPr>
        <w:t>in reality</w:t>
      </w:r>
      <w:r w:rsidR="00F531C1" w:rsidRPr="00124B71">
        <w:rPr>
          <w:rFonts w:cs="Times New Roman"/>
        </w:rPr>
        <w:t xml:space="preserve"> made enough money to pay back the loan. Often times the extent of the loan originators</w:t>
      </w:r>
      <w:r w:rsidR="00EA563D" w:rsidRPr="00124B71">
        <w:rPr>
          <w:rFonts w:cs="Times New Roman"/>
        </w:rPr>
        <w:t>’</w:t>
      </w:r>
      <w:r w:rsidR="00F531C1" w:rsidRPr="00124B71">
        <w:rPr>
          <w:rFonts w:cs="Times New Roman"/>
        </w:rPr>
        <w:t xml:space="preserve"> due diligence was examining the borrower’s signature on the loan application and </w:t>
      </w:r>
      <w:r w:rsidR="00EA563D" w:rsidRPr="00124B71">
        <w:rPr>
          <w:rFonts w:cs="Times New Roman"/>
        </w:rPr>
        <w:t>trusting in the veracity of the signatory</w:t>
      </w:r>
      <w:r w:rsidR="00F531C1" w:rsidRPr="00124B71">
        <w:rPr>
          <w:rFonts w:cs="Times New Roman"/>
        </w:rPr>
        <w:t>. This was a very serious problem for valuing an interest in a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00F531C1" w:rsidRPr="00124B71">
        <w:rPr>
          <w:rFonts w:cs="Times New Roman"/>
        </w:rPr>
        <w:t xml:space="preserve"> because there was no way to accurately determine the viability of the income stream when the income of those responsible for paying the underlying mortgage notes was in doubt.</w:t>
      </w:r>
    </w:p>
    <w:p w14:paraId="2C72B7E4" w14:textId="77777777" w:rsidR="00B250BE" w:rsidRPr="00EF0EDA" w:rsidRDefault="00B250BE" w:rsidP="00B250BE">
      <w:pPr>
        <w:pStyle w:val="Heading3"/>
      </w:pPr>
      <w:bookmarkStart w:id="100" w:name="_Toc238867328"/>
      <w:r w:rsidRPr="00EF0EDA">
        <w:t>High DTI</w:t>
      </w:r>
      <w:r w:rsidR="001858B5">
        <w:fldChar w:fldCharType="begin"/>
      </w:r>
      <w:r w:rsidR="003247C5">
        <w:instrText xml:space="preserve"> XE "</w:instrText>
      </w:r>
      <w:r w:rsidR="003247C5" w:rsidRPr="00DB5C51">
        <w:rPr>
          <w:rFonts w:cs="Times New Roman"/>
        </w:rPr>
        <w:instrText>DTI</w:instrText>
      </w:r>
      <w:r w:rsidR="003247C5">
        <w:instrText xml:space="preserve">" </w:instrText>
      </w:r>
      <w:r w:rsidR="001858B5">
        <w:fldChar w:fldCharType="end"/>
      </w:r>
      <w:r w:rsidRPr="00EF0EDA">
        <w:t xml:space="preserve"> Defaults</w:t>
      </w:r>
      <w:bookmarkEnd w:id="100"/>
    </w:p>
    <w:p w14:paraId="480574CD" w14:textId="77777777" w:rsidR="00012A64" w:rsidRPr="00124B71" w:rsidRDefault="00F50505" w:rsidP="00F26655">
      <w:pPr>
        <w:rPr>
          <w:rFonts w:cs="Times New Roman"/>
        </w:rPr>
      </w:pPr>
      <w:r w:rsidRPr="00124B71">
        <w:rPr>
          <w:rFonts w:cs="Times New Roman"/>
        </w:rPr>
        <w:t>The debt-to-income</w:t>
      </w:r>
      <w:r w:rsidR="001858B5">
        <w:rPr>
          <w:rFonts w:cs="Times New Roman"/>
        </w:rPr>
        <w:fldChar w:fldCharType="begin"/>
      </w:r>
      <w:r w:rsidR="003247C5">
        <w:instrText xml:space="preserve"> XE "</w:instrText>
      </w:r>
      <w:r w:rsidR="003247C5" w:rsidRPr="00D26D7A">
        <w:rPr>
          <w:rFonts w:cs="Times New Roman"/>
        </w:rPr>
        <w:instrText>debt-to-income</w:instrText>
      </w:r>
      <w:r w:rsidR="003247C5">
        <w:instrText>" \t "</w:instrText>
      </w:r>
      <w:r w:rsidR="003247C5" w:rsidRPr="00894F61">
        <w:rPr>
          <w:rFonts w:asciiTheme="minorHAnsi" w:hAnsiTheme="minorHAnsi"/>
          <w:i/>
        </w:rPr>
        <w:instrText>See</w:instrText>
      </w:r>
      <w:r w:rsidR="003247C5" w:rsidRPr="00894F61">
        <w:rPr>
          <w:rFonts w:asciiTheme="minorHAnsi" w:hAnsiTheme="minorHAnsi"/>
        </w:rPr>
        <w:instrText xml:space="preserve"> DTI</w:instrText>
      </w:r>
      <w:r w:rsidR="003247C5">
        <w:instrText xml:space="preserve">" </w:instrText>
      </w:r>
      <w:r w:rsidR="001858B5">
        <w:rPr>
          <w:rFonts w:cs="Times New Roman"/>
        </w:rPr>
        <w:fldChar w:fldCharType="end"/>
      </w:r>
      <w:r w:rsidRPr="00124B71">
        <w:rPr>
          <w:rFonts w:cs="Times New Roman"/>
        </w:rPr>
        <w:t xml:space="preserv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Pr="00124B71">
        <w:rPr>
          <w:rFonts w:cs="Times New Roman"/>
        </w:rPr>
        <w:t xml:space="preserve"> is the total amount of payments compared to gross income expressed as a percentage. A lender evaluate</w:t>
      </w:r>
      <w:r w:rsidR="00173954" w:rsidRPr="00124B71">
        <w:rPr>
          <w:rFonts w:cs="Times New Roman"/>
        </w:rPr>
        <w:t>s</w:t>
      </w:r>
      <w:r w:rsidRPr="00124B71">
        <w:rPr>
          <w:rFonts w:cs="Times New Roman"/>
        </w:rPr>
        <w:t xml:space="preserve"> the DTI</w:t>
      </w:r>
      <w:r w:rsidR="001858B5">
        <w:rPr>
          <w:rFonts w:cs="Times New Roman"/>
        </w:rPr>
        <w:fldChar w:fldCharType="begin"/>
      </w:r>
      <w:r w:rsidR="003247C5">
        <w:instrText xml:space="preserve"> XE "</w:instrText>
      </w:r>
      <w:r w:rsidR="003247C5" w:rsidRPr="00DB5C51">
        <w:rPr>
          <w:rFonts w:cs="Times New Roman"/>
        </w:rPr>
        <w:instrText>DTI</w:instrText>
      </w:r>
      <w:r w:rsidR="003247C5">
        <w:instrText xml:space="preserve">" </w:instrText>
      </w:r>
      <w:r w:rsidR="001858B5">
        <w:rPr>
          <w:rFonts w:cs="Times New Roman"/>
        </w:rPr>
        <w:fldChar w:fldCharType="end"/>
      </w:r>
      <w:r w:rsidRPr="00124B71">
        <w:rPr>
          <w:rFonts w:cs="Times New Roman"/>
        </w:rPr>
        <w:t xml:space="preserve"> of the mortgage loan as well as the total DTI of all borrower indebtedness when making a determination of creditworthiness. Historically, a borrower could not have a mortgage DTI in excess of 28% and a total DTI greater than 36% to qualify </w:t>
      </w:r>
      <w:r w:rsidR="00F06287" w:rsidRPr="00124B71">
        <w:rPr>
          <w:rFonts w:cs="Times New Roman"/>
        </w:rPr>
        <w:t>for a loan because debt burdens in excess of these figures proved to have high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F06287" w:rsidRPr="00124B71">
        <w:rPr>
          <w:rFonts w:cs="Times New Roman"/>
        </w:rPr>
        <w:t xml:space="preserve">. Despite </w:t>
      </w:r>
      <w:r w:rsidR="007B71FE" w:rsidRPr="00124B71">
        <w:rPr>
          <w:rFonts w:cs="Times New Roman"/>
        </w:rPr>
        <w:t>this historical knowledge</w:t>
      </w:r>
      <w:r w:rsidR="00F06287" w:rsidRPr="00124B71">
        <w:rPr>
          <w:rFonts w:cs="Times New Roman"/>
        </w:rPr>
        <w:t xml:space="preserve">, lenders widely ignored these </w:t>
      </w:r>
      <w:r w:rsidR="007B71FE" w:rsidRPr="00124B71">
        <w:rPr>
          <w:rFonts w:cs="Times New Roman"/>
        </w:rPr>
        <w:t>standards</w:t>
      </w:r>
      <w:r w:rsidR="00F06287" w:rsidRPr="00124B71">
        <w:rPr>
          <w:rFonts w:cs="Times New Roman"/>
        </w:rPr>
        <w:t xml:space="preserve"> in </w:t>
      </w:r>
      <w:r w:rsidR="001A34D5">
        <w:rPr>
          <w:rFonts w:cs="Times New Roman"/>
        </w:rPr>
        <w:t>the Great Housing Bubble</w:t>
      </w:r>
      <w:r w:rsidR="00F06287" w:rsidRPr="00124B71">
        <w:rPr>
          <w:rFonts w:cs="Times New Roman"/>
        </w:rPr>
        <w:t xml:space="preserve"> in the quest for more customers. During the rally, few of these people defaulted because they were offered even more debt through home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F06287" w:rsidRPr="00124B71">
        <w:rPr>
          <w:rFonts w:cs="Times New Roman"/>
        </w:rPr>
        <w:t xml:space="preserve"> </w:t>
      </w:r>
      <w:r w:rsidR="001858B5">
        <w:rPr>
          <w:rFonts w:cs="Times New Roman"/>
        </w:rPr>
        <w:fldChar w:fldCharType="begin"/>
      </w:r>
      <w:r w:rsidR="00FA2AEF">
        <w:instrText xml:space="preserve"> XE "</w:instrText>
      </w:r>
      <w:r w:rsidR="00FA2AEF" w:rsidRPr="006C558D">
        <w:rPr>
          <w:rFonts w:cs="Times New Roman"/>
        </w:rPr>
        <w:instrText>home equity lines of credit</w:instrText>
      </w:r>
      <w:r w:rsidR="00FA2AEF">
        <w:instrText xml:space="preserve">" </w:instrText>
      </w:r>
      <w:r w:rsidR="001858B5">
        <w:rPr>
          <w:rFonts w:cs="Times New Roman"/>
        </w:rPr>
        <w:fldChar w:fldCharType="end"/>
      </w:r>
      <w:r w:rsidR="00F06287" w:rsidRPr="00124B71">
        <w:rPr>
          <w:rFonts w:cs="Times New Roman"/>
        </w:rPr>
        <w:t>lines of credit from which they could make mortgage payments, and the few who did g</w:t>
      </w:r>
      <w:r w:rsidR="00173954" w:rsidRPr="00124B71">
        <w:rPr>
          <w:rFonts w:cs="Times New Roman"/>
        </w:rPr>
        <w:t>et into financial problems</w:t>
      </w:r>
      <w:r w:rsidR="00F06287" w:rsidRPr="00124B71">
        <w:rPr>
          <w:rFonts w:cs="Times New Roman"/>
        </w:rPr>
        <w:t xml:space="preserve"> simply s</w:t>
      </w:r>
      <w:r w:rsidR="00173954" w:rsidRPr="00124B71">
        <w:rPr>
          <w:rFonts w:cs="Times New Roman"/>
        </w:rPr>
        <w:t>old</w:t>
      </w:r>
      <w:r w:rsidR="00F06287" w:rsidRPr="00124B71">
        <w:rPr>
          <w:rFonts w:cs="Times New Roman"/>
        </w:rPr>
        <w:t xml:space="preserve"> their house </w:t>
      </w:r>
      <w:r w:rsidR="00173954" w:rsidRPr="00124B71">
        <w:rPr>
          <w:rFonts w:cs="Times New Roman"/>
        </w:rPr>
        <w:t>to pay</w:t>
      </w:r>
      <w:r w:rsidR="00F06287" w:rsidRPr="00124B71">
        <w:rPr>
          <w:rFonts w:cs="Times New Roman"/>
        </w:rPr>
        <w:t xml:space="preserve"> off the mortgage. During the rally, people were keen to take on mortgage debt because interest rates were low, and it was a necessary tool for obtaining real estate and its commensurate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F06287" w:rsidRPr="00124B71">
        <w:rPr>
          <w:rFonts w:cs="Times New Roman"/>
        </w:rPr>
        <w:t xml:space="preserve"> benefits. It did not matter</w:t>
      </w:r>
      <w:r w:rsidR="0016137D" w:rsidRPr="00124B71">
        <w:rPr>
          <w:rFonts w:cs="Times New Roman"/>
        </w:rPr>
        <w:t xml:space="preserve"> to buyers</w:t>
      </w:r>
      <w:r w:rsidR="00F06287" w:rsidRPr="00124B71">
        <w:rPr>
          <w:rFonts w:cs="Times New Roman"/>
        </w:rPr>
        <w:t xml:space="preserve"> if 50% of more of </w:t>
      </w:r>
      <w:r w:rsidR="0016137D" w:rsidRPr="00124B71">
        <w:rPr>
          <w:rFonts w:cs="Times New Roman"/>
        </w:rPr>
        <w:t>their</w:t>
      </w:r>
      <w:r w:rsidR="00F06287" w:rsidRPr="00124B71">
        <w:rPr>
          <w:rFonts w:cs="Times New Roman"/>
        </w:rPr>
        <w:t xml:space="preserve"> gross income was going toward debt service if the property itself was providing the additional </w:t>
      </w:r>
      <w:r w:rsidR="0016137D" w:rsidRPr="00124B71">
        <w:rPr>
          <w:rFonts w:cs="Times New Roman"/>
        </w:rPr>
        <w:t xml:space="preserve">income necessary to sustain their </w:t>
      </w:r>
      <w:r w:rsidR="00F06287" w:rsidRPr="00124B71">
        <w:rPr>
          <w:rFonts w:cs="Times New Roman"/>
        </w:rPr>
        <w:t>lifestyle. Of course, this only works when prices are increasing rapidly. Once prices stopped rising, the property could no longer provide additional income, and the borrower</w:t>
      </w:r>
      <w:r w:rsidR="007B71FE" w:rsidRPr="00124B71">
        <w:rPr>
          <w:rFonts w:cs="Times New Roman"/>
        </w:rPr>
        <w:t>s</w:t>
      </w:r>
      <w:r w:rsidR="00F06287" w:rsidRPr="00124B71">
        <w:rPr>
          <w:rFonts w:cs="Times New Roman"/>
        </w:rPr>
        <w:t xml:space="preserve"> had to make the crushing payments out of their </w:t>
      </w:r>
      <w:r w:rsidR="007B71FE" w:rsidRPr="00124B71">
        <w:rPr>
          <w:rFonts w:cs="Times New Roman"/>
        </w:rPr>
        <w:t>true</w:t>
      </w:r>
      <w:r w:rsidR="00F06287" w:rsidRPr="00124B71">
        <w:rPr>
          <w:rFonts w:cs="Times New Roman"/>
        </w:rPr>
        <w:t xml:space="preserve"> income. </w:t>
      </w:r>
      <w:r w:rsidR="00921612" w:rsidRPr="00124B71">
        <w:rPr>
          <w:rFonts w:cs="Times New Roman"/>
        </w:rPr>
        <w:t>Without the benefits of appreciation, borrowers quickly found the burden of a high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921612" w:rsidRPr="00124B71">
        <w:rPr>
          <w:rFonts w:cs="Times New Roman"/>
        </w:rPr>
        <w:t xml:space="preserve"> ratio overwhelming, and many borrowers defaulted because the payments were too much to handle</w:t>
      </w:r>
      <w:r w:rsidR="007C469A">
        <w:rPr>
          <w:rFonts w:cs="Times New Roman"/>
        </w:rPr>
        <w:t>–</w:t>
      </w:r>
      <w:r w:rsidR="00921612" w:rsidRPr="00124B71">
        <w:rPr>
          <w:rFonts w:cs="Times New Roman"/>
        </w:rPr>
        <w:t xml:space="preserve">just as </w:t>
      </w:r>
      <w:r w:rsidR="007B71FE" w:rsidRPr="00124B71">
        <w:rPr>
          <w:rFonts w:cs="Times New Roman"/>
        </w:rPr>
        <w:t>the lessons from</w:t>
      </w:r>
      <w:r w:rsidR="00921612" w:rsidRPr="00124B71">
        <w:rPr>
          <w:rFonts w:cs="Times New Roman"/>
        </w:rPr>
        <w:t xml:space="preserve"> history said they would be.</w:t>
      </w:r>
    </w:p>
    <w:p w14:paraId="145EC78C" w14:textId="77777777" w:rsidR="001158BB" w:rsidRPr="00EF0EDA" w:rsidRDefault="001158BB" w:rsidP="001158BB">
      <w:pPr>
        <w:pStyle w:val="Heading3"/>
      </w:pPr>
      <w:bookmarkStart w:id="101" w:name="_Toc238867329"/>
      <w:r w:rsidRPr="00EF0EDA">
        <w:t>Investment Perception Risk</w:t>
      </w:r>
      <w:bookmarkEnd w:id="101"/>
    </w:p>
    <w:p w14:paraId="131A0EFE" w14:textId="77777777" w:rsidR="00BE470A" w:rsidRPr="00124B71" w:rsidRDefault="00BE470A" w:rsidP="00720CC6">
      <w:pPr>
        <w:suppressAutoHyphens/>
        <w:rPr>
          <w:rFonts w:cs="Times New Roman"/>
        </w:rPr>
      </w:pPr>
      <w:r w:rsidRPr="00124B71">
        <w:rPr>
          <w:rFonts w:cs="Times New Roman"/>
        </w:rPr>
        <w:t xml:space="preserve">One of the biggest fallacies pushed on the general public </w:t>
      </w:r>
      <w:r w:rsidR="00245616">
        <w:rPr>
          <w:rFonts w:cs="Times New Roman"/>
        </w:rPr>
        <w:t>is</w:t>
      </w:r>
      <w:r w:rsidRPr="00124B71">
        <w:rPr>
          <w:rFonts w:cs="Times New Roman"/>
        </w:rPr>
        <w:t xml:space="preserve"> the notion that residential real estate </w:t>
      </w:r>
      <w:r w:rsidR="00245616">
        <w:rPr>
          <w:rFonts w:cs="Times New Roman"/>
        </w:rPr>
        <w:t>i</w:t>
      </w:r>
      <w:r w:rsidRPr="00124B71">
        <w:rPr>
          <w:rFonts w:cs="Times New Roman"/>
        </w:rPr>
        <w:t>s a great investment. This idea caused people to view houses as an investment and treat them accordingly</w:t>
      </w:r>
      <w:r w:rsidR="00656E6C" w:rsidRPr="00124B71">
        <w:rPr>
          <w:rFonts w:cs="Times New Roman"/>
        </w:rPr>
        <w:t>.</w:t>
      </w:r>
      <w:r w:rsidR="00635AA0" w:rsidRPr="00124B71">
        <w:rPr>
          <w:rFonts w:cs="Times New Roman"/>
        </w:rPr>
        <w:t xml:space="preserve"> </w:t>
      </w:r>
      <w:r w:rsidR="0059145C" w:rsidRPr="00124B71">
        <w:rPr>
          <w:rStyle w:val="EndnoteReference"/>
          <w:rFonts w:cs="Times New Roman"/>
        </w:rPr>
        <w:endnoteReference w:id="70"/>
      </w:r>
      <w:r w:rsidRPr="00124B71">
        <w:rPr>
          <w:rFonts w:cs="Times New Roman"/>
        </w:rPr>
        <w:t xml:space="preserve"> </w:t>
      </w:r>
      <w:r w:rsidR="000E3E34" w:rsidRPr="00124B71">
        <w:rPr>
          <w:rFonts w:cs="Times New Roman"/>
        </w:rPr>
        <w:t xml:space="preserve">When the participants in a housing market perceive houses as an investment, they will more easily </w:t>
      </w:r>
      <w:r w:rsidR="000E3E34" w:rsidRPr="00124B71">
        <w:rPr>
          <w:rFonts w:cs="Times New Roman"/>
        </w:rPr>
        <w:lastRenderedPageBreak/>
        <w:t>default on the loan than if they viewed the house solely as a home</w:t>
      </w:r>
      <w:r w:rsidR="007B71FE" w:rsidRPr="00124B71">
        <w:rPr>
          <w:rFonts w:cs="Times New Roman"/>
        </w:rPr>
        <w:t xml:space="preserve"> for their family</w:t>
      </w:r>
      <w:r w:rsidR="000E3E34" w:rsidRPr="00124B71">
        <w:rPr>
          <w:rFonts w:cs="Times New Roman"/>
        </w:rPr>
        <w:t xml:space="preserve">. People develop emotional attachments to their family homes, and they will sacrifice much in order to keep it. People behave in a more businesslike manner when they view a house as an investment, and they are willing to give up the house if the investment does not perform as planned. </w:t>
      </w:r>
      <w:r w:rsidR="007B71FE" w:rsidRPr="00124B71">
        <w:rPr>
          <w:rFonts w:cs="Times New Roman"/>
        </w:rPr>
        <w:t>W</w:t>
      </w:r>
      <w:r w:rsidRPr="00124B71">
        <w:rPr>
          <w:rFonts w:cs="Times New Roman"/>
        </w:rPr>
        <w:t>hen faced with the reality</w:t>
      </w:r>
      <w:r w:rsidR="00173954" w:rsidRPr="00124B71">
        <w:rPr>
          <w:rFonts w:cs="Times New Roman"/>
        </w:rPr>
        <w:t xml:space="preserve"> that</w:t>
      </w:r>
      <w:r w:rsidRPr="00124B71">
        <w:rPr>
          <w:rFonts w:cs="Times New Roman"/>
        </w:rPr>
        <w:t xml:space="preserve"> house prices were not going to </w:t>
      </w:r>
      <w:r w:rsidR="007B71FE" w:rsidRPr="00124B71">
        <w:rPr>
          <w:rFonts w:cs="Times New Roman"/>
        </w:rPr>
        <w:t xml:space="preserve">continue to </w:t>
      </w:r>
      <w:r w:rsidRPr="00124B71">
        <w:rPr>
          <w:rFonts w:cs="Times New Roman"/>
        </w:rPr>
        <w:t>go up and payments were</w:t>
      </w:r>
      <w:r w:rsidR="007B71FE" w:rsidRPr="00124B71">
        <w:rPr>
          <w:rFonts w:cs="Times New Roman"/>
        </w:rPr>
        <w:t xml:space="preserve"> in fact</w:t>
      </w:r>
      <w:r w:rsidRPr="00124B71">
        <w:rPr>
          <w:rFonts w:cs="Times New Roman"/>
        </w:rPr>
        <w:t xml:space="preserve"> going to continue to cause losses</w:t>
      </w:r>
      <w:r w:rsidR="007B71FE" w:rsidRPr="00124B71">
        <w:rPr>
          <w:rFonts w:cs="Times New Roman"/>
        </w:rPr>
        <w:t>, many people</w:t>
      </w:r>
      <w:r w:rsidRPr="00124B71">
        <w:rPr>
          <w:rFonts w:cs="Times New Roman"/>
        </w:rPr>
        <w:t xml:space="preserve"> decided to stop making payments </w:t>
      </w:r>
      <w:r w:rsidR="00173954" w:rsidRPr="00124B71">
        <w:rPr>
          <w:rFonts w:cs="Times New Roman"/>
        </w:rPr>
        <w:t xml:space="preserve">and </w:t>
      </w:r>
      <w:r w:rsidR="007B71FE" w:rsidRPr="00124B71">
        <w:rPr>
          <w:rFonts w:cs="Times New Roman"/>
        </w:rPr>
        <w:t>allow</w:t>
      </w:r>
      <w:r w:rsidRPr="00124B71">
        <w:rPr>
          <w:rFonts w:cs="Times New Roman"/>
        </w:rPr>
        <w:t xml:space="preserve"> their investment go into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Financially, it was the </w:t>
      </w:r>
      <w:r w:rsidR="007B71FE" w:rsidRPr="00124B71">
        <w:rPr>
          <w:rFonts w:cs="Times New Roman"/>
        </w:rPr>
        <w:t>logical</w:t>
      </w:r>
      <w:r w:rsidRPr="00124B71">
        <w:rPr>
          <w:rFonts w:cs="Times New Roman"/>
        </w:rPr>
        <w:t xml:space="preserve"> decision given the alternative of continuing to make payments on a losing investment. </w:t>
      </w:r>
      <w:r w:rsidR="000E3E34" w:rsidRPr="00124B71">
        <w:rPr>
          <w:rFonts w:cs="Times New Roman"/>
        </w:rPr>
        <w:t>When the “Great American Dream</w:t>
      </w:r>
      <w:r w:rsidR="001858B5">
        <w:rPr>
          <w:rFonts w:cs="Times New Roman"/>
        </w:rPr>
        <w:fldChar w:fldCharType="begin"/>
      </w:r>
      <w:r w:rsidR="003247C5">
        <w:instrText xml:space="preserve"> XE "</w:instrText>
      </w:r>
      <w:r w:rsidR="003247C5" w:rsidRPr="00310524">
        <w:rPr>
          <w:rFonts w:cs="Times New Roman"/>
        </w:rPr>
        <w:instrText>Great American Dream</w:instrText>
      </w:r>
      <w:r w:rsidR="003247C5">
        <w:instrText xml:space="preserve">" </w:instrText>
      </w:r>
      <w:r w:rsidR="001858B5">
        <w:rPr>
          <w:rFonts w:cs="Times New Roman"/>
        </w:rPr>
        <w:fldChar w:fldCharType="end"/>
      </w:r>
      <w:r w:rsidR="000E3E34" w:rsidRPr="00124B71">
        <w:rPr>
          <w:rFonts w:cs="Times New Roman"/>
        </w:rPr>
        <w:t>” of home ownership wa</w:t>
      </w:r>
      <w:r w:rsidRPr="00124B71">
        <w:rPr>
          <w:rFonts w:cs="Times New Roman"/>
        </w:rPr>
        <w:t xml:space="preserve">s tainted by investment motives, it became a nightmare for </w:t>
      </w:r>
      <w:r w:rsidR="007B71FE" w:rsidRPr="00124B71">
        <w:rPr>
          <w:rFonts w:cs="Times New Roman"/>
        </w:rPr>
        <w:t>speculators and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007B71FE" w:rsidRPr="00124B71">
        <w:rPr>
          <w:rFonts w:cs="Times New Roman"/>
        </w:rPr>
        <w:t xml:space="preserve"> investors alike</w:t>
      </w:r>
      <w:r w:rsidRPr="00124B71">
        <w:rPr>
          <w:rFonts w:cs="Times New Roman"/>
        </w:rPr>
        <w:t xml:space="preserve">. </w:t>
      </w:r>
    </w:p>
    <w:p w14:paraId="69BDE489" w14:textId="77777777" w:rsidR="00B250BE" w:rsidRPr="00EF0EDA" w:rsidRDefault="00C770F7" w:rsidP="00B250BE">
      <w:pPr>
        <w:pStyle w:val="Heading3"/>
      </w:pPr>
      <w:bookmarkStart w:id="102" w:name="_Toc238867330"/>
      <w:r>
        <w:t>Resale Value</w:t>
      </w:r>
      <w:r w:rsidR="00B250BE" w:rsidRPr="00EF0EDA">
        <w:t xml:space="preserve"> Risk</w:t>
      </w:r>
      <w:bookmarkEnd w:id="102"/>
    </w:p>
    <w:p w14:paraId="34F559CD" w14:textId="77777777" w:rsidR="00B05461" w:rsidRPr="00124B71" w:rsidRDefault="0058449F" w:rsidP="001158BB">
      <w:pPr>
        <w:rPr>
          <w:rFonts w:cs="Times New Roman"/>
        </w:rPr>
      </w:pPr>
      <w:r w:rsidRPr="00124B71">
        <w:rPr>
          <w:rFonts w:cs="Times New Roman"/>
        </w:rPr>
        <w:t xml:space="preserve">The biggest risk faced by buyers of collateralized debt obligations is the </w:t>
      </w:r>
      <w:r w:rsidR="003F3930" w:rsidRPr="00124B71">
        <w:rPr>
          <w:rFonts w:cs="Times New Roman"/>
        </w:rPr>
        <w:t>default loss risk</w:t>
      </w:r>
      <w:r w:rsidRPr="00124B71">
        <w:rPr>
          <w:rFonts w:cs="Times New Roman"/>
        </w:rPr>
        <w:t xml:space="preserve"> of the underlying mortgage when the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Pr="00124B71">
        <w:rPr>
          <w:rFonts w:cs="Times New Roman"/>
        </w:rPr>
        <w:t xml:space="preserve"> for the mortgage (the house) is overvalued in markets characterized by low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Pr="00124B71">
        <w:rPr>
          <w:rFonts w:cs="Times New Roman"/>
        </w:rPr>
        <w:t>.</w:t>
      </w:r>
      <w:r w:rsidR="00D03304" w:rsidRPr="00124B71">
        <w:rPr>
          <w:rFonts w:cs="Times New Roman"/>
        </w:rPr>
        <w:t xml:space="preserve"> </w:t>
      </w:r>
      <w:r w:rsidR="00B05461" w:rsidRPr="00124B71">
        <w:rPr>
          <w:rFonts w:cs="Times New Roman"/>
        </w:rPr>
        <w:t xml:space="preserve">The greatest risk of default is based on changes in the resale value of homes. All other </w:t>
      </w:r>
      <w:r w:rsidR="003F3930" w:rsidRPr="00124B71">
        <w:rPr>
          <w:rFonts w:cs="Times New Roman"/>
        </w:rPr>
        <w:t>default loss risk</w:t>
      </w:r>
      <w:r w:rsidR="00B05461" w:rsidRPr="00124B71">
        <w:rPr>
          <w:rFonts w:cs="Times New Roman"/>
        </w:rPr>
        <w:t xml:space="preserve"> factors are masked when prices are increasing, and they are amplified when prices decline. Valuation risk</w:t>
      </w:r>
      <w:r w:rsidR="001858B5">
        <w:rPr>
          <w:rFonts w:cs="Times New Roman"/>
        </w:rPr>
        <w:fldChar w:fldCharType="begin"/>
      </w:r>
      <w:r w:rsidR="003247C5">
        <w:instrText xml:space="preserve"> XE "</w:instrText>
      </w:r>
      <w:r w:rsidR="003247C5" w:rsidRPr="002055C5">
        <w:rPr>
          <w:rFonts w:cs="Times New Roman"/>
        </w:rPr>
        <w:instrText>Valuation risk</w:instrText>
      </w:r>
      <w:r w:rsidR="003247C5">
        <w:instrText xml:space="preserve">" </w:instrText>
      </w:r>
      <w:r w:rsidR="001858B5">
        <w:rPr>
          <w:rFonts w:cs="Times New Roman"/>
        </w:rPr>
        <w:fldChar w:fldCharType="end"/>
      </w:r>
      <w:r w:rsidR="00B05461" w:rsidRPr="00124B71">
        <w:rPr>
          <w:rFonts w:cs="Times New Roman"/>
        </w:rPr>
        <w:t xml:space="preserve"> is the ultimate synergistic factor. </w:t>
      </w:r>
    </w:p>
    <w:p w14:paraId="4382D4E1" w14:textId="77777777" w:rsidR="00D03304" w:rsidRPr="00124B71" w:rsidRDefault="00D03304" w:rsidP="001158BB">
      <w:pPr>
        <w:rPr>
          <w:rFonts w:cs="Times New Roman"/>
        </w:rPr>
      </w:pPr>
      <w:r w:rsidRPr="00124B71">
        <w:rPr>
          <w:rFonts w:cs="Times New Roman"/>
        </w:rPr>
        <w:t xml:space="preserve">There are three methods of appraising the resale value of residential real estate: the </w:t>
      </w:r>
      <w:r w:rsidR="0061670B" w:rsidRPr="00124B71">
        <w:rPr>
          <w:rFonts w:cs="Times New Roman"/>
        </w:rPr>
        <w:t>comparative-sales</w:t>
      </w:r>
      <w:r w:rsidRPr="00124B71">
        <w:rPr>
          <w:rFonts w:cs="Times New Roman"/>
        </w:rPr>
        <w:t xml:space="preserve"> approach</w:t>
      </w:r>
      <w:r w:rsidR="001858B5">
        <w:rPr>
          <w:rFonts w:cs="Times New Roman"/>
        </w:rPr>
        <w:fldChar w:fldCharType="begin"/>
      </w:r>
      <w:r w:rsidR="003247C5">
        <w:instrText xml:space="preserve"> XE "</w:instrText>
      </w:r>
      <w:r w:rsidR="003247C5" w:rsidRPr="001C7382">
        <w:rPr>
          <w:rFonts w:cs="Times New Roman"/>
        </w:rPr>
        <w:instrText>comparative-sales approach</w:instrText>
      </w:r>
      <w:r w:rsidR="003247C5">
        <w:instrText xml:space="preserve">" </w:instrText>
      </w:r>
      <w:r w:rsidR="001858B5">
        <w:rPr>
          <w:rFonts w:cs="Times New Roman"/>
        </w:rPr>
        <w:fldChar w:fldCharType="end"/>
      </w:r>
      <w:r w:rsidRPr="00124B71">
        <w:rPr>
          <w:rFonts w:cs="Times New Roman"/>
        </w:rPr>
        <w:t>, the cost approach</w:t>
      </w:r>
      <w:r w:rsidR="001858B5">
        <w:rPr>
          <w:rFonts w:cs="Times New Roman"/>
        </w:rPr>
        <w:fldChar w:fldCharType="begin"/>
      </w:r>
      <w:r w:rsidR="003247C5">
        <w:instrText xml:space="preserve"> XE "</w:instrText>
      </w:r>
      <w:r w:rsidR="003247C5" w:rsidRPr="000C6AA7">
        <w:rPr>
          <w:rFonts w:cs="Times New Roman"/>
        </w:rPr>
        <w:instrText>cost approach</w:instrText>
      </w:r>
      <w:r w:rsidR="003247C5">
        <w:instrText xml:space="preserve">" </w:instrText>
      </w:r>
      <w:r w:rsidR="001858B5">
        <w:rPr>
          <w:rFonts w:cs="Times New Roman"/>
        </w:rPr>
        <w:fldChar w:fldCharType="end"/>
      </w:r>
      <w:r w:rsidRPr="00124B71">
        <w:rPr>
          <w:rFonts w:cs="Times New Roman"/>
        </w:rPr>
        <w:t>, and the income approach</w:t>
      </w:r>
      <w:r w:rsidR="001858B5">
        <w:rPr>
          <w:rFonts w:cs="Times New Roman"/>
        </w:rPr>
        <w:fldChar w:fldCharType="begin"/>
      </w:r>
      <w:r w:rsidR="003247C5">
        <w:instrText xml:space="preserve"> XE "</w:instrText>
      </w:r>
      <w:r w:rsidR="003247C5" w:rsidRPr="00F97F1B">
        <w:rPr>
          <w:rFonts w:cs="Times New Roman"/>
        </w:rPr>
        <w:instrText>income approach</w:instrText>
      </w:r>
      <w:r w:rsidR="003247C5">
        <w:instrText xml:space="preserve">" </w:instrText>
      </w:r>
      <w:r w:rsidR="001858B5">
        <w:rPr>
          <w:rFonts w:cs="Times New Roman"/>
        </w:rPr>
        <w:fldChar w:fldCharType="end"/>
      </w:r>
      <w:r w:rsidRPr="00124B71">
        <w:rPr>
          <w:rFonts w:cs="Times New Roman"/>
        </w:rPr>
        <w:t xml:space="preserve">. The </w:t>
      </w:r>
      <w:r w:rsidR="0061670B" w:rsidRPr="00124B71">
        <w:rPr>
          <w:rFonts w:cs="Times New Roman"/>
        </w:rPr>
        <w:t xml:space="preserve">comparative-sales </w:t>
      </w:r>
      <w:r w:rsidRPr="00124B71">
        <w:rPr>
          <w:rFonts w:cs="Times New Roman"/>
        </w:rPr>
        <w:t>approach uses recent sales of similar properties in the market because comparable sales reflect the behavior of typical buyers in the marketplace. The cost approach determines market value by calculating the replacement cost of an identical structure plus the cost of the land or lot upon which the house would sit. The income approach determines market value by analyzing market rents of comparable properties and applies the gross rent multiplier of expected rents. Most lenders give the greatest weight to the comparable sales approach when establishing market value before applying any loan-to-value</w:t>
      </w:r>
      <w:r w:rsidR="001858B5">
        <w:rPr>
          <w:rFonts w:cs="Times New Roman"/>
        </w:rPr>
        <w:fldChar w:fldCharType="begin"/>
      </w:r>
      <w:r w:rsidR="001A53F8">
        <w:instrText xml:space="preserve"> XE "</w:instrText>
      </w:r>
      <w:r w:rsidR="001A53F8" w:rsidRPr="00DB4DD4">
        <w:rPr>
          <w:rFonts w:cs="Times New Roman"/>
        </w:rPr>
        <w:instrText>loan-to-value</w:instrText>
      </w:r>
      <w:r w:rsidR="001A53F8">
        <w:instrText xml:space="preserve">" </w:instrText>
      </w:r>
      <w:r w:rsidR="001858B5">
        <w:rPr>
          <w:rFonts w:cs="Times New Roman"/>
        </w:rPr>
        <w:fldChar w:fldCharType="end"/>
      </w:r>
      <w:r w:rsidRPr="00124B71">
        <w:rPr>
          <w:rFonts w:cs="Times New Roman"/>
        </w:rPr>
        <w:t xml:space="preserve"> limitations to the loan amount.</w:t>
      </w:r>
      <w:r w:rsidR="001C5F7A" w:rsidRPr="00124B71">
        <w:rPr>
          <w:rFonts w:cs="Times New Roman"/>
        </w:rPr>
        <w:t xml:space="preserve"> The income approach is generally only considered for non-owner occupied homes</w:t>
      </w:r>
      <w:r w:rsidR="00656E6C" w:rsidRPr="00124B71">
        <w:rPr>
          <w:rFonts w:cs="Times New Roman"/>
        </w:rPr>
        <w:t>.</w:t>
      </w:r>
      <w:r w:rsidR="00635AA0" w:rsidRPr="00124B71">
        <w:rPr>
          <w:rFonts w:cs="Times New Roman"/>
        </w:rPr>
        <w:t xml:space="preserve"> </w:t>
      </w:r>
      <w:r w:rsidR="00C50FBF" w:rsidRPr="00124B71">
        <w:rPr>
          <w:rStyle w:val="EndnoteReference"/>
          <w:rFonts w:cs="Times New Roman"/>
        </w:rPr>
        <w:endnoteReference w:id="71"/>
      </w:r>
      <w:r w:rsidRPr="00124B71">
        <w:rPr>
          <w:rFonts w:cs="Times New Roman"/>
        </w:rPr>
        <w:t xml:space="preserve"> Th</w:t>
      </w:r>
      <w:r w:rsidR="00173954" w:rsidRPr="00124B71">
        <w:rPr>
          <w:rFonts w:cs="Times New Roman"/>
        </w:rPr>
        <w:t xml:space="preserve">e three-test </w:t>
      </w:r>
      <w:r w:rsidRPr="00124B71">
        <w:rPr>
          <w:rFonts w:cs="Times New Roman"/>
        </w:rPr>
        <w:t xml:space="preserve">approach </w:t>
      </w:r>
      <w:r w:rsidR="001C5F7A" w:rsidRPr="00124B71">
        <w:rPr>
          <w:rFonts w:cs="Times New Roman"/>
        </w:rPr>
        <w:t xml:space="preserve">to appraising market value </w:t>
      </w:r>
      <w:r w:rsidR="00173954" w:rsidRPr="00124B71">
        <w:rPr>
          <w:rFonts w:cs="Times New Roman"/>
        </w:rPr>
        <w:t xml:space="preserve">as used during the Great </w:t>
      </w:r>
      <w:r w:rsidR="007B71FE" w:rsidRPr="00124B71">
        <w:rPr>
          <w:rFonts w:cs="Times New Roman"/>
        </w:rPr>
        <w:t>Housing</w:t>
      </w:r>
      <w:r w:rsidR="00173954" w:rsidRPr="00124B71">
        <w:rPr>
          <w:rFonts w:cs="Times New Roman"/>
        </w:rPr>
        <w:t xml:space="preserve"> Bubble </w:t>
      </w:r>
      <w:r w:rsidRPr="00124B71">
        <w:rPr>
          <w:rFonts w:cs="Times New Roman"/>
        </w:rPr>
        <w:t>is</w:t>
      </w:r>
      <w:r w:rsidR="001C5F7A" w:rsidRPr="00124B71">
        <w:rPr>
          <w:rFonts w:cs="Times New Roman"/>
        </w:rPr>
        <w:t xml:space="preserve"> fraught with risk and</w:t>
      </w:r>
      <w:r w:rsidRPr="00124B71">
        <w:rPr>
          <w:rFonts w:cs="Times New Roman"/>
        </w:rPr>
        <w:t xml:space="preserve"> </w:t>
      </w:r>
      <w:r w:rsidR="007B71FE" w:rsidRPr="00124B71">
        <w:rPr>
          <w:rFonts w:cs="Times New Roman"/>
        </w:rPr>
        <w:t xml:space="preserve">is </w:t>
      </w:r>
      <w:r w:rsidRPr="00124B71">
        <w:rPr>
          <w:rFonts w:cs="Times New Roman"/>
        </w:rPr>
        <w:t>seriously flawed.</w:t>
      </w:r>
    </w:p>
    <w:p w14:paraId="0D2D998D" w14:textId="77777777" w:rsidR="001C5F7A" w:rsidRPr="00124B71" w:rsidRDefault="001C5F7A" w:rsidP="001158BB">
      <w:pPr>
        <w:rPr>
          <w:rFonts w:cs="Times New Roman"/>
        </w:rPr>
      </w:pPr>
      <w:r w:rsidRPr="00124B71">
        <w:rPr>
          <w:rFonts w:cs="Times New Roman"/>
        </w:rPr>
        <w:t xml:space="preserve">The </w:t>
      </w:r>
      <w:r w:rsidR="0061670B" w:rsidRPr="00124B71">
        <w:rPr>
          <w:rFonts w:cs="Times New Roman"/>
        </w:rPr>
        <w:t>comparative-sales</w:t>
      </w:r>
      <w:r w:rsidRPr="00124B71">
        <w:rPr>
          <w:rFonts w:cs="Times New Roman"/>
        </w:rPr>
        <w:t xml:space="preserve"> approach</w:t>
      </w:r>
      <w:r w:rsidR="001858B5">
        <w:rPr>
          <w:rFonts w:cs="Times New Roman"/>
        </w:rPr>
        <w:fldChar w:fldCharType="begin"/>
      </w:r>
      <w:r w:rsidR="003247C5">
        <w:instrText xml:space="preserve"> XE "</w:instrText>
      </w:r>
      <w:r w:rsidR="003247C5" w:rsidRPr="001C7382">
        <w:rPr>
          <w:rFonts w:cs="Times New Roman"/>
        </w:rPr>
        <w:instrText>comparative-sales approach</w:instrText>
      </w:r>
      <w:r w:rsidR="003247C5">
        <w:instrText xml:space="preserve">" </w:instrText>
      </w:r>
      <w:r w:rsidR="001858B5">
        <w:rPr>
          <w:rFonts w:cs="Times New Roman"/>
        </w:rPr>
        <w:fldChar w:fldCharType="end"/>
      </w:r>
      <w:r w:rsidRPr="00124B71">
        <w:rPr>
          <w:rFonts w:cs="Times New Roman"/>
        </w:rPr>
        <w:t xml:space="preserve"> reinforces </w:t>
      </w:r>
      <w:r w:rsidR="007B71FE" w:rsidRPr="00124B71">
        <w:rPr>
          <w:rFonts w:cs="Times New Roman"/>
        </w:rPr>
        <w:t xml:space="preserve">the </w:t>
      </w:r>
      <w:r w:rsidRPr="00124B71">
        <w:rPr>
          <w:rFonts w:cs="Times New Roman"/>
        </w:rPr>
        <w:t>delusive behavior and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Pr="00124B71">
        <w:rPr>
          <w:rFonts w:cs="Times New Roman"/>
        </w:rPr>
        <w:t xml:space="preserve"> of a financial mania. If everyone is overpaying for real estate, the </w:t>
      </w:r>
      <w:r w:rsidR="0061670B" w:rsidRPr="00124B71">
        <w:rPr>
          <w:rFonts w:cs="Times New Roman"/>
        </w:rPr>
        <w:t>comparative-sales</w:t>
      </w:r>
      <w:r w:rsidRPr="00124B71">
        <w:rPr>
          <w:rFonts w:cs="Times New Roman"/>
        </w:rPr>
        <w:t xml:space="preserve"> approach simply enables greater fools to continue overpaying for real estate. Since market prices for houses which serve as loan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Pr="00124B71">
        <w:rPr>
          <w:rFonts w:cs="Times New Roman"/>
        </w:rPr>
        <w:t xml:space="preserve"> fall to fundamental valuations based on income after the financial mania runs its course, mortgages originated based on the </w:t>
      </w:r>
      <w:r w:rsidR="0061670B" w:rsidRPr="00124B71">
        <w:rPr>
          <w:rFonts w:cs="Times New Roman"/>
        </w:rPr>
        <w:t>comparative-sales</w:t>
      </w:r>
      <w:r w:rsidRPr="00124B71">
        <w:rPr>
          <w:rFonts w:cs="Times New Roman"/>
        </w:rPr>
        <w:t xml:space="preserve"> approach have a great deal of market risk not reflected in the pricing of collateralized debt obligations based on the underlying mortgage loans.</w:t>
      </w:r>
    </w:p>
    <w:p w14:paraId="29687996" w14:textId="77777777" w:rsidR="001C5F7A" w:rsidRPr="00124B71" w:rsidRDefault="001C5F7A" w:rsidP="001158BB">
      <w:pPr>
        <w:rPr>
          <w:rFonts w:cs="Times New Roman"/>
        </w:rPr>
      </w:pPr>
      <w:r w:rsidRPr="00124B71">
        <w:rPr>
          <w:rFonts w:cs="Times New Roman"/>
        </w:rPr>
        <w:t>The cost approach</w:t>
      </w:r>
      <w:r w:rsidR="001858B5">
        <w:rPr>
          <w:rFonts w:cs="Times New Roman"/>
        </w:rPr>
        <w:fldChar w:fldCharType="begin"/>
      </w:r>
      <w:r w:rsidR="003247C5">
        <w:instrText xml:space="preserve"> XE "</w:instrText>
      </w:r>
      <w:r w:rsidR="003247C5" w:rsidRPr="000C6AA7">
        <w:rPr>
          <w:rFonts w:cs="Times New Roman"/>
        </w:rPr>
        <w:instrText>cost approach</w:instrText>
      </w:r>
      <w:r w:rsidR="003247C5">
        <w:instrText xml:space="preserve">" </w:instrText>
      </w:r>
      <w:r w:rsidR="001858B5">
        <w:rPr>
          <w:rFonts w:cs="Times New Roman"/>
        </w:rPr>
        <w:fldChar w:fldCharType="end"/>
      </w:r>
      <w:r w:rsidRPr="00124B71">
        <w:rPr>
          <w:rFonts w:cs="Times New Roman"/>
        </w:rPr>
        <w:t xml:space="preserve"> has an even greater level of market risk. The cost of a structure may represent a relatively small percentage of the market value of </w:t>
      </w:r>
      <w:r w:rsidRPr="00124B71">
        <w:rPr>
          <w:rFonts w:cs="Times New Roman"/>
        </w:rPr>
        <w:lastRenderedPageBreak/>
        <w:t>real estate</w:t>
      </w:r>
      <w:r w:rsidR="0028333A" w:rsidRPr="00124B71">
        <w:rPr>
          <w:rFonts w:cs="Times New Roman"/>
        </w:rPr>
        <w:t xml:space="preserve"> in high-value markets. In some of the most overvalued markets during the bubble, the replacement cost of the structure may have been $2</w:t>
      </w:r>
      <w:r w:rsidR="002C2FE7" w:rsidRPr="00124B71">
        <w:rPr>
          <w:rFonts w:cs="Times New Roman"/>
        </w:rPr>
        <w:t>5</w:t>
      </w:r>
      <w:r w:rsidR="0028333A" w:rsidRPr="00124B71">
        <w:rPr>
          <w:rFonts w:cs="Times New Roman"/>
        </w:rPr>
        <w:t>0,000 while the value of the underling land was $4</w:t>
      </w:r>
      <w:r w:rsidR="002C2FE7" w:rsidRPr="00124B71">
        <w:rPr>
          <w:rFonts w:cs="Times New Roman"/>
        </w:rPr>
        <w:t>5</w:t>
      </w:r>
      <w:r w:rsidR="0028333A" w:rsidRPr="00124B71">
        <w:rPr>
          <w:rFonts w:cs="Times New Roman"/>
        </w:rPr>
        <w:t>0,000</w:t>
      </w:r>
      <w:r w:rsidR="002C2FE7" w:rsidRPr="00124B71">
        <w:rPr>
          <w:rFonts w:cs="Times New Roman"/>
        </w:rPr>
        <w:t>;</w:t>
      </w:r>
      <w:r w:rsidR="0028333A" w:rsidRPr="00124B71">
        <w:rPr>
          <w:rFonts w:cs="Times New Roman"/>
        </w:rPr>
        <w:t xml:space="preserve"> </w:t>
      </w:r>
      <w:r w:rsidR="002C2FE7" w:rsidRPr="00124B71">
        <w:rPr>
          <w:rFonts w:cs="Times New Roman"/>
        </w:rPr>
        <w:t>h</w:t>
      </w:r>
      <w:r w:rsidR="0028333A" w:rsidRPr="00124B71">
        <w:rPr>
          <w:rFonts w:cs="Times New Roman"/>
        </w:rPr>
        <w:t xml:space="preserve">owever, since the market value of land is a residual calculation based on the market value of the property, the value of the land cannot be determined independently of the house situated on it. Either the </w:t>
      </w:r>
      <w:r w:rsidR="0061670B" w:rsidRPr="00124B71">
        <w:rPr>
          <w:rFonts w:cs="Times New Roman"/>
        </w:rPr>
        <w:t>comparative-sales</w:t>
      </w:r>
      <w:r w:rsidR="0028333A" w:rsidRPr="00124B71">
        <w:rPr>
          <w:rFonts w:cs="Times New Roman"/>
        </w:rPr>
        <w:t xml:space="preserve"> approach</w:t>
      </w:r>
      <w:r w:rsidR="001858B5">
        <w:rPr>
          <w:rFonts w:cs="Times New Roman"/>
        </w:rPr>
        <w:fldChar w:fldCharType="begin"/>
      </w:r>
      <w:r w:rsidR="003247C5">
        <w:instrText xml:space="preserve"> XE "</w:instrText>
      </w:r>
      <w:r w:rsidR="003247C5" w:rsidRPr="001C7382">
        <w:rPr>
          <w:rFonts w:cs="Times New Roman"/>
        </w:rPr>
        <w:instrText>comparative-sales approach</w:instrText>
      </w:r>
      <w:r w:rsidR="003247C5">
        <w:instrText xml:space="preserve">" </w:instrText>
      </w:r>
      <w:r w:rsidR="001858B5">
        <w:rPr>
          <w:rFonts w:cs="Times New Roman"/>
        </w:rPr>
        <w:fldChar w:fldCharType="end"/>
      </w:r>
      <w:r w:rsidR="0028333A" w:rsidRPr="00124B71">
        <w:rPr>
          <w:rFonts w:cs="Times New Roman"/>
        </w:rPr>
        <w:t xml:space="preserve"> or the income approach</w:t>
      </w:r>
      <w:r w:rsidR="001858B5">
        <w:rPr>
          <w:rFonts w:cs="Times New Roman"/>
        </w:rPr>
        <w:fldChar w:fldCharType="begin"/>
      </w:r>
      <w:r w:rsidR="003247C5">
        <w:instrText xml:space="preserve"> XE "</w:instrText>
      </w:r>
      <w:r w:rsidR="003247C5" w:rsidRPr="00F97F1B">
        <w:rPr>
          <w:rFonts w:cs="Times New Roman"/>
        </w:rPr>
        <w:instrText>income approach</w:instrText>
      </w:r>
      <w:r w:rsidR="003247C5">
        <w:instrText xml:space="preserve">" </w:instrText>
      </w:r>
      <w:r w:rsidR="001858B5">
        <w:rPr>
          <w:rFonts w:cs="Times New Roman"/>
        </w:rPr>
        <w:fldChar w:fldCharType="end"/>
      </w:r>
      <w:r w:rsidR="0028333A" w:rsidRPr="00124B71">
        <w:rPr>
          <w:rFonts w:cs="Times New Roman"/>
        </w:rPr>
        <w:t xml:space="preserve"> must first be applied to establish the market value of the property before any calculation of the market value of the land can be determined. In short, since the cost approach is dependent upon another valuation method, it is not useful as an independent method of property valuation. Also, since the valuation of land is extremely sensitive to small changes in the valuation of the property, the cost approach is misleading with respect to the valuation of residential real estate.</w:t>
      </w:r>
    </w:p>
    <w:p w14:paraId="280D2E49" w14:textId="77777777" w:rsidR="00D03304" w:rsidRPr="00124B71" w:rsidRDefault="0028333A" w:rsidP="001158BB">
      <w:pPr>
        <w:rPr>
          <w:rFonts w:cs="Times New Roman"/>
        </w:rPr>
      </w:pPr>
      <w:r w:rsidRPr="00124B71">
        <w:rPr>
          <w:rFonts w:cs="Times New Roman"/>
        </w:rPr>
        <w:t>The only reliable method for the valuation of residential real estate is the income approach</w:t>
      </w:r>
      <w:r w:rsidR="001858B5">
        <w:rPr>
          <w:rFonts w:cs="Times New Roman"/>
        </w:rPr>
        <w:fldChar w:fldCharType="begin"/>
      </w:r>
      <w:r w:rsidR="003247C5">
        <w:instrText xml:space="preserve"> XE "</w:instrText>
      </w:r>
      <w:r w:rsidR="003247C5" w:rsidRPr="00F97F1B">
        <w:rPr>
          <w:rFonts w:cs="Times New Roman"/>
        </w:rPr>
        <w:instrText>income approach</w:instrText>
      </w:r>
      <w:r w:rsidR="003247C5">
        <w:instrText xml:space="preserve">" </w:instrText>
      </w:r>
      <w:r w:rsidR="001858B5">
        <w:rPr>
          <w:rFonts w:cs="Times New Roman"/>
        </w:rPr>
        <w:fldChar w:fldCharType="end"/>
      </w:r>
      <w:r w:rsidRPr="00124B71">
        <w:rPr>
          <w:rFonts w:cs="Times New Roman"/>
        </w:rPr>
        <w:t xml:space="preserve">, and it is the only approach that is widely ignored by the lending community. </w:t>
      </w:r>
      <w:r w:rsidR="00B05461" w:rsidRPr="00124B71">
        <w:rPr>
          <w:rFonts w:cs="Times New Roman"/>
        </w:rPr>
        <w:t>It has been demonstrated in previous residential market bubbles in California and in major metropolitan areas in other states that once a price decline begins, prices fall to fundamental valuations based on income and rent</w:t>
      </w:r>
      <w:r w:rsidR="00656E6C" w:rsidRPr="00124B71">
        <w:rPr>
          <w:rFonts w:cs="Times New Roman"/>
        </w:rPr>
        <w:t>.</w:t>
      </w:r>
      <w:r w:rsidR="00635AA0" w:rsidRPr="00124B71">
        <w:rPr>
          <w:rFonts w:cs="Times New Roman"/>
        </w:rPr>
        <w:t xml:space="preserve"> </w:t>
      </w:r>
      <w:r w:rsidR="00526996" w:rsidRPr="00124B71">
        <w:rPr>
          <w:rStyle w:val="EndnoteReference"/>
          <w:rFonts w:cs="Times New Roman"/>
        </w:rPr>
        <w:endnoteReference w:id="72"/>
      </w:r>
      <w:r w:rsidR="00B05461" w:rsidRPr="00124B71">
        <w:rPr>
          <w:rFonts w:cs="Times New Roman"/>
        </w:rPr>
        <w:t xml:space="preserve"> The reason for this is </w:t>
      </w:r>
      <w:r w:rsidR="007B71FE" w:rsidRPr="00124B71">
        <w:rPr>
          <w:rFonts w:cs="Times New Roman"/>
        </w:rPr>
        <w:t xml:space="preserve">that </w:t>
      </w:r>
      <w:r w:rsidR="00B05461" w:rsidRPr="00124B71">
        <w:rPr>
          <w:rFonts w:cs="Times New Roman"/>
        </w:rPr>
        <w:t xml:space="preserve">once the speculative investment incentive is removed from the market, buyers do not support prices until </w:t>
      </w:r>
      <w:r w:rsidR="00737204" w:rsidRPr="00124B71">
        <w:rPr>
          <w:rFonts w:cs="Times New Roman"/>
        </w:rPr>
        <w:t xml:space="preserve">there is a new reason for them to buy: they </w:t>
      </w:r>
      <w:r w:rsidR="007B71FE" w:rsidRPr="00124B71">
        <w:rPr>
          <w:rFonts w:cs="Times New Roman"/>
        </w:rPr>
        <w:t xml:space="preserve">can </w:t>
      </w:r>
      <w:r w:rsidR="00737204" w:rsidRPr="00124B71">
        <w:rPr>
          <w:rFonts w:cs="Times New Roman"/>
        </w:rPr>
        <w:t xml:space="preserve">save money versus renting. Comparative rents are the fundamental valuation of residential real estate. Mortgage </w:t>
      </w:r>
      <w:r w:rsidR="003F3930" w:rsidRPr="00124B71">
        <w:rPr>
          <w:rFonts w:cs="Times New Roman"/>
        </w:rPr>
        <w:t>default loss risk</w:t>
      </w:r>
      <w:r w:rsidR="00737204" w:rsidRPr="00124B71">
        <w:rPr>
          <w:rFonts w:cs="Times New Roman"/>
        </w:rPr>
        <w:t xml:space="preserve"> is low only when market prices are in line with comparative rents or when market prices are increasing.</w:t>
      </w:r>
      <w:r w:rsidR="002A5C6E" w:rsidRPr="00124B71">
        <w:rPr>
          <w:rFonts w:cs="Times New Roman"/>
        </w:rPr>
        <w:t xml:space="preserve"> </w:t>
      </w:r>
      <w:r w:rsidR="003F3930" w:rsidRPr="00124B71">
        <w:rPr>
          <w:rFonts w:cs="Times New Roman"/>
        </w:rPr>
        <w:t>Default loss risk</w:t>
      </w:r>
      <w:r w:rsidR="002A5C6E" w:rsidRPr="00124B71">
        <w:rPr>
          <w:rFonts w:cs="Times New Roman"/>
        </w:rPr>
        <w:t xml:space="preserve"> is low when prices are in line with rents because a property can be converted from owner-occupied</w:t>
      </w:r>
      <w:r w:rsidR="001858B5">
        <w:rPr>
          <w:rFonts w:cs="Times New Roman"/>
        </w:rPr>
        <w:fldChar w:fldCharType="begin"/>
      </w:r>
      <w:r w:rsidR="00FA2AEF">
        <w:instrText xml:space="preserve"> XE "</w:instrText>
      </w:r>
      <w:r w:rsidR="00FA2AEF" w:rsidRPr="002D78BE">
        <w:rPr>
          <w:rFonts w:cs="Times New Roman"/>
        </w:rPr>
        <w:instrText>owner-occupied</w:instrText>
      </w:r>
      <w:r w:rsidR="00FA2AEF">
        <w:instrText xml:space="preserve">" </w:instrText>
      </w:r>
      <w:r w:rsidR="001858B5">
        <w:rPr>
          <w:rFonts w:cs="Times New Roman"/>
        </w:rPr>
        <w:fldChar w:fldCharType="end"/>
      </w:r>
      <w:r w:rsidR="002A5C6E" w:rsidRPr="00124B71">
        <w:rPr>
          <w:rFonts w:cs="Times New Roman"/>
        </w:rPr>
        <w:t xml:space="preserve"> to a rental unit and the payment can still be covered. </w:t>
      </w:r>
      <w:r w:rsidR="003F3930" w:rsidRPr="00124B71">
        <w:rPr>
          <w:rFonts w:cs="Times New Roman"/>
        </w:rPr>
        <w:t>Default loss risk</w:t>
      </w:r>
      <w:r w:rsidR="002A5C6E" w:rsidRPr="00124B71">
        <w:rPr>
          <w:rFonts w:cs="Times New Roman"/>
        </w:rPr>
        <w:t xml:space="preserve"> is low when prices are rising because a borrower experiencing financial difficulty can always sell the property to repay the loan.</w:t>
      </w:r>
      <w:r w:rsidR="00737204" w:rsidRPr="00124B71">
        <w:rPr>
          <w:rFonts w:cs="Times New Roman"/>
        </w:rPr>
        <w:t xml:space="preserve"> Unfortunately, once market prices increase </w:t>
      </w:r>
      <w:r w:rsidR="00526996" w:rsidRPr="00124B71">
        <w:rPr>
          <w:rFonts w:cs="Times New Roman"/>
        </w:rPr>
        <w:t>above</w:t>
      </w:r>
      <w:r w:rsidR="00737204" w:rsidRPr="00124B71">
        <w:rPr>
          <w:rFonts w:cs="Times New Roman"/>
        </w:rPr>
        <w:t xml:space="preserve"> the level of comparative rents, they </w:t>
      </w:r>
      <w:r w:rsidR="00526996" w:rsidRPr="00124B71">
        <w:rPr>
          <w:rFonts w:cs="Times New Roman"/>
        </w:rPr>
        <w:t>endure</w:t>
      </w:r>
      <w:r w:rsidR="00737204" w:rsidRPr="00124B71">
        <w:rPr>
          <w:rFonts w:cs="Times New Roman"/>
        </w:rPr>
        <w:t xml:space="preserve"> a period of decline back to </w:t>
      </w:r>
      <w:r w:rsidR="002A5C6E" w:rsidRPr="00124B71">
        <w:rPr>
          <w:rFonts w:cs="Times New Roman"/>
        </w:rPr>
        <w:t>comparative rent</w:t>
      </w:r>
      <w:r w:rsidR="00737204" w:rsidRPr="00124B71">
        <w:rPr>
          <w:rFonts w:cs="Times New Roman"/>
        </w:rPr>
        <w:t xml:space="preserve"> levels</w:t>
      </w:r>
      <w:r w:rsidR="002A5C6E" w:rsidRPr="00124B71">
        <w:rPr>
          <w:rFonts w:cs="Times New Roman"/>
        </w:rPr>
        <w:t>; therefore</w:t>
      </w:r>
      <w:r w:rsidR="00737204" w:rsidRPr="00124B71">
        <w:rPr>
          <w:rFonts w:cs="Times New Roman"/>
        </w:rPr>
        <w:t>,</w:t>
      </w:r>
      <w:r w:rsidR="002A5C6E" w:rsidRPr="00124B71">
        <w:rPr>
          <w:rFonts w:cs="Times New Roman"/>
        </w:rPr>
        <w:t xml:space="preserve"> </w:t>
      </w:r>
      <w:r w:rsidR="00737204" w:rsidRPr="00124B71">
        <w:rPr>
          <w:rFonts w:cs="Times New Roman"/>
        </w:rPr>
        <w:t xml:space="preserve">if lenders continue to use the </w:t>
      </w:r>
      <w:r w:rsidR="0061670B" w:rsidRPr="00124B71">
        <w:rPr>
          <w:rFonts w:cs="Times New Roman"/>
        </w:rPr>
        <w:t>comparative-sales</w:t>
      </w:r>
      <w:r w:rsidR="00737204" w:rsidRPr="00124B71">
        <w:rPr>
          <w:rFonts w:cs="Times New Roman"/>
        </w:rPr>
        <w:t xml:space="preserve"> approach</w:t>
      </w:r>
      <w:r w:rsidR="001858B5">
        <w:rPr>
          <w:rFonts w:cs="Times New Roman"/>
        </w:rPr>
        <w:fldChar w:fldCharType="begin"/>
      </w:r>
      <w:r w:rsidR="003247C5">
        <w:instrText xml:space="preserve"> XE "</w:instrText>
      </w:r>
      <w:r w:rsidR="003247C5" w:rsidRPr="001C7382">
        <w:rPr>
          <w:rFonts w:cs="Times New Roman"/>
        </w:rPr>
        <w:instrText>comparative-sales approach</w:instrText>
      </w:r>
      <w:r w:rsidR="003247C5">
        <w:instrText xml:space="preserve">" </w:instrText>
      </w:r>
      <w:r w:rsidR="001858B5">
        <w:rPr>
          <w:rFonts w:cs="Times New Roman"/>
        </w:rPr>
        <w:fldChar w:fldCharType="end"/>
      </w:r>
      <w:r w:rsidR="00737204" w:rsidRPr="00124B71">
        <w:rPr>
          <w:rFonts w:cs="Times New Roman"/>
        </w:rPr>
        <w:t xml:space="preserve">, they will enjoy a temporary period of low market risk while prices </w:t>
      </w:r>
      <w:r w:rsidR="002A5C6E" w:rsidRPr="00124B71">
        <w:rPr>
          <w:rFonts w:cs="Times New Roman"/>
        </w:rPr>
        <w:t>increase</w:t>
      </w:r>
      <w:r w:rsidR="00737204" w:rsidRPr="00124B71">
        <w:rPr>
          <w:rFonts w:cs="Times New Roman"/>
        </w:rPr>
        <w:t xml:space="preserve"> and another painful period of losses when prices decrease.</w:t>
      </w:r>
      <w:r w:rsidR="002A5C6E" w:rsidRPr="00124B71">
        <w:rPr>
          <w:rFonts w:cs="Times New Roman"/>
        </w:rPr>
        <w:t xml:space="preserve"> As was demonstrated in the aftermath of </w:t>
      </w:r>
      <w:r w:rsidR="001A34D5">
        <w:rPr>
          <w:rFonts w:cs="Times New Roman"/>
        </w:rPr>
        <w:t>the Great Housing Bubble</w:t>
      </w:r>
      <w:r w:rsidR="002A5C6E" w:rsidRPr="00124B71">
        <w:rPr>
          <w:rFonts w:cs="Times New Roman"/>
        </w:rPr>
        <w:t>, these periods of lender losses can imperil the entire banking and financial system.</w:t>
      </w:r>
      <w:r w:rsidR="00737204" w:rsidRPr="00124B71">
        <w:rPr>
          <w:rFonts w:cs="Times New Roman"/>
        </w:rPr>
        <w:t xml:space="preserve"> The only way to prevent the pain of loss is to recognize the </w:t>
      </w:r>
      <w:r w:rsidR="002A5C6E" w:rsidRPr="00124B71">
        <w:rPr>
          <w:rFonts w:cs="Times New Roman"/>
        </w:rPr>
        <w:t xml:space="preserve">end-game </w:t>
      </w:r>
      <w:r w:rsidR="00737204" w:rsidRPr="00124B71">
        <w:rPr>
          <w:rFonts w:cs="Times New Roman"/>
        </w:rPr>
        <w:t xml:space="preserve">risks when prices are increasing and choose not to participate in that lending environment. Many lenders did not participate in the crazy lending of </w:t>
      </w:r>
      <w:r w:rsidR="001A34D5">
        <w:rPr>
          <w:rFonts w:cs="Times New Roman"/>
        </w:rPr>
        <w:t>the Great Housing Bubble</w:t>
      </w:r>
      <w:r w:rsidR="00737204" w:rsidRPr="00124B71">
        <w:rPr>
          <w:rFonts w:cs="Times New Roman"/>
        </w:rPr>
        <w:t>, and they were not</w:t>
      </w:r>
      <w:r w:rsidR="007B71FE" w:rsidRPr="00124B71">
        <w:rPr>
          <w:rFonts w:cs="Times New Roman"/>
        </w:rPr>
        <w:t xml:space="preserve"> significantly</w:t>
      </w:r>
      <w:r w:rsidR="00737204" w:rsidRPr="00124B71">
        <w:rPr>
          <w:rFonts w:cs="Times New Roman"/>
        </w:rPr>
        <w:t xml:space="preserve"> damaged in the aftermath; however, the hunger for mortgage loans from the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00737204" w:rsidRPr="00124B71">
        <w:rPr>
          <w:rFonts w:cs="Times New Roman"/>
        </w:rPr>
        <w:t xml:space="preserve"> market compelled many lenders to </w:t>
      </w:r>
      <w:r w:rsidR="00526996" w:rsidRPr="00124B71">
        <w:rPr>
          <w:rFonts w:cs="Times New Roman"/>
        </w:rPr>
        <w:t>participate</w:t>
      </w:r>
      <w:r w:rsidR="00737204" w:rsidRPr="00124B71">
        <w:rPr>
          <w:rFonts w:cs="Times New Roman"/>
        </w:rPr>
        <w:t xml:space="preserve"> or get buried by their competitors. The only real</w:t>
      </w:r>
      <w:r w:rsidR="002A5C6E" w:rsidRPr="00124B71">
        <w:rPr>
          <w:rFonts w:cs="Times New Roman"/>
        </w:rPr>
        <w:t xml:space="preserve"> market-based</w:t>
      </w:r>
      <w:r w:rsidR="00737204" w:rsidRPr="00124B71">
        <w:rPr>
          <w:rFonts w:cs="Times New Roman"/>
        </w:rPr>
        <w:t xml:space="preserve"> solution to the problem of originating bad loans must come from the CDO market.</w:t>
      </w:r>
    </w:p>
    <w:p w14:paraId="1CB5623D" w14:textId="77777777" w:rsidR="002E1A74" w:rsidRPr="00EF0EDA" w:rsidRDefault="00F56ED1" w:rsidP="00F56ED1">
      <w:pPr>
        <w:pStyle w:val="Heading3"/>
      </w:pPr>
      <w:bookmarkStart w:id="103" w:name="_Toc238867331"/>
      <w:r w:rsidRPr="00EF0EDA">
        <w:lastRenderedPageBreak/>
        <w:t>The CDO</w:t>
      </w:r>
      <w:r w:rsidR="001858B5">
        <w:fldChar w:fldCharType="begin"/>
      </w:r>
      <w:r w:rsidR="003247C5">
        <w:instrText xml:space="preserve"> XE "</w:instrText>
      </w:r>
      <w:r w:rsidR="003247C5" w:rsidRPr="00F20A0C">
        <w:rPr>
          <w:rFonts w:cs="Times New Roman"/>
        </w:rPr>
        <w:instrText>CDO</w:instrText>
      </w:r>
      <w:r w:rsidR="003247C5">
        <w:instrText xml:space="preserve">" </w:instrText>
      </w:r>
      <w:r w:rsidR="001858B5">
        <w:fldChar w:fldCharType="end"/>
      </w:r>
      <w:r w:rsidRPr="00EF0EDA">
        <w:t xml:space="preserve"> Market Solution</w:t>
      </w:r>
      <w:bookmarkEnd w:id="103"/>
    </w:p>
    <w:p w14:paraId="75868F14" w14:textId="77777777" w:rsidR="00A9374B" w:rsidRPr="00124B71" w:rsidRDefault="00F56ED1" w:rsidP="00652DA3">
      <w:pPr>
        <w:rPr>
          <w:rFonts w:cs="Times New Roman"/>
        </w:rPr>
      </w:pPr>
      <w:r w:rsidRPr="00124B71">
        <w:rPr>
          <w:rFonts w:cs="Times New Roman"/>
        </w:rPr>
        <w:t>The solution to preventing future bubbles in the residential real estate market lies in the market for collateralized debt obligations</w:t>
      </w:r>
      <w:r w:rsidR="0061670B" w:rsidRPr="00124B71">
        <w:rPr>
          <w:rFonts w:cs="Times New Roman"/>
        </w:rPr>
        <w:t xml:space="preserve"> and conforming loans insured by the government sponsored entities (</w:t>
      </w:r>
      <w:bookmarkStart w:id="104" w:name="OLE_LINK1"/>
      <w:bookmarkStart w:id="105" w:name="OLE_LINK2"/>
      <w:r w:rsidR="0061670B" w:rsidRPr="00124B71">
        <w:rPr>
          <w:rFonts w:cs="Times New Roman"/>
        </w:rPr>
        <w:t>GSEs</w:t>
      </w:r>
      <w:bookmarkEnd w:id="104"/>
      <w:bookmarkEnd w:id="105"/>
      <w:r w:rsidR="001858B5">
        <w:rPr>
          <w:rFonts w:cs="Times New Roman"/>
        </w:rPr>
        <w:fldChar w:fldCharType="begin"/>
      </w:r>
      <w:r w:rsidR="00FF74AC">
        <w:instrText xml:space="preserve"> XE "</w:instrText>
      </w:r>
      <w:r w:rsidR="00FF74AC" w:rsidRPr="006043DC">
        <w:rPr>
          <w:rFonts w:cs="Times New Roman"/>
        </w:rPr>
        <w:instrText>GSEs</w:instrText>
      </w:r>
      <w:r w:rsidR="00FF74AC">
        <w:instrText xml:space="preserve">" </w:instrText>
      </w:r>
      <w:r w:rsidR="001858B5">
        <w:rPr>
          <w:rFonts w:cs="Times New Roman"/>
        </w:rPr>
        <w:fldChar w:fldCharType="end"/>
      </w:r>
      <w:r w:rsidR="0061670B" w:rsidRPr="00124B71">
        <w:rPr>
          <w:rFonts w:cs="Times New Roman"/>
        </w:rPr>
        <w:t>)</w:t>
      </w:r>
      <w:r w:rsidRPr="00124B71">
        <w:rPr>
          <w:rFonts w:cs="Times New Roman"/>
        </w:rPr>
        <w:t xml:space="preserve">. The </w:t>
      </w:r>
      <w:r w:rsidR="0061670B" w:rsidRPr="00124B71">
        <w:rPr>
          <w:rFonts w:cs="Times New Roman"/>
        </w:rPr>
        <w:t xml:space="preserve">GSEs </w:t>
      </w:r>
      <w:r w:rsidRPr="00124B71">
        <w:rPr>
          <w:rFonts w:cs="Times New Roman"/>
        </w:rPr>
        <w:t>created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Pr="00124B71">
        <w:rPr>
          <w:rFonts w:cs="Times New Roman"/>
        </w:rPr>
        <w:t xml:space="preserve"> in the 1970s, and the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Pr="00124B71">
        <w:rPr>
          <w:rFonts w:cs="Times New Roman"/>
        </w:rPr>
        <w:t xml:space="preserve"> market is the extension of this market bringing large amounts of investment capital to residential real estate. During the Great Housing Bubble the CDO market did not properly evaluate the risk of default on the underlying mortgage notes they pooled.</w:t>
      </w:r>
    </w:p>
    <w:p w14:paraId="462BF910" w14:textId="77777777" w:rsidR="00C2285F" w:rsidRPr="00124B71" w:rsidRDefault="00F56ED1" w:rsidP="00652DA3">
      <w:pPr>
        <w:rPr>
          <w:rFonts w:cs="Times New Roman"/>
        </w:rPr>
      </w:pPr>
      <w:r w:rsidRPr="00124B71">
        <w:rPr>
          <w:rFonts w:cs="Times New Roman"/>
        </w:rPr>
        <w:t>If the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Pr="00124B71">
        <w:rPr>
          <w:rFonts w:cs="Times New Roman"/>
        </w:rPr>
        <w:t xml:space="preserve"> market</w:t>
      </w:r>
      <w:r w:rsidR="00A9374B" w:rsidRPr="00124B71">
        <w:rPr>
          <w:rFonts w:cs="Times New Roman"/>
        </w:rPr>
        <w:t xml:space="preserve"> were to</w:t>
      </w:r>
      <w:r w:rsidRPr="00124B71">
        <w:rPr>
          <w:rFonts w:cs="Times New Roman"/>
        </w:rPr>
        <w:t xml:space="preserve"> evaluate mortgage </w:t>
      </w:r>
      <w:r w:rsidR="003F3930" w:rsidRPr="00124B71">
        <w:rPr>
          <w:rFonts w:cs="Times New Roman"/>
        </w:rPr>
        <w:t>default loss risk</w:t>
      </w:r>
      <w:r w:rsidRPr="00124B71">
        <w:rPr>
          <w:rFonts w:cs="Times New Roman"/>
        </w:rPr>
        <w:t xml:space="preserve"> based on the income approach</w:t>
      </w:r>
      <w:r w:rsidR="001858B5">
        <w:rPr>
          <w:rFonts w:cs="Times New Roman"/>
        </w:rPr>
        <w:fldChar w:fldCharType="begin"/>
      </w:r>
      <w:r w:rsidR="003247C5">
        <w:instrText xml:space="preserve"> XE "</w:instrText>
      </w:r>
      <w:r w:rsidR="003247C5" w:rsidRPr="00F97F1B">
        <w:rPr>
          <w:rFonts w:cs="Times New Roman"/>
        </w:rPr>
        <w:instrText>income approach</w:instrText>
      </w:r>
      <w:r w:rsidR="003247C5">
        <w:instrText xml:space="preserve">" </w:instrText>
      </w:r>
      <w:r w:rsidR="001858B5">
        <w:rPr>
          <w:rFonts w:cs="Times New Roman"/>
        </w:rPr>
        <w:fldChar w:fldCharType="end"/>
      </w:r>
      <w:r w:rsidRPr="00124B71">
        <w:rPr>
          <w:rFonts w:cs="Times New Roman"/>
        </w:rPr>
        <w:t xml:space="preserve"> rather than the </w:t>
      </w:r>
      <w:r w:rsidR="0061670B" w:rsidRPr="00124B71">
        <w:rPr>
          <w:rFonts w:cs="Times New Roman"/>
        </w:rPr>
        <w:t>comparative-sales</w:t>
      </w:r>
      <w:r w:rsidRPr="00124B71">
        <w:rPr>
          <w:rFonts w:cs="Times New Roman"/>
        </w:rPr>
        <w:t xml:space="preserve"> approach</w:t>
      </w:r>
      <w:r w:rsidR="001858B5">
        <w:rPr>
          <w:rFonts w:cs="Times New Roman"/>
        </w:rPr>
        <w:fldChar w:fldCharType="begin"/>
      </w:r>
      <w:r w:rsidR="003247C5">
        <w:instrText xml:space="preserve"> XE "</w:instrText>
      </w:r>
      <w:r w:rsidR="003247C5" w:rsidRPr="001C7382">
        <w:rPr>
          <w:rFonts w:cs="Times New Roman"/>
        </w:rPr>
        <w:instrText>comparative-sales approach</w:instrText>
      </w:r>
      <w:r w:rsidR="003247C5">
        <w:instrText xml:space="preserve">" </w:instrText>
      </w:r>
      <w:r w:rsidR="001858B5">
        <w:rPr>
          <w:rFonts w:cs="Times New Roman"/>
        </w:rPr>
        <w:fldChar w:fldCharType="end"/>
      </w:r>
      <w:r w:rsidRPr="00124B71">
        <w:rPr>
          <w:rFonts w:cs="Times New Roman"/>
        </w:rPr>
        <w:t>, the performance of CDOs w</w:t>
      </w:r>
      <w:r w:rsidR="00A9374B" w:rsidRPr="00124B71">
        <w:rPr>
          <w:rFonts w:cs="Times New Roman"/>
        </w:rPr>
        <w:t>ould</w:t>
      </w:r>
      <w:r w:rsidRPr="00124B71">
        <w:rPr>
          <w:rFonts w:cs="Times New Roman"/>
        </w:rPr>
        <w:t xml:space="preserve"> be greatly improved, and investor confidence w</w:t>
      </w:r>
      <w:r w:rsidR="00A9374B" w:rsidRPr="00124B71">
        <w:rPr>
          <w:rFonts w:cs="Times New Roman"/>
        </w:rPr>
        <w:t>ould</w:t>
      </w:r>
      <w:r w:rsidRPr="00124B71">
        <w:rPr>
          <w:rFonts w:cs="Times New Roman"/>
        </w:rPr>
        <w:t xml:space="preserve"> return to the market. It is only after the risks are properly evaluated that capital </w:t>
      </w:r>
      <w:r w:rsidR="00A9374B" w:rsidRPr="00124B71">
        <w:rPr>
          <w:rFonts w:cs="Times New Roman"/>
        </w:rPr>
        <w:t xml:space="preserve">would </w:t>
      </w:r>
      <w:r w:rsidRPr="00124B71">
        <w:rPr>
          <w:rFonts w:cs="Times New Roman"/>
        </w:rPr>
        <w:t xml:space="preserve">return to this market. If the CDO market evaluates risk based on the income approach, the lenders that originate loans hoping to sell them to CDOs </w:t>
      </w:r>
      <w:r w:rsidR="00A9374B" w:rsidRPr="00124B71">
        <w:rPr>
          <w:rFonts w:cs="Times New Roman"/>
        </w:rPr>
        <w:t xml:space="preserve">would </w:t>
      </w:r>
      <w:r w:rsidRPr="00124B71">
        <w:rPr>
          <w:rFonts w:cs="Times New Roman"/>
        </w:rPr>
        <w:t>be forced to do the same. If lenders originate loans based on the income approach, the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Pr="00124B71">
        <w:rPr>
          <w:rFonts w:cs="Times New Roman"/>
        </w:rPr>
        <w:t xml:space="preserve"> that creates financial bubbles </w:t>
      </w:r>
      <w:r w:rsidR="00A9374B" w:rsidRPr="00124B71">
        <w:rPr>
          <w:rFonts w:cs="Times New Roman"/>
        </w:rPr>
        <w:t xml:space="preserve">would </w:t>
      </w:r>
      <w:r w:rsidRPr="00124B71">
        <w:rPr>
          <w:rFonts w:cs="Times New Roman"/>
        </w:rPr>
        <w:t xml:space="preserve">not be enabled. People would still be free to overpay for houses with their own money, but the scope and scale of financial bubbles </w:t>
      </w:r>
      <w:r w:rsidR="00A9374B" w:rsidRPr="00124B71">
        <w:rPr>
          <w:rFonts w:cs="Times New Roman"/>
        </w:rPr>
        <w:t xml:space="preserve">would </w:t>
      </w:r>
      <w:r w:rsidRPr="00124B71">
        <w:rPr>
          <w:rFonts w:cs="Times New Roman"/>
        </w:rPr>
        <w:t xml:space="preserve">be limited to </w:t>
      </w:r>
      <w:r w:rsidR="00BF256C" w:rsidRPr="00124B71">
        <w:rPr>
          <w:rFonts w:cs="Times New Roman"/>
        </w:rPr>
        <w:t xml:space="preserve">the funds of buyers, and the banking system </w:t>
      </w:r>
      <w:r w:rsidR="00A9374B" w:rsidRPr="00124B71">
        <w:rPr>
          <w:rFonts w:cs="Times New Roman"/>
        </w:rPr>
        <w:t xml:space="preserve">would </w:t>
      </w:r>
      <w:r w:rsidR="00BF256C" w:rsidRPr="00124B71">
        <w:rPr>
          <w:rFonts w:cs="Times New Roman"/>
        </w:rPr>
        <w:t>not be imperiled by the foolishness of the market masses when prices fall to fundamental valuations based on rent and income.</w:t>
      </w:r>
    </w:p>
    <w:p w14:paraId="1FFEABF6" w14:textId="77777777" w:rsidR="001767A9" w:rsidRPr="00EF0EDA" w:rsidRDefault="00652DA3" w:rsidP="00AD7430">
      <w:pPr>
        <w:pStyle w:val="Heading2"/>
      </w:pPr>
      <w:bookmarkStart w:id="106" w:name="_Toc238867332"/>
      <w:r w:rsidRPr="00EF0EDA">
        <w:t>Visualizing the Bubble</w:t>
      </w:r>
      <w:bookmarkEnd w:id="106"/>
    </w:p>
    <w:p w14:paraId="0817CB58" w14:textId="77777777" w:rsidR="00715F6A" w:rsidRPr="00124B71" w:rsidRDefault="00715F6A" w:rsidP="00652DA3">
      <w:pPr>
        <w:rPr>
          <w:rFonts w:cs="Times New Roman"/>
        </w:rPr>
      </w:pPr>
      <w:r w:rsidRPr="00124B71">
        <w:rPr>
          <w:rFonts w:cs="Times New Roman"/>
        </w:rPr>
        <w:t>With a huge influx of capital into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00BB71C5" w:rsidRPr="00124B71">
        <w:rPr>
          <w:rFonts w:cs="Times New Roman"/>
        </w:rPr>
        <w:t xml:space="preserve"> when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00BB71C5" w:rsidRPr="00124B71">
        <w:rPr>
          <w:rFonts w:cs="Times New Roman"/>
        </w:rPr>
        <w:t xml:space="preserve"> lowered interest rates in 200</w:t>
      </w:r>
      <w:r w:rsidR="007B71FE" w:rsidRPr="00124B71">
        <w:rPr>
          <w:rFonts w:cs="Times New Roman"/>
        </w:rPr>
        <w:t>1</w:t>
      </w:r>
      <w:r w:rsidR="00BB71C5" w:rsidRPr="00124B71">
        <w:rPr>
          <w:rFonts w:cs="Times New Roman"/>
        </w:rPr>
        <w:t>-2004</w:t>
      </w:r>
      <w:r w:rsidRPr="00124B71">
        <w:rPr>
          <w:rFonts w:cs="Times New Roman"/>
        </w:rPr>
        <w:t>, the industry was under tremendous pressure to deliver more loans to hungry investors</w:t>
      </w:r>
      <w:r w:rsidR="00BB71C5" w:rsidRPr="00124B71">
        <w:rPr>
          <w:rFonts w:cs="Times New Roman"/>
        </w:rPr>
        <w:t xml:space="preserve"> seeking higher yields</w:t>
      </w:r>
      <w:r w:rsidRPr="00124B71">
        <w:rPr>
          <w:rFonts w:cs="Times New Roman"/>
        </w:rPr>
        <w:t>. This caused the already-low loan standards to be all but eliminated. All of the worst “innovations” in the lending industry occurred during this period: Negative Amortization loans, Stated-Income loans (Liar Loans,) NINJA loans (no income, no job, no assets,)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FICO</w:t>
      </w:r>
      <w:r w:rsidR="001858B5">
        <w:rPr>
          <w:rFonts w:cs="Times New Roman"/>
        </w:rPr>
        <w:fldChar w:fldCharType="begin"/>
      </w:r>
      <w:r w:rsidR="003247C5">
        <w:instrText xml:space="preserve"> XE "</w:instrText>
      </w:r>
      <w:r w:rsidR="003247C5" w:rsidRPr="006E6D09">
        <w:rPr>
          <w:rFonts w:cs="Times New Roman"/>
        </w:rPr>
        <w:instrText>FICO</w:instrText>
      </w:r>
      <w:r w:rsidR="003247C5">
        <w:instrText xml:space="preserve">" </w:instrText>
      </w:r>
      <w:r w:rsidR="001858B5">
        <w:rPr>
          <w:rFonts w:cs="Times New Roman"/>
        </w:rPr>
        <w:fldChar w:fldCharType="end"/>
      </w:r>
      <w:r w:rsidRPr="00124B71">
        <w:rPr>
          <w:rFonts w:cs="Times New Roman"/>
        </w:rPr>
        <w:t xml:space="preserve"> scores under 500,</w:t>
      </w:r>
      <w:r w:rsidR="00BB71C5" w:rsidRPr="00124B71">
        <w:rPr>
          <w:rFonts w:cs="Times New Roman"/>
        </w:rPr>
        <w:t xml:space="preserve"> and</w:t>
      </w:r>
      <w:r w:rsidRPr="00124B71">
        <w:rPr>
          <w:rFonts w:cs="Times New Roman"/>
        </w:rPr>
        <w:t xml:space="preserve"> </w:t>
      </w:r>
      <w:r w:rsidR="00BB71C5" w:rsidRPr="00124B71">
        <w:rPr>
          <w:rFonts w:cs="Times New Roman"/>
        </w:rPr>
        <w:t>one-day-out-of-bankruptcy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00BB71C5" w:rsidRPr="00124B71">
        <w:rPr>
          <w:rFonts w:cs="Times New Roman"/>
        </w:rPr>
        <w:t xml:space="preserve"> loans</w:t>
      </w:r>
      <w:r w:rsidRPr="00124B71">
        <w:rPr>
          <w:rFonts w:cs="Times New Roman"/>
        </w:rPr>
        <w:t xml:space="preserve"> </w:t>
      </w:r>
      <w:r w:rsidR="00BB71C5" w:rsidRPr="00124B71">
        <w:rPr>
          <w:rFonts w:cs="Times New Roman"/>
        </w:rPr>
        <w:t>among others</w:t>
      </w:r>
      <w:r w:rsidRPr="00124B71">
        <w:rPr>
          <w:rFonts w:cs="Times New Roman"/>
        </w:rPr>
        <w:t>. The joke was if borrower</w:t>
      </w:r>
      <w:r w:rsidR="008260CB" w:rsidRPr="00124B71">
        <w:rPr>
          <w:rFonts w:cs="Times New Roman"/>
        </w:rPr>
        <w:t>s</w:t>
      </w:r>
      <w:r w:rsidRPr="00124B71">
        <w:rPr>
          <w:rFonts w:cs="Times New Roman"/>
        </w:rPr>
        <w:t xml:space="preserve"> could “fog a mirror” or if they “had a pulse,” they could get a loan for as much as they wanted to buy a house. It is not hard to envision the impact this had on house prices.</w:t>
      </w:r>
    </w:p>
    <w:p w14:paraId="13E0B3AE" w14:textId="77777777" w:rsidR="001767A9" w:rsidRPr="00124B71" w:rsidRDefault="001767A9" w:rsidP="008560E2">
      <w:pPr>
        <w:rPr>
          <w:rFonts w:cs="Times New Roman"/>
        </w:rPr>
      </w:pPr>
      <w:r w:rsidRPr="00124B71">
        <w:rPr>
          <w:rFonts w:cs="Times New Roman"/>
        </w:rPr>
        <w:t xml:space="preserve">Imagine a room with 100 people representing the pool of subprime borrowers. These are new entrants to the market. They were previously unable to buy due to bad credit, lack of savings, </w:t>
      </w:r>
      <w:r w:rsidR="00BB71C5" w:rsidRPr="00124B71">
        <w:rPr>
          <w:rFonts w:cs="Times New Roman"/>
        </w:rPr>
        <w:t>and other reasons</w:t>
      </w:r>
      <w:r w:rsidRPr="00124B71">
        <w:rPr>
          <w:rFonts w:cs="Times New Roman"/>
        </w:rPr>
        <w:t>. All of them are told they are going to bid on an asset that never goes down in value, and they will be given the ability to borrow unli</w:t>
      </w:r>
      <w:r w:rsidR="00BB71C5" w:rsidRPr="00124B71">
        <w:rPr>
          <w:rFonts w:cs="Times New Roman"/>
        </w:rPr>
        <w:t>mited funds (stated-income</w:t>
      </w:r>
      <w:r w:rsidR="001858B5">
        <w:rPr>
          <w:rFonts w:cs="Times New Roman"/>
        </w:rPr>
        <w:fldChar w:fldCharType="begin"/>
      </w:r>
      <w:r w:rsidR="00FA2AEF">
        <w:instrText xml:space="preserve"> XE "</w:instrText>
      </w:r>
      <w:r w:rsidR="00FA2AEF" w:rsidRPr="004E3026">
        <w:rPr>
          <w:rFonts w:cs="Times New Roman"/>
        </w:rPr>
        <w:instrText>stated-income</w:instrText>
      </w:r>
      <w:r w:rsidR="00FA2AEF">
        <w:instrText xml:space="preserve">" </w:instrText>
      </w:r>
      <w:r w:rsidR="001858B5">
        <w:rPr>
          <w:rFonts w:cs="Times New Roman"/>
        </w:rPr>
        <w:fldChar w:fldCharType="end"/>
      </w:r>
      <w:r w:rsidRPr="00124B71">
        <w:rPr>
          <w:rFonts w:cs="Times New Roman"/>
        </w:rPr>
        <w:t xml:space="preserve"> “liar loans”) The only caveat is the borrowed money must be paid back when the asset is sold (not that they care, they already have bad credit). Imagine what happen</w:t>
      </w:r>
      <w:r w:rsidR="008B0CF6" w:rsidRPr="00124B71">
        <w:rPr>
          <w:rFonts w:cs="Times New Roman"/>
        </w:rPr>
        <w:t>s</w:t>
      </w:r>
      <w:r w:rsidRPr="00124B71">
        <w:rPr>
          <w:rFonts w:cs="Times New Roman"/>
        </w:rPr>
        <w:t>?</w:t>
      </w:r>
    </w:p>
    <w:p w14:paraId="2E59E358" w14:textId="77777777" w:rsidR="001767A9" w:rsidRPr="00124B71" w:rsidRDefault="001767A9" w:rsidP="008560E2">
      <w:pPr>
        <w:rPr>
          <w:rFonts w:cs="Times New Roman"/>
        </w:rPr>
      </w:pPr>
      <w:r w:rsidRPr="00124B71">
        <w:rPr>
          <w:rFonts w:cs="Times New Roman"/>
        </w:rPr>
        <w:t>People start to buy the asset, and prices rise. Others in the room seeing the rising prices come to believe that the value of the asset never declines</w:t>
      </w:r>
      <w:r w:rsidR="008B0CF6" w:rsidRPr="00124B71">
        <w:rPr>
          <w:rFonts w:cs="Times New Roman"/>
        </w:rPr>
        <w:t>, and t</w:t>
      </w:r>
      <w:r w:rsidRPr="00124B71">
        <w:rPr>
          <w:rFonts w:cs="Times New Roman"/>
        </w:rPr>
        <w:t xml:space="preserve">hey join in the bidding. As the bidding </w:t>
      </w:r>
      <w:r w:rsidR="008B0CF6" w:rsidRPr="00124B71">
        <w:rPr>
          <w:rFonts w:cs="Times New Roman"/>
        </w:rPr>
        <w:t>drives</w:t>
      </w:r>
      <w:r w:rsidRPr="00124B71">
        <w:rPr>
          <w:rFonts w:cs="Times New Roman"/>
        </w:rPr>
        <w:t xml:space="preserve"> prices even higher, a manic quality </w:t>
      </w:r>
      <w:r w:rsidRPr="00124B71">
        <w:rPr>
          <w:rFonts w:cs="Times New Roman"/>
        </w:rPr>
        <w:lastRenderedPageBreak/>
        <w:t>take</w:t>
      </w:r>
      <w:r w:rsidR="008B0CF6" w:rsidRPr="00124B71">
        <w:rPr>
          <w:rFonts w:cs="Times New Roman"/>
        </w:rPr>
        <w:t>s</w:t>
      </w:r>
      <w:r w:rsidRPr="00124B71">
        <w:rPr>
          <w:rFonts w:cs="Times New Roman"/>
        </w:rPr>
        <w:t xml:space="preserve"> over the bidding and people</w:t>
      </w:r>
      <w:r w:rsidR="008B0CF6" w:rsidRPr="00124B71">
        <w:rPr>
          <w:rFonts w:cs="Times New Roman"/>
        </w:rPr>
        <w:t xml:space="preserve"> </w:t>
      </w:r>
      <w:r w:rsidRPr="00124B71">
        <w:rPr>
          <w:rFonts w:cs="Times New Roman"/>
        </w:rPr>
        <w:t xml:space="preserve">compete with each other, often bidding higher than the asking prices. Nobody </w:t>
      </w:r>
      <w:r w:rsidR="008B0CF6" w:rsidRPr="00124B71">
        <w:rPr>
          <w:rFonts w:cs="Times New Roman"/>
        </w:rPr>
        <w:t>wants</w:t>
      </w:r>
      <w:r w:rsidRPr="00124B71">
        <w:rPr>
          <w:rFonts w:cs="Times New Roman"/>
        </w:rPr>
        <w:t xml:space="preserve"> to be left out. There are fortunes to be made. Greed drive</w:t>
      </w:r>
      <w:r w:rsidR="008B0CF6" w:rsidRPr="00124B71">
        <w:rPr>
          <w:rFonts w:cs="Times New Roman"/>
        </w:rPr>
        <w:t>s</w:t>
      </w:r>
      <w:r w:rsidRPr="00124B71">
        <w:rPr>
          <w:rFonts w:cs="Times New Roman"/>
        </w:rPr>
        <w:t xml:space="preserve"> prices upward at a staggering rate. As the last of the 100 people </w:t>
      </w:r>
      <w:r w:rsidR="008260CB" w:rsidRPr="00124B71">
        <w:rPr>
          <w:rFonts w:cs="Times New Roman"/>
        </w:rPr>
        <w:t>buy</w:t>
      </w:r>
      <w:r w:rsidRPr="00124B71">
        <w:rPr>
          <w:rFonts w:cs="Times New Roman"/>
        </w:rPr>
        <w:t xml:space="preserve">, prices </w:t>
      </w:r>
      <w:r w:rsidR="008B0CF6" w:rsidRPr="00124B71">
        <w:rPr>
          <w:rFonts w:cs="Times New Roman"/>
        </w:rPr>
        <w:t xml:space="preserve">are </w:t>
      </w:r>
      <w:r w:rsidRPr="00124B71">
        <w:rPr>
          <w:rFonts w:cs="Times New Roman"/>
        </w:rPr>
        <w:t xml:space="preserve">very high, everyone </w:t>
      </w:r>
      <w:r w:rsidR="008B0CF6" w:rsidRPr="00124B71">
        <w:rPr>
          <w:rFonts w:cs="Times New Roman"/>
        </w:rPr>
        <w:t xml:space="preserve">has </w:t>
      </w:r>
      <w:r w:rsidRPr="00124B71">
        <w:rPr>
          <w:rFonts w:cs="Times New Roman"/>
        </w:rPr>
        <w:t xml:space="preserve">made money, and it </w:t>
      </w:r>
      <w:r w:rsidR="008B0CF6" w:rsidRPr="00124B71">
        <w:rPr>
          <w:rFonts w:cs="Times New Roman"/>
        </w:rPr>
        <w:t>looks</w:t>
      </w:r>
      <w:r w:rsidRPr="00124B71">
        <w:rPr>
          <w:rFonts w:cs="Times New Roman"/>
        </w:rPr>
        <w:t xml:space="preserve"> as if prices </w:t>
      </w:r>
      <w:r w:rsidR="008B0CF6" w:rsidRPr="00124B71">
        <w:rPr>
          <w:rFonts w:cs="Times New Roman"/>
        </w:rPr>
        <w:t xml:space="preserve">will </w:t>
      </w:r>
      <w:r w:rsidRPr="00124B71">
        <w:rPr>
          <w:rFonts w:cs="Times New Roman"/>
        </w:rPr>
        <w:t>continue to rise forever . . .</w:t>
      </w:r>
    </w:p>
    <w:p w14:paraId="4973653C" w14:textId="77777777" w:rsidR="001767A9" w:rsidRPr="00124B71" w:rsidRDefault="001767A9" w:rsidP="008560E2">
      <w:pPr>
        <w:rPr>
          <w:rFonts w:cs="Times New Roman"/>
        </w:rPr>
      </w:pPr>
      <w:r w:rsidRPr="00124B71">
        <w:rPr>
          <w:rFonts w:cs="Times New Roman"/>
        </w:rPr>
        <w:t>Then something strange</w:t>
      </w:r>
      <w:r w:rsidR="008B0CF6" w:rsidRPr="00124B71">
        <w:rPr>
          <w:rFonts w:cs="Times New Roman"/>
        </w:rPr>
        <w:t xml:space="preserve"> </w:t>
      </w:r>
      <w:r w:rsidRPr="00124B71">
        <w:rPr>
          <w:rFonts w:cs="Times New Roman"/>
        </w:rPr>
        <w:t>happen</w:t>
      </w:r>
      <w:r w:rsidR="008B0CF6" w:rsidRPr="00124B71">
        <w:rPr>
          <w:rFonts w:cs="Times New Roman"/>
        </w:rPr>
        <w:t>s</w:t>
      </w:r>
      <w:r w:rsidRPr="00124B71">
        <w:rPr>
          <w:rFonts w:cs="Times New Roman"/>
        </w:rPr>
        <w:t xml:space="preserve">: there </w:t>
      </w:r>
      <w:r w:rsidR="008B0CF6" w:rsidRPr="00124B71">
        <w:rPr>
          <w:rFonts w:cs="Times New Roman"/>
        </w:rPr>
        <w:t>is</w:t>
      </w:r>
      <w:r w:rsidRPr="00124B71">
        <w:rPr>
          <w:rFonts w:cs="Times New Roman"/>
        </w:rPr>
        <w:t xml:space="preserve"> nobody left to </w:t>
      </w:r>
      <w:r w:rsidR="008260CB" w:rsidRPr="00124B71">
        <w:rPr>
          <w:rFonts w:cs="Times New Roman"/>
        </w:rPr>
        <w:t>make a purchase</w:t>
      </w:r>
      <w:r w:rsidRPr="00124B71">
        <w:rPr>
          <w:rFonts w:cs="Times New Roman"/>
        </w:rPr>
        <w:t>. (A key indication of the end of a speculative mania</w:t>
      </w:r>
      <w:r w:rsidR="001858B5">
        <w:rPr>
          <w:rFonts w:cs="Times New Roman"/>
        </w:rPr>
        <w:fldChar w:fldCharType="begin"/>
      </w:r>
      <w:r w:rsidR="00FA2AEF">
        <w:instrText xml:space="preserve"> XE "</w:instrText>
      </w:r>
      <w:r w:rsidR="00FA2AEF" w:rsidRPr="009244C7">
        <w:rPr>
          <w:rFonts w:cs="Times New Roman"/>
        </w:rPr>
        <w:instrText>speculative mania</w:instrText>
      </w:r>
      <w:r w:rsidR="00FA2AEF">
        <w:instrText xml:space="preserve">" </w:instrText>
      </w:r>
      <w:r w:rsidR="001858B5">
        <w:rPr>
          <w:rFonts w:cs="Times New Roman"/>
        </w:rPr>
        <w:fldChar w:fldCharType="end"/>
      </w:r>
      <w:r w:rsidRPr="00124B71">
        <w:rPr>
          <w:rFonts w:cs="Times New Roman"/>
        </w:rPr>
        <w:t xml:space="preserve"> is a huge decline in sales, as </w:t>
      </w:r>
      <w:r w:rsidR="00AD7430" w:rsidRPr="00124B71">
        <w:rPr>
          <w:rFonts w:cs="Times New Roman"/>
        </w:rPr>
        <w:t>was</w:t>
      </w:r>
      <w:r w:rsidRPr="00124B71">
        <w:rPr>
          <w:rFonts w:cs="Times New Roman"/>
        </w:rPr>
        <w:t xml:space="preserve"> witnessed over 2006 and 2007</w:t>
      </w:r>
      <w:r w:rsidR="00A40CA5" w:rsidRPr="00124B71">
        <w:rPr>
          <w:rFonts w:cs="Times New Roman"/>
        </w:rPr>
        <w:t>).</w:t>
      </w:r>
      <w:r w:rsidR="00AD7430" w:rsidRPr="00124B71">
        <w:rPr>
          <w:rFonts w:cs="Times New Roman"/>
        </w:rPr>
        <w:t xml:space="preserve"> </w:t>
      </w:r>
      <w:r w:rsidRPr="00124B71">
        <w:rPr>
          <w:rFonts w:cs="Times New Roman"/>
        </w:rPr>
        <w:t>Transaction volume drops off dramatically, and prices stop their dizzying ascent. Nobody is particularly alarmed at first, but a few of the more cautious sell their asset</w:t>
      </w:r>
      <w:r w:rsidR="008260CB" w:rsidRPr="00124B71">
        <w:rPr>
          <w:rFonts w:cs="Times New Roman"/>
        </w:rPr>
        <w:t>s</w:t>
      </w:r>
      <w:r w:rsidRPr="00124B71">
        <w:rPr>
          <w:rFonts w:cs="Times New Roman"/>
        </w:rPr>
        <w:t xml:space="preserve"> to pay off their loan</w:t>
      </w:r>
      <w:r w:rsidR="008260CB" w:rsidRPr="00124B71">
        <w:rPr>
          <w:rFonts w:cs="Times New Roman"/>
        </w:rPr>
        <w:t>s</w:t>
      </w:r>
      <w:r w:rsidRPr="00124B71">
        <w:rPr>
          <w:rFonts w:cs="Times New Roman"/>
        </w:rPr>
        <w:t>. Since there are no more</w:t>
      </w:r>
      <w:r w:rsidR="00FA76B5" w:rsidRPr="00124B71">
        <w:rPr>
          <w:rFonts w:cs="Times New Roman"/>
        </w:rPr>
        <w:t xml:space="preserve"> new</w:t>
      </w:r>
      <w:r w:rsidRPr="00124B71">
        <w:rPr>
          <w:rFonts w:cs="Times New Roman"/>
        </w:rPr>
        <w:t xml:space="preserve"> buyers, the first selling actually causes prices to drop. This is unprecedented: </w:t>
      </w:r>
      <w:r w:rsidR="008260CB" w:rsidRPr="00124B71">
        <w:rPr>
          <w:rFonts w:cs="Times New Roman"/>
        </w:rPr>
        <w:t>p</w:t>
      </w:r>
      <w:r w:rsidRPr="00124B71">
        <w:rPr>
          <w:rFonts w:cs="Times New Roman"/>
        </w:rPr>
        <w:t xml:space="preserve">rices have never declined! Most </w:t>
      </w:r>
      <w:r w:rsidR="0090255D" w:rsidRPr="00124B71">
        <w:rPr>
          <w:rFonts w:cs="Times New Roman"/>
        </w:rPr>
        <w:t>ignore the problem</w:t>
      </w:r>
      <w:r w:rsidRPr="00124B71">
        <w:rPr>
          <w:rFonts w:cs="Times New Roman"/>
        </w:rPr>
        <w:t xml:space="preserve"> and comfort themselves with the history of rising prices; however, a few are spooked by this unprecedented drop and sell the asset. This selling drives prices even lower.</w:t>
      </w:r>
      <w:r w:rsidR="00AD7430" w:rsidRPr="00124B71">
        <w:rPr>
          <w:rFonts w:cs="Times New Roman"/>
        </w:rPr>
        <w:t xml:space="preserve"> </w:t>
      </w:r>
      <w:r w:rsidRPr="00124B71">
        <w:rPr>
          <w:rFonts w:cs="Times New Roman"/>
        </w:rPr>
        <w:t xml:space="preserve">Now those who still own the asset become worried, some </w:t>
      </w:r>
      <w:r w:rsidR="008260CB" w:rsidRPr="00124B71">
        <w:rPr>
          <w:rFonts w:cs="Times New Roman"/>
        </w:rPr>
        <w:t>continue to deny</w:t>
      </w:r>
      <w:r w:rsidRPr="00124B71">
        <w:rPr>
          <w:rFonts w:cs="Times New Roman"/>
        </w:rPr>
        <w:t xml:space="preserve"> that there is a problem, and some get angry about the price declines. Some of the late buyers actually owe more than they paid for the asset. They sell the asset at a loss. The lenders now lose some money and refuse to loan any more money to be secured against the asset. Now there are even fewer buyers and a large group of owners who all want to sell before prices drop any lower. Panic selling ensues.</w:t>
      </w:r>
      <w:r w:rsidR="00AD7430" w:rsidRPr="00124B71">
        <w:rPr>
          <w:rFonts w:cs="Times New Roman"/>
        </w:rPr>
        <w:t xml:space="preserve"> </w:t>
      </w:r>
      <w:r w:rsidRPr="00124B71">
        <w:rPr>
          <w:rFonts w:cs="Times New Roman"/>
        </w:rPr>
        <w:t>Everyone wants to sell at the same time, and there are no buyers to purchase the asset. Prices fall dramatically. This asset which was sought after at any price is now for sale at any price, and there are few takers. People in the market rightfully believe the asset will continue to decline. Owners of the asset have accepted the new reality; they are depressed and despondent.</w:t>
      </w:r>
    </w:p>
    <w:p w14:paraId="6AFF8676" w14:textId="77777777" w:rsidR="001767A9" w:rsidRPr="00124B71" w:rsidRDefault="001767A9" w:rsidP="008560E2">
      <w:pPr>
        <w:rPr>
          <w:rFonts w:cs="Times New Roman"/>
        </w:rPr>
      </w:pPr>
      <w:r w:rsidRPr="00124B71">
        <w:rPr>
          <w:rFonts w:cs="Times New Roman"/>
        </w:rPr>
        <w:t xml:space="preserve">In any group of people, there are always a few who </w:t>
      </w:r>
      <w:r w:rsidR="002F1ED3" w:rsidRPr="00124B71">
        <w:rPr>
          <w:rFonts w:cs="Times New Roman"/>
        </w:rPr>
        <w:t>do not</w:t>
      </w:r>
      <w:r w:rsidRPr="00124B71">
        <w:rPr>
          <w:rFonts w:cs="Times New Roman"/>
        </w:rPr>
        <w:t xml:space="preserve"> believe the “prices always rise” narrative. Some recognize that asset prices cannot rise indefinitely and cannot stay detached from their fundamental valuations. These people witness the rally and the resulting crash without participating. They wait patiently for prices to drop back to fundamental values, and then these people buy. As these new buyers enter the market, prices stop their steep </w:t>
      </w:r>
      <w:r w:rsidR="008260CB" w:rsidRPr="00124B71">
        <w:rPr>
          <w:rFonts w:cs="Times New Roman"/>
        </w:rPr>
        <w:t>descent</w:t>
      </w:r>
      <w:r w:rsidRPr="00124B71">
        <w:rPr>
          <w:rFonts w:cs="Times New Roman"/>
        </w:rPr>
        <w:t xml:space="preserve"> and market participants start to hope again. It takes a while to work off the inventory for sale in the market, so prices tend to flatten at the bottom for an extended period of time; however, just as spring follows winter,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returns to the market in time, and the cycle begins all over again.</w:t>
      </w:r>
    </w:p>
    <w:p w14:paraId="67D64AA3" w14:textId="77777777" w:rsidR="00C2285F" w:rsidRPr="00124B71" w:rsidRDefault="001767A9" w:rsidP="00C2285F">
      <w:pPr>
        <w:rPr>
          <w:rFonts w:cs="Times New Roman"/>
        </w:rPr>
      </w:pPr>
      <w:r w:rsidRPr="00124B71">
        <w:rPr>
          <w:rFonts w:cs="Times New Roman"/>
        </w:rPr>
        <w:t>What is written above is true of any asset whether it be stocks</w:t>
      </w:r>
      <w:r w:rsidR="001858B5">
        <w:rPr>
          <w:rFonts w:cs="Times New Roman"/>
        </w:rPr>
        <w:fldChar w:fldCharType="begin"/>
      </w:r>
      <w:r w:rsidR="00FF74AC">
        <w:instrText xml:space="preserve"> XE "</w:instrText>
      </w:r>
      <w:r w:rsidR="00FF74AC" w:rsidRPr="00D753F0">
        <w:rPr>
          <w:rFonts w:cs="Times New Roman"/>
        </w:rPr>
        <w:instrText>stocks</w:instrText>
      </w:r>
      <w:r w:rsidR="00FF74AC">
        <w:instrText xml:space="preserve">" </w:instrText>
      </w:r>
      <w:r w:rsidR="001858B5">
        <w:rPr>
          <w:rFonts w:cs="Times New Roman"/>
        </w:rPr>
        <w:fldChar w:fldCharType="end"/>
      </w:r>
      <w:r w:rsidRPr="00124B71">
        <w:rPr>
          <w:rFonts w:cs="Times New Roman"/>
        </w:rPr>
        <w:t>, bonds, houses or tulips</w:t>
      </w:r>
      <w:r w:rsidR="00635AA0" w:rsidRPr="00124B71">
        <w:rPr>
          <w:rFonts w:cs="Times New Roman"/>
        </w:rPr>
        <w:t xml:space="preserve">. </w:t>
      </w:r>
      <w:r w:rsidR="0062529F" w:rsidRPr="00124B71">
        <w:rPr>
          <w:rStyle w:val="EndnoteReference"/>
          <w:rFonts w:cs="Times New Roman"/>
        </w:rPr>
        <w:endnoteReference w:id="73"/>
      </w:r>
      <w:r w:rsidRPr="00124B71">
        <w:rPr>
          <w:rFonts w:cs="Times New Roman"/>
        </w:rPr>
        <w:t xml:space="preserve"> In </w:t>
      </w:r>
      <w:r w:rsidR="00AD7430" w:rsidRPr="00124B71">
        <w:rPr>
          <w:rFonts w:cs="Times New Roman"/>
        </w:rPr>
        <w:t>this</w:t>
      </w:r>
      <w:r w:rsidRPr="00124B71">
        <w:rPr>
          <w:rFonts w:cs="Times New Roman"/>
        </w:rPr>
        <w:t xml:space="preserve"> case, it is the local housing market, and the room of new buyers represents subprime borrowers, but the concepts are universal. One phenomenon somewhat unique to the housing market is the forced sale due 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(stocks have margin calls). Even if the psychological factors at work during the panic could somehow be quelled, the forced sales from foreclosures would drive down prices anyway. True panic is not required to crash a housing market, only dropping prices and an inability to make payments. Subprime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Pr="00124B71">
        <w:rPr>
          <w:rFonts w:cs="Times New Roman"/>
        </w:rPr>
        <w:t xml:space="preserve"> lending was </w:t>
      </w:r>
      <w:r w:rsidR="00965460" w:rsidRPr="00124B71">
        <w:rPr>
          <w:rFonts w:cs="Times New Roman"/>
        </w:rPr>
        <w:t xml:space="preserve">one of </w:t>
      </w:r>
      <w:r w:rsidRPr="00124B71">
        <w:rPr>
          <w:rFonts w:cs="Times New Roman"/>
        </w:rPr>
        <w:t>the leading cause</w:t>
      </w:r>
      <w:r w:rsidR="00965460" w:rsidRPr="00124B71">
        <w:rPr>
          <w:rFonts w:cs="Times New Roman"/>
        </w:rPr>
        <w:t>s</w:t>
      </w:r>
      <w:r w:rsidRPr="00124B71">
        <w:rPr>
          <w:rFonts w:cs="Times New Roman"/>
        </w:rPr>
        <w:t xml:space="preserve"> of </w:t>
      </w:r>
      <w:r w:rsidR="001A34D5">
        <w:rPr>
          <w:rFonts w:cs="Times New Roman"/>
        </w:rPr>
        <w:t>the Great Housing Bubble</w:t>
      </w:r>
      <w:r w:rsidRPr="00124B71">
        <w:rPr>
          <w:rFonts w:cs="Times New Roman"/>
        </w:rPr>
        <w:t>, and its implosion exacerbate</w:t>
      </w:r>
      <w:r w:rsidR="00965460" w:rsidRPr="00124B71">
        <w:rPr>
          <w:rFonts w:cs="Times New Roman"/>
        </w:rPr>
        <w:t>d</w:t>
      </w:r>
      <w:r w:rsidRPr="00124B71">
        <w:rPr>
          <w:rFonts w:cs="Times New Roman"/>
        </w:rPr>
        <w:t xml:space="preserve"> the market decline.</w:t>
      </w:r>
    </w:p>
    <w:p w14:paraId="22FA2D1A" w14:textId="77777777" w:rsidR="001767A9" w:rsidRPr="00EF0EDA" w:rsidRDefault="00905DBD" w:rsidP="004E08E7">
      <w:pPr>
        <w:pStyle w:val="Heading2"/>
      </w:pPr>
      <w:bookmarkStart w:id="107" w:name="_Toc238867333"/>
      <w:r w:rsidRPr="00EF0EDA">
        <w:lastRenderedPageBreak/>
        <w:t>Responsibility for the Bubble</w:t>
      </w:r>
      <w:bookmarkEnd w:id="107"/>
    </w:p>
    <w:p w14:paraId="72A108C5" w14:textId="77777777" w:rsidR="001767A9" w:rsidRPr="00124B71" w:rsidRDefault="001767A9" w:rsidP="008560E2">
      <w:pPr>
        <w:rPr>
          <w:rFonts w:cs="Times New Roman"/>
        </w:rPr>
      </w:pPr>
      <w:r w:rsidRPr="00124B71">
        <w:rPr>
          <w:rFonts w:cs="Times New Roman"/>
        </w:rPr>
        <w:t>Who is responsible for the Great Housing Bubble? It is one thing to identify who or what caused the bubble, but it is another to assign responsibility and blame. Borrowers, lenders, investors, and the FED</w:t>
      </w:r>
      <w:r w:rsidR="001858B5">
        <w:rPr>
          <w:rFonts w:cs="Times New Roman"/>
        </w:rPr>
        <w:fldChar w:fldCharType="begin"/>
      </w:r>
      <w:r w:rsidR="005E6B29">
        <w:instrText xml:space="preserve"> XE "</w:instrText>
      </w:r>
      <w:r w:rsidR="005E6B29" w:rsidRPr="00A95B0B">
        <w:rPr>
          <w:rFonts w:cs="Times New Roman"/>
        </w:rPr>
        <w:instrText>FED</w:instrText>
      </w:r>
      <w:r w:rsidR="005E6B29">
        <w:instrText xml:space="preserve">" </w:instrText>
      </w:r>
      <w:r w:rsidR="001858B5">
        <w:rPr>
          <w:rFonts w:cs="Times New Roman"/>
        </w:rPr>
        <w:fldChar w:fldCharType="end"/>
      </w:r>
      <w:r w:rsidR="001858B5">
        <w:rPr>
          <w:rFonts w:cs="Times New Roman"/>
        </w:rPr>
        <w:fldChar w:fldCharType="begin"/>
      </w:r>
      <w:r w:rsidR="005E6B29">
        <w:instrText xml:space="preserve"> XE "</w:instrText>
      </w:r>
      <w:r w:rsidR="005E6B29" w:rsidRPr="00A95B0B">
        <w:rPr>
          <w:rFonts w:cs="Times New Roman"/>
        </w:rPr>
        <w:instrText>FED</w:instrText>
      </w:r>
      <w:r w:rsidR="005E6B29">
        <w:instrText>" \t "</w:instrText>
      </w:r>
      <w:r w:rsidR="005E6B29" w:rsidRPr="00DB698B">
        <w:rPr>
          <w:rFonts w:asciiTheme="minorHAnsi" w:hAnsiTheme="minorHAnsi"/>
          <w:i/>
        </w:rPr>
        <w:instrText>See</w:instrText>
      </w:r>
      <w:r w:rsidR="005E6B29" w:rsidRPr="00DB698B">
        <w:rPr>
          <w:rFonts w:asciiTheme="minorHAnsi" w:hAnsiTheme="minorHAnsi"/>
        </w:rPr>
        <w:instrText xml:space="preserve"> Federal Reserve</w:instrText>
      </w:r>
      <w:r w:rsidR="005E6B29">
        <w:instrText xml:space="preserve">" </w:instrText>
      </w:r>
      <w:r w:rsidR="001858B5">
        <w:rPr>
          <w:rFonts w:cs="Times New Roman"/>
        </w:rPr>
        <w:fldChar w:fldCharType="end"/>
      </w:r>
      <w:r w:rsidRPr="00124B71">
        <w:rPr>
          <w:rFonts w:cs="Times New Roman"/>
        </w:rPr>
        <w:t xml:space="preserve"> are all responsible; it is only a matter of degree.</w:t>
      </w:r>
      <w:r w:rsidR="00D36B3C" w:rsidRPr="00124B71">
        <w:rPr>
          <w:rFonts w:cs="Times New Roman"/>
        </w:rPr>
        <w:t xml:space="preserve"> </w:t>
      </w:r>
      <w:r w:rsidRPr="00124B71">
        <w:rPr>
          <w:rFonts w:cs="Times New Roman"/>
        </w:rPr>
        <w:t xml:space="preserve">Irresponsible borrowers are like children, if you offer them something they want, no matter the terms, they will take it. The federal government realized this basic fact years ago when they passed predatory lending laws. </w:t>
      </w:r>
      <w:r w:rsidR="008B0CF6" w:rsidRPr="00124B71">
        <w:rPr>
          <w:rFonts w:cs="Times New Roman"/>
        </w:rPr>
        <w:t>This does</w:t>
      </w:r>
      <w:r w:rsidRPr="00124B71">
        <w:rPr>
          <w:rFonts w:cs="Times New Roman"/>
        </w:rPr>
        <w:t xml:space="preserve"> </w:t>
      </w:r>
      <w:r w:rsidR="00E347F6" w:rsidRPr="00124B71">
        <w:rPr>
          <w:rFonts w:cs="Times New Roman"/>
        </w:rPr>
        <w:t xml:space="preserve">not </w:t>
      </w:r>
      <w:r w:rsidRPr="00124B71">
        <w:rPr>
          <w:rFonts w:cs="Times New Roman"/>
        </w:rPr>
        <w:t>make the borrower any less responsible</w:t>
      </w:r>
      <w:r w:rsidR="008B0CF6" w:rsidRPr="00124B71">
        <w:rPr>
          <w:rFonts w:cs="Times New Roman"/>
        </w:rPr>
        <w:t>,</w:t>
      </w:r>
      <w:r w:rsidRPr="00124B71">
        <w:rPr>
          <w:rFonts w:cs="Times New Roman"/>
        </w:rPr>
        <w:t xml:space="preserve"> but by definition, subprime borrowers are irresponsible. If they took responsibility for their debts, they would</w:t>
      </w:r>
      <w:r w:rsidR="00FA76B5" w:rsidRPr="00124B71">
        <w:rPr>
          <w:rFonts w:cs="Times New Roman"/>
        </w:rPr>
        <w:t xml:space="preserve"> </w:t>
      </w:r>
      <w:r w:rsidRPr="00124B71">
        <w:rPr>
          <w:rFonts w:cs="Times New Roman"/>
        </w:rPr>
        <w:t>n</w:t>
      </w:r>
      <w:r w:rsidR="00FA76B5" w:rsidRPr="00124B71">
        <w:rPr>
          <w:rFonts w:cs="Times New Roman"/>
        </w:rPr>
        <w:t>o</w:t>
      </w:r>
      <w:r w:rsidRPr="00124B71">
        <w:rPr>
          <w:rFonts w:cs="Times New Roman"/>
        </w:rPr>
        <w:t>t be subprime</w:t>
      </w:r>
      <w:r w:rsidR="002E5CDA" w:rsidRPr="00124B71">
        <w:rPr>
          <w:rFonts w:cs="Times New Roman"/>
        </w:rPr>
        <w:t>.</w:t>
      </w:r>
      <w:r w:rsidR="00635AA0" w:rsidRPr="00124B71">
        <w:rPr>
          <w:rFonts w:cs="Times New Roman"/>
        </w:rPr>
        <w:t xml:space="preserve"> </w:t>
      </w:r>
      <w:r w:rsidR="00C424AE" w:rsidRPr="00124B71">
        <w:rPr>
          <w:rStyle w:val="EndnoteReference"/>
          <w:rFonts w:cs="Times New Roman"/>
        </w:rPr>
        <w:endnoteReference w:id="74"/>
      </w:r>
      <w:r w:rsidRPr="00124B71">
        <w:rPr>
          <w:rFonts w:cs="Times New Roman"/>
        </w:rPr>
        <w:t xml:space="preserve"> So if a large amount of money is lent to the most irresponsible among us, </w:t>
      </w:r>
      <w:r w:rsidR="008B0CF6" w:rsidRPr="00124B71">
        <w:rPr>
          <w:rFonts w:cs="Times New Roman"/>
        </w:rPr>
        <w:t>i</w:t>
      </w:r>
      <w:r w:rsidRPr="00124B71">
        <w:rPr>
          <w:rFonts w:cs="Times New Roman"/>
        </w:rPr>
        <w:t xml:space="preserve">t is reasonable to expect them to spend it irresponsibly and not worry about paying it back. </w:t>
      </w:r>
      <w:r w:rsidR="00E347F6" w:rsidRPr="00124B71">
        <w:rPr>
          <w:rFonts w:cs="Times New Roman"/>
        </w:rPr>
        <w:t xml:space="preserve">In this case, past performance </w:t>
      </w:r>
      <w:r w:rsidR="00E347F6" w:rsidRPr="00124B71">
        <w:rPr>
          <w:rFonts w:cs="Times New Roman"/>
          <w:i/>
        </w:rPr>
        <w:t>is</w:t>
      </w:r>
      <w:r w:rsidR="00E347F6" w:rsidRPr="00124B71">
        <w:rPr>
          <w:rFonts w:cs="Times New Roman"/>
        </w:rPr>
        <w:t xml:space="preserve"> an indicator of future performance</w:t>
      </w:r>
      <w:r w:rsidR="008B0CF6" w:rsidRPr="00124B71">
        <w:rPr>
          <w:rFonts w:cs="Times New Roman"/>
        </w:rPr>
        <w:t>.</w:t>
      </w:r>
      <w:r w:rsidRPr="00124B71">
        <w:rPr>
          <w:rFonts w:cs="Times New Roman"/>
        </w:rPr>
        <w:t xml:space="preserve"> It should come as no surprise </w:t>
      </w:r>
      <w:r w:rsidR="008B0CF6" w:rsidRPr="00124B71">
        <w:rPr>
          <w:rFonts w:cs="Times New Roman"/>
        </w:rPr>
        <w:t>that</w:t>
      </w:r>
      <w:r w:rsidRPr="00124B71">
        <w:rPr>
          <w:rFonts w:cs="Times New Roman"/>
        </w:rPr>
        <w:t xml:space="preserve"> the subprime experiment end</w:t>
      </w:r>
      <w:r w:rsidR="008B0CF6" w:rsidRPr="00124B71">
        <w:rPr>
          <w:rFonts w:cs="Times New Roman"/>
        </w:rPr>
        <w:t>ed</w:t>
      </w:r>
      <w:r w:rsidRPr="00124B71">
        <w:rPr>
          <w:rFonts w:cs="Times New Roman"/>
        </w:rPr>
        <w:t xml:space="preserve"> badly.</w:t>
      </w:r>
    </w:p>
    <w:p w14:paraId="26DA74F7" w14:textId="77777777" w:rsidR="001767A9" w:rsidRPr="00124B71" w:rsidRDefault="008B0CF6" w:rsidP="008560E2">
      <w:pPr>
        <w:rPr>
          <w:rFonts w:cs="Times New Roman"/>
        </w:rPr>
      </w:pPr>
      <w:r w:rsidRPr="00124B71">
        <w:rPr>
          <w:rFonts w:cs="Times New Roman"/>
        </w:rPr>
        <w:t xml:space="preserve">Despite the low expectation of subprime performance, people need to be held accountable for their actions. </w:t>
      </w:r>
      <w:r w:rsidR="006E2D57" w:rsidRPr="00124B71">
        <w:rPr>
          <w:rFonts w:cs="Times New Roman"/>
        </w:rPr>
        <w:t xml:space="preserve">It seems </w:t>
      </w:r>
      <w:r w:rsidR="001767A9" w:rsidRPr="00124B71">
        <w:rPr>
          <w:rFonts w:cs="Times New Roman"/>
        </w:rPr>
        <w:t xml:space="preserve">our entire culture </w:t>
      </w:r>
      <w:r w:rsidR="006E2D57" w:rsidRPr="00124B71">
        <w:rPr>
          <w:rFonts w:cs="Times New Roman"/>
        </w:rPr>
        <w:t>is</w:t>
      </w:r>
      <w:r w:rsidR="001767A9" w:rsidRPr="00124B71">
        <w:rPr>
          <w:rFonts w:cs="Times New Roman"/>
        </w:rPr>
        <w:t xml:space="preserve"> based on having victim status and being </w:t>
      </w:r>
      <w:r w:rsidR="006E2D57" w:rsidRPr="00124B71">
        <w:rPr>
          <w:rFonts w:cs="Times New Roman"/>
        </w:rPr>
        <w:t>ir</w:t>
      </w:r>
      <w:r w:rsidR="001767A9" w:rsidRPr="00124B71">
        <w:rPr>
          <w:rFonts w:cs="Times New Roman"/>
        </w:rPr>
        <w:t>responsible</w:t>
      </w:r>
      <w:r w:rsidR="006E2D57" w:rsidRPr="00124B71">
        <w:rPr>
          <w:rFonts w:cs="Times New Roman"/>
        </w:rPr>
        <w:t>.</w:t>
      </w:r>
      <w:r w:rsidR="001767A9" w:rsidRPr="00124B71">
        <w:rPr>
          <w:rFonts w:cs="Times New Roman"/>
        </w:rPr>
        <w:t xml:space="preserve"> </w:t>
      </w:r>
      <w:r w:rsidR="006E2D57" w:rsidRPr="00124B71">
        <w:rPr>
          <w:rFonts w:cs="Times New Roman"/>
        </w:rPr>
        <w:t>B</w:t>
      </w:r>
      <w:r w:rsidR="001767A9" w:rsidRPr="00124B71">
        <w:rPr>
          <w:rFonts w:cs="Times New Roman"/>
        </w:rPr>
        <w:t>orrowers should not be bailed out by any government program as it would just create more dependence</w:t>
      </w:r>
      <w:r w:rsidR="0090255D" w:rsidRPr="00124B71">
        <w:rPr>
          <w:rFonts w:cs="Times New Roman"/>
        </w:rPr>
        <w:t xml:space="preserve"> and greater risk taking</w:t>
      </w:r>
      <w:r w:rsidR="001767A9" w:rsidRPr="00124B71">
        <w:rPr>
          <w:rFonts w:cs="Times New Roman"/>
        </w:rPr>
        <w:t xml:space="preserve">. The </w:t>
      </w:r>
      <w:r w:rsidR="00965460" w:rsidRPr="00124B71">
        <w:rPr>
          <w:rFonts w:cs="Times New Roman"/>
        </w:rPr>
        <w:t>people</w:t>
      </w:r>
      <w:r w:rsidR="001767A9" w:rsidRPr="00124B71">
        <w:rPr>
          <w:rFonts w:cs="Times New Roman"/>
        </w:rPr>
        <w:t xml:space="preserve"> who paid too much and </w:t>
      </w:r>
      <w:r w:rsidR="0043289F" w:rsidRPr="00124B71">
        <w:rPr>
          <w:rFonts w:cs="Times New Roman"/>
        </w:rPr>
        <w:t>cannot</w:t>
      </w:r>
      <w:r w:rsidR="001767A9" w:rsidRPr="00124B71">
        <w:rPr>
          <w:rFonts w:cs="Times New Roman"/>
        </w:rPr>
        <w:t xml:space="preserve"> pay it</w:t>
      </w:r>
      <w:r w:rsidR="006E2D57" w:rsidRPr="00124B71">
        <w:rPr>
          <w:rFonts w:cs="Times New Roman"/>
        </w:rPr>
        <w:t xml:space="preserve"> back have to be allowed to lose their homes</w:t>
      </w:r>
      <w:r w:rsidR="001767A9" w:rsidRPr="00124B71">
        <w:rPr>
          <w:rFonts w:cs="Times New Roman"/>
        </w:rPr>
        <w:t>. That is life. The</w:t>
      </w:r>
      <w:r w:rsidR="006E2D57" w:rsidRPr="00124B71">
        <w:rPr>
          <w:rFonts w:cs="Times New Roman"/>
        </w:rPr>
        <w:t xml:space="preserve"> </w:t>
      </w:r>
      <w:r w:rsidR="001767A9" w:rsidRPr="00124B71">
        <w:rPr>
          <w:rFonts w:cs="Times New Roman"/>
        </w:rPr>
        <w:t xml:space="preserve">responsible should </w:t>
      </w:r>
      <w:r w:rsidR="00E347F6" w:rsidRPr="00124B71">
        <w:rPr>
          <w:rFonts w:cs="Times New Roman"/>
        </w:rPr>
        <w:t xml:space="preserve">not </w:t>
      </w:r>
      <w:r w:rsidR="001767A9" w:rsidRPr="00124B71">
        <w:rPr>
          <w:rFonts w:cs="Times New Roman"/>
        </w:rPr>
        <w:t xml:space="preserve">pay </w:t>
      </w:r>
      <w:r w:rsidR="00E347F6" w:rsidRPr="00124B71">
        <w:rPr>
          <w:rFonts w:cs="Times New Roman"/>
        </w:rPr>
        <w:t>to subsidize</w:t>
      </w:r>
      <w:r w:rsidR="006E2D57" w:rsidRPr="00124B71">
        <w:rPr>
          <w:rFonts w:cs="Times New Roman"/>
        </w:rPr>
        <w:t xml:space="preserve"> the irresponsible</w:t>
      </w:r>
      <w:r w:rsidR="001767A9" w:rsidRPr="00124B71">
        <w:rPr>
          <w:rFonts w:cs="Times New Roman"/>
        </w:rPr>
        <w:t xml:space="preserve">. This is one of those instances where </w:t>
      </w:r>
      <w:r w:rsidR="006E2D57" w:rsidRPr="00124B71">
        <w:rPr>
          <w:rFonts w:cs="Times New Roman"/>
        </w:rPr>
        <w:t xml:space="preserve">irresponsible </w:t>
      </w:r>
      <w:r w:rsidR="001767A9" w:rsidRPr="00124B71">
        <w:rPr>
          <w:rFonts w:cs="Times New Roman"/>
        </w:rPr>
        <w:t xml:space="preserve">will be made to take responsibility. </w:t>
      </w:r>
    </w:p>
    <w:p w14:paraId="25C5E3E6" w14:textId="77777777" w:rsidR="001767A9" w:rsidRPr="00124B71" w:rsidRDefault="006E2D57" w:rsidP="008560E2">
      <w:pPr>
        <w:rPr>
          <w:rFonts w:cs="Times New Roman"/>
        </w:rPr>
      </w:pPr>
      <w:r w:rsidRPr="00124B71">
        <w:rPr>
          <w:rFonts w:cs="Times New Roman"/>
        </w:rPr>
        <w:t>L</w:t>
      </w:r>
      <w:r w:rsidR="001767A9" w:rsidRPr="00124B71">
        <w:rPr>
          <w:rFonts w:cs="Times New Roman"/>
        </w:rPr>
        <w:t>enders are also responsible in this matter. Mortgage lenders provide a service because without them most people would be dead by the time they</w:t>
      </w:r>
      <w:r w:rsidR="00E347F6" w:rsidRPr="00124B71">
        <w:rPr>
          <w:rFonts w:cs="Times New Roman"/>
        </w:rPr>
        <w:t xml:space="preserve"> had</w:t>
      </w:r>
      <w:r w:rsidR="001767A9" w:rsidRPr="00124B71">
        <w:rPr>
          <w:rFonts w:cs="Times New Roman"/>
        </w:rPr>
        <w:t xml:space="preserve"> saved enough money to buy a home for cash</w:t>
      </w:r>
      <w:r w:rsidR="00E347F6" w:rsidRPr="00124B71">
        <w:rPr>
          <w:rFonts w:cs="Times New Roman"/>
        </w:rPr>
        <w:t>. H</w:t>
      </w:r>
      <w:r w:rsidR="001767A9" w:rsidRPr="00124B71">
        <w:rPr>
          <w:rFonts w:cs="Times New Roman"/>
        </w:rPr>
        <w:t xml:space="preserve">owever, when </w:t>
      </w:r>
      <w:r w:rsidR="00E347F6" w:rsidRPr="00124B71">
        <w:rPr>
          <w:rFonts w:cs="Times New Roman"/>
        </w:rPr>
        <w:t>lenders</w:t>
      </w:r>
      <w:r w:rsidR="001767A9" w:rsidRPr="00124B71">
        <w:rPr>
          <w:rFonts w:cs="Times New Roman"/>
        </w:rPr>
        <w:t xml:space="preserve"> start handing out home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1767A9" w:rsidRPr="00124B71">
        <w:rPr>
          <w:rFonts w:cs="Times New Roman"/>
        </w:rPr>
        <w:t xml:space="preserve"> </w:t>
      </w:r>
      <w:r w:rsidR="001858B5">
        <w:rPr>
          <w:rFonts w:cs="Times New Roman"/>
        </w:rPr>
        <w:fldChar w:fldCharType="begin"/>
      </w:r>
      <w:r w:rsidR="00FA2AEF">
        <w:instrText xml:space="preserve"> XE "</w:instrText>
      </w:r>
      <w:r w:rsidR="00FA2AEF" w:rsidRPr="006C558D">
        <w:rPr>
          <w:rFonts w:cs="Times New Roman"/>
        </w:rPr>
        <w:instrText>home equity lines of credit</w:instrText>
      </w:r>
      <w:r w:rsidR="00FA2AEF">
        <w:instrText xml:space="preserve">" </w:instrText>
      </w:r>
      <w:r w:rsidR="001858B5">
        <w:rPr>
          <w:rFonts w:cs="Times New Roman"/>
        </w:rPr>
        <w:fldChar w:fldCharType="end"/>
      </w:r>
      <w:r w:rsidR="001767A9" w:rsidRPr="00124B71">
        <w:rPr>
          <w:rFonts w:cs="Times New Roman"/>
        </w:rPr>
        <w:t xml:space="preserve">lines of credit for consumption, they are as bad as the credit card issuers preying on people’s reckless irresponsibility. Once mortgage lenders crossed that line, they ceased to be serving the needs of homebuyers and instead began serving the wants of the credit addicted: </w:t>
      </w:r>
      <w:r w:rsidR="00E347F6" w:rsidRPr="00124B71">
        <w:rPr>
          <w:rFonts w:cs="Times New Roman"/>
        </w:rPr>
        <w:t>s</w:t>
      </w:r>
      <w:r w:rsidR="001767A9" w:rsidRPr="00124B71">
        <w:rPr>
          <w:rFonts w:cs="Times New Roman"/>
        </w:rPr>
        <w:t>hame on them.</w:t>
      </w:r>
    </w:p>
    <w:p w14:paraId="33C4C2ED" w14:textId="77777777" w:rsidR="001767A9" w:rsidRPr="00124B71" w:rsidRDefault="001767A9" w:rsidP="008560E2">
      <w:pPr>
        <w:rPr>
          <w:rFonts w:cs="Times New Roman"/>
        </w:rPr>
      </w:pPr>
      <w:r w:rsidRPr="00124B71">
        <w:rPr>
          <w:rFonts w:cs="Times New Roman"/>
        </w:rPr>
        <w:t xml:space="preserve">Of course, none of this would have happened without the </w:t>
      </w:r>
      <w:r w:rsidR="00E347F6" w:rsidRPr="00124B71">
        <w:rPr>
          <w:rFonts w:cs="Times New Roman"/>
        </w:rPr>
        <w:t xml:space="preserve">contributions of the </w:t>
      </w:r>
      <w:r w:rsidRPr="00124B71">
        <w:rPr>
          <w:rFonts w:cs="Times New Roman"/>
        </w:rPr>
        <w:t>enablers at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Pr="00124B71">
        <w:rPr>
          <w:rFonts w:cs="Times New Roman"/>
        </w:rPr>
        <w:t xml:space="preserve"> and on Wall Street</w:t>
      </w:r>
      <w:r w:rsidR="001858B5">
        <w:rPr>
          <w:rFonts w:cs="Times New Roman"/>
        </w:rPr>
        <w:fldChar w:fldCharType="begin"/>
      </w:r>
      <w:r w:rsidR="003247C5">
        <w:instrText xml:space="preserve"> XE "</w:instrText>
      </w:r>
      <w:r w:rsidR="003247C5" w:rsidRPr="003A3964">
        <w:rPr>
          <w:rFonts w:cs="Times New Roman"/>
        </w:rPr>
        <w:instrText>Wall Street</w:instrText>
      </w:r>
      <w:r w:rsidR="003247C5">
        <w:instrText xml:space="preserve">" </w:instrText>
      </w:r>
      <w:r w:rsidR="001858B5">
        <w:rPr>
          <w:rFonts w:cs="Times New Roman"/>
        </w:rPr>
        <w:fldChar w:fldCharType="end"/>
      </w:r>
      <w:r w:rsidRPr="00124B71">
        <w:rPr>
          <w:rFonts w:cs="Times New Roman"/>
        </w:rPr>
        <w:t>. The Federal Reserve lowered rates and then Alan Greenspan</w:t>
      </w:r>
      <w:r w:rsidR="001858B5">
        <w:rPr>
          <w:rFonts w:cs="Times New Roman"/>
        </w:rPr>
        <w:fldChar w:fldCharType="begin"/>
      </w:r>
      <w:r w:rsidR="009975FD">
        <w:instrText xml:space="preserve"> XE "</w:instrText>
      </w:r>
      <w:r w:rsidR="009975FD" w:rsidRPr="009F73BE">
        <w:rPr>
          <w:rFonts w:cs="Times New Roman"/>
        </w:rPr>
        <w:instrText>Alan Greenspan</w:instrText>
      </w:r>
      <w:r w:rsidR="009975FD">
        <w:instrText xml:space="preserve">" </w:instrText>
      </w:r>
      <w:r w:rsidR="001858B5">
        <w:rPr>
          <w:rFonts w:cs="Times New Roman"/>
        </w:rPr>
        <w:fldChar w:fldCharType="end"/>
      </w:r>
      <w:r w:rsidRPr="00124B71">
        <w:rPr>
          <w:rFonts w:cs="Times New Roman"/>
        </w:rPr>
        <w:t xml:space="preserve"> told borrowers to take out adjustable rate mortgages</w:t>
      </w:r>
      <w:r w:rsidR="00965460" w:rsidRPr="00124B71">
        <w:rPr>
          <w:rFonts w:cs="Times New Roman"/>
        </w:rPr>
        <w:t xml:space="preserve"> under certain circumstances</w:t>
      </w:r>
      <w:r w:rsidRPr="00124B71">
        <w:rPr>
          <w:rFonts w:cs="Times New Roman"/>
        </w:rPr>
        <w:t>. As one might suspect, he did this so his fellow bankers would not be stuck with low-interest loans for 30 years, but he gave the world of homebuyers the “green light” for taking on high risk loans. Then Wall Street investors flooded with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Pr="00124B71">
        <w:rPr>
          <w:rFonts w:cs="Times New Roman"/>
        </w:rPr>
        <w:t xml:space="preserve"> from cheap money from home and overseas started chasing returns. </w:t>
      </w:r>
      <w:r w:rsidR="00965460" w:rsidRPr="00124B71">
        <w:rPr>
          <w:rFonts w:cs="Times New Roman"/>
        </w:rPr>
        <w:t>H</w:t>
      </w:r>
      <w:r w:rsidRPr="00124B71">
        <w:rPr>
          <w:rFonts w:cs="Times New Roman"/>
        </w:rPr>
        <w:t>igh-interest, subprime loans looked attractive, and as long as house prices went up and nobody defaulted, everything was fine. Who is to blame for that situation</w:t>
      </w:r>
      <w:r w:rsidR="00E347F6" w:rsidRPr="00124B71">
        <w:rPr>
          <w:rFonts w:cs="Times New Roman"/>
        </w:rPr>
        <w:t>?</w:t>
      </w:r>
      <w:r w:rsidRPr="00124B71">
        <w:rPr>
          <w:rFonts w:cs="Times New Roman"/>
        </w:rPr>
        <w:t xml:space="preserve"> The Bank of Japan for creating the carry trade</w:t>
      </w:r>
      <w:r w:rsidR="00E347F6" w:rsidRPr="00124B71">
        <w:rPr>
          <w:rFonts w:cs="Times New Roman"/>
        </w:rPr>
        <w:t>?</w:t>
      </w:r>
      <w:r w:rsidR="006D63DE" w:rsidRPr="00124B71">
        <w:rPr>
          <w:rFonts w:cs="Times New Roman"/>
        </w:rPr>
        <w:t xml:space="preserve"> </w:t>
      </w:r>
      <w:r w:rsidR="00E347F6" w:rsidRPr="00124B71">
        <w:rPr>
          <w:rFonts w:cs="Times New Roman"/>
        </w:rPr>
        <w:t>T</w:t>
      </w:r>
      <w:r w:rsidRPr="00124B71">
        <w:rPr>
          <w:rFonts w:cs="Times New Roman"/>
        </w:rPr>
        <w:t>he Federal Reserve for lowering rates to avoid a recession</w:t>
      </w:r>
      <w:r w:rsidR="00E347F6" w:rsidRPr="00124B71">
        <w:rPr>
          <w:rFonts w:cs="Times New Roman"/>
        </w:rPr>
        <w:t>?</w:t>
      </w:r>
      <w:r w:rsidR="006D63DE" w:rsidRPr="00124B71">
        <w:rPr>
          <w:rFonts w:cs="Times New Roman"/>
        </w:rPr>
        <w:t xml:space="preserve"> </w:t>
      </w:r>
      <w:r w:rsidR="00E347F6" w:rsidRPr="00124B71">
        <w:rPr>
          <w:rFonts w:cs="Times New Roman"/>
        </w:rPr>
        <w:t>The</w:t>
      </w:r>
      <w:r w:rsidRPr="00124B71">
        <w:rPr>
          <w:rFonts w:cs="Times New Roman"/>
        </w:rPr>
        <w:t xml:space="preserve"> financial wizards who invented collateralized debt obligations</w:t>
      </w:r>
      <w:r w:rsidR="00E347F6" w:rsidRPr="00124B71">
        <w:rPr>
          <w:rFonts w:cs="Times New Roman"/>
        </w:rPr>
        <w:t>?</w:t>
      </w:r>
      <w:r w:rsidR="006D63DE" w:rsidRPr="00124B71">
        <w:rPr>
          <w:rFonts w:cs="Times New Roman"/>
        </w:rPr>
        <w:t xml:space="preserve"> </w:t>
      </w:r>
      <w:r w:rsidR="00E347F6" w:rsidRPr="00124B71">
        <w:rPr>
          <w:rFonts w:cs="Times New Roman"/>
        </w:rPr>
        <w:t>The</w:t>
      </w:r>
      <w:r w:rsidR="00FA76B5" w:rsidRPr="00124B71">
        <w:rPr>
          <w:rFonts w:cs="Times New Roman"/>
        </w:rPr>
        <w:t xml:space="preserve"> ratings agencies who label</w:t>
      </w:r>
      <w:r w:rsidR="00955CD4">
        <w:rPr>
          <w:rFonts w:cs="Times New Roman"/>
        </w:rPr>
        <w:t>ed</w:t>
      </w:r>
      <w:r w:rsidR="00FA76B5" w:rsidRPr="00124B71">
        <w:rPr>
          <w:rFonts w:cs="Times New Roman"/>
        </w:rPr>
        <w:t xml:space="preserve"> these investments “AAA</w:t>
      </w:r>
      <w:r w:rsidR="00E347F6" w:rsidRPr="00124B71">
        <w:rPr>
          <w:rFonts w:cs="Times New Roman"/>
        </w:rPr>
        <w:t>?</w:t>
      </w:r>
      <w:r w:rsidR="00FA76B5" w:rsidRPr="00124B71">
        <w:rPr>
          <w:rFonts w:cs="Times New Roman"/>
        </w:rPr>
        <w:t xml:space="preserve">” </w:t>
      </w:r>
      <w:r w:rsidR="00955CD4">
        <w:rPr>
          <w:rFonts w:cs="Times New Roman"/>
        </w:rPr>
        <w:t>T</w:t>
      </w:r>
      <w:r w:rsidRPr="00124B71">
        <w:rPr>
          <w:rFonts w:cs="Times New Roman"/>
        </w:rPr>
        <w:t xml:space="preserve">he investors who were chasing high yields? </w:t>
      </w:r>
      <w:r w:rsidR="00E347F6" w:rsidRPr="00124B71">
        <w:rPr>
          <w:rFonts w:cs="Times New Roman"/>
        </w:rPr>
        <w:t>Or all of them?</w:t>
      </w:r>
    </w:p>
    <w:p w14:paraId="1E76C5CE" w14:textId="77777777" w:rsidR="009118A7" w:rsidRPr="00124B71" w:rsidRDefault="001767A9" w:rsidP="008560E2">
      <w:pPr>
        <w:rPr>
          <w:rFonts w:cs="Times New Roman"/>
        </w:rPr>
      </w:pPr>
      <w:r w:rsidRPr="00124B71">
        <w:rPr>
          <w:rFonts w:cs="Times New Roman"/>
        </w:rPr>
        <w:t xml:space="preserve">The borrowers are certainly at fault; if for no other reason than they signed the papers and took the money. The lenders are also at fault because they </w:t>
      </w:r>
      <w:r w:rsidRPr="00124B71">
        <w:rPr>
          <w:rFonts w:cs="Times New Roman"/>
        </w:rPr>
        <w:lastRenderedPageBreak/>
        <w:t>should have known better than to give borrowers loans they could not afford</w:t>
      </w:r>
      <w:r w:rsidR="00965460" w:rsidRPr="00124B71">
        <w:rPr>
          <w:rFonts w:cs="Times New Roman"/>
        </w:rPr>
        <w:t>, provide loans with no income documentation, and ignore proven guidelines for loan-to-value</w:t>
      </w:r>
      <w:r w:rsidR="001858B5">
        <w:rPr>
          <w:rFonts w:cs="Times New Roman"/>
        </w:rPr>
        <w:fldChar w:fldCharType="begin"/>
      </w:r>
      <w:r w:rsidR="001A53F8">
        <w:instrText xml:space="preserve"> XE "</w:instrText>
      </w:r>
      <w:r w:rsidR="001A53F8" w:rsidRPr="00DB4DD4">
        <w:rPr>
          <w:rFonts w:cs="Times New Roman"/>
        </w:rPr>
        <w:instrText>loan-to-value</w:instrText>
      </w:r>
      <w:r w:rsidR="001A53F8">
        <w:instrText xml:space="preserve">" </w:instrText>
      </w:r>
      <w:r w:rsidR="001858B5">
        <w:rPr>
          <w:rFonts w:cs="Times New Roman"/>
        </w:rPr>
        <w:fldChar w:fldCharType="end"/>
      </w:r>
      <w:r w:rsidR="00965460" w:rsidRPr="00124B71">
        <w:rPr>
          <w:rFonts w:cs="Times New Roman"/>
        </w:rPr>
        <w:t xml:space="preserve"> and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Lenders simply cannot abdicate responsibility in this matter for financial, legal and moral reasons.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Pr="00124B71">
        <w:rPr>
          <w:rFonts w:cs="Times New Roman"/>
        </w:rPr>
        <w:t xml:space="preserve"> and Wall Street</w:t>
      </w:r>
      <w:r w:rsidR="001858B5">
        <w:rPr>
          <w:rFonts w:cs="Times New Roman"/>
        </w:rPr>
        <w:fldChar w:fldCharType="begin"/>
      </w:r>
      <w:r w:rsidR="003247C5">
        <w:instrText xml:space="preserve"> XE "</w:instrText>
      </w:r>
      <w:r w:rsidR="003247C5" w:rsidRPr="003A3964">
        <w:rPr>
          <w:rFonts w:cs="Times New Roman"/>
        </w:rPr>
        <w:instrText>Wall Street</w:instrText>
      </w:r>
      <w:r w:rsidR="003247C5">
        <w:instrText xml:space="preserve">" </w:instrText>
      </w:r>
      <w:r w:rsidR="001858B5">
        <w:rPr>
          <w:rFonts w:cs="Times New Roman"/>
        </w:rPr>
        <w:fldChar w:fldCharType="end"/>
      </w:r>
      <w:r w:rsidRPr="00124B71">
        <w:rPr>
          <w:rFonts w:cs="Times New Roman"/>
        </w:rPr>
        <w:t xml:space="preserve"> investors are also at fault for creating the situation and enabling this to occur. In the end, all the responsible parties </w:t>
      </w:r>
      <w:r w:rsidR="00965460" w:rsidRPr="00124B71">
        <w:rPr>
          <w:rFonts w:cs="Times New Roman"/>
        </w:rPr>
        <w:t>were</w:t>
      </w:r>
      <w:r w:rsidRPr="00124B71">
        <w:rPr>
          <w:rFonts w:cs="Times New Roman"/>
        </w:rPr>
        <w:t xml:space="preserve"> ruined: borrowers </w:t>
      </w:r>
      <w:r w:rsidR="00965460" w:rsidRPr="00124B71">
        <w:rPr>
          <w:rFonts w:cs="Times New Roman"/>
        </w:rPr>
        <w:t>lost</w:t>
      </w:r>
      <w:r w:rsidRPr="00124B71">
        <w:rPr>
          <w:rFonts w:cs="Times New Roman"/>
        </w:rPr>
        <w:t xml:space="preserve"> their houses and </w:t>
      </w:r>
      <w:r w:rsidR="00965460" w:rsidRPr="00124B71">
        <w:rPr>
          <w:rFonts w:cs="Times New Roman"/>
        </w:rPr>
        <w:t>went</w:t>
      </w:r>
      <w:r w:rsidRPr="00124B71">
        <w:rPr>
          <w:rFonts w:cs="Times New Roman"/>
        </w:rPr>
        <w:t xml:space="preserve"> bankrupt, lenders like New Century</w:t>
      </w:r>
      <w:r w:rsidR="001858B5">
        <w:rPr>
          <w:rFonts w:cs="Times New Roman"/>
        </w:rPr>
        <w:fldChar w:fldCharType="begin"/>
      </w:r>
      <w:r w:rsidR="002321D5">
        <w:instrText xml:space="preserve"> XE "</w:instrText>
      </w:r>
      <w:r w:rsidR="002321D5" w:rsidRPr="00C24401">
        <w:rPr>
          <w:rFonts w:cs="Times New Roman"/>
        </w:rPr>
        <w:instrText>New Century</w:instrText>
      </w:r>
      <w:r w:rsidR="002321D5">
        <w:instrText xml:space="preserve">" </w:instrText>
      </w:r>
      <w:r w:rsidR="001858B5">
        <w:rPr>
          <w:rFonts w:cs="Times New Roman"/>
        </w:rPr>
        <w:fldChar w:fldCharType="end"/>
      </w:r>
      <w:r w:rsidRPr="00124B71">
        <w:rPr>
          <w:rFonts w:cs="Times New Roman"/>
        </w:rPr>
        <w:t xml:space="preserve"> </w:t>
      </w:r>
      <w:r w:rsidR="00965460" w:rsidRPr="00124B71">
        <w:rPr>
          <w:rFonts w:cs="Times New Roman"/>
        </w:rPr>
        <w:t>went</w:t>
      </w:r>
      <w:r w:rsidRPr="00124B71">
        <w:rPr>
          <w:rFonts w:cs="Times New Roman"/>
        </w:rPr>
        <w:t xml:space="preserve"> out of business and/or los</w:t>
      </w:r>
      <w:r w:rsidR="00965460" w:rsidRPr="00124B71">
        <w:rPr>
          <w:rFonts w:cs="Times New Roman"/>
        </w:rPr>
        <w:t>t</w:t>
      </w:r>
      <w:r w:rsidRPr="00124B71">
        <w:rPr>
          <w:rFonts w:cs="Times New Roman"/>
        </w:rPr>
        <w:t xml:space="preserve"> billions, Wall Street investors shar</w:t>
      </w:r>
      <w:r w:rsidR="00965460" w:rsidRPr="00124B71">
        <w:rPr>
          <w:rFonts w:cs="Times New Roman"/>
        </w:rPr>
        <w:t>ed</w:t>
      </w:r>
      <w:r w:rsidRPr="00124B71">
        <w:rPr>
          <w:rFonts w:cs="Times New Roman"/>
        </w:rPr>
        <w:t xml:space="preserve"> in th</w:t>
      </w:r>
      <w:r w:rsidR="00965460" w:rsidRPr="00124B71">
        <w:rPr>
          <w:rFonts w:cs="Times New Roman"/>
        </w:rPr>
        <w:t>e</w:t>
      </w:r>
      <w:r w:rsidRPr="00124B71">
        <w:rPr>
          <w:rFonts w:cs="Times New Roman"/>
        </w:rPr>
        <w:t xml:space="preserve"> losses with the lenders, and Alan Greenspan</w:t>
      </w:r>
      <w:r w:rsidR="001858B5">
        <w:rPr>
          <w:rFonts w:cs="Times New Roman"/>
        </w:rPr>
        <w:fldChar w:fldCharType="begin"/>
      </w:r>
      <w:r w:rsidR="009975FD">
        <w:instrText xml:space="preserve"> XE "</w:instrText>
      </w:r>
      <w:r w:rsidR="009975FD" w:rsidRPr="009F73BE">
        <w:rPr>
          <w:rFonts w:cs="Times New Roman"/>
        </w:rPr>
        <w:instrText>Alan Greenspan</w:instrText>
      </w:r>
      <w:r w:rsidR="009975FD">
        <w:instrText xml:space="preserve">" </w:instrText>
      </w:r>
      <w:r w:rsidR="001858B5">
        <w:rPr>
          <w:rFonts w:cs="Times New Roman"/>
        </w:rPr>
        <w:fldChar w:fldCharType="end"/>
      </w:r>
      <w:r w:rsidRPr="00124B71">
        <w:rPr>
          <w:rFonts w:cs="Times New Roman"/>
        </w:rPr>
        <w:t xml:space="preserve"> </w:t>
      </w:r>
      <w:r w:rsidR="00965460" w:rsidRPr="00124B71">
        <w:rPr>
          <w:rFonts w:cs="Times New Roman"/>
        </w:rPr>
        <w:t>is</w:t>
      </w:r>
      <w:r w:rsidRPr="00124B71">
        <w:rPr>
          <w:rFonts w:cs="Times New Roman"/>
        </w:rPr>
        <w:t xml:space="preserve"> remembered by history as the architect of the largest, most painful financial bubble</w:t>
      </w:r>
      <w:r w:rsidR="001858B5">
        <w:rPr>
          <w:rFonts w:cs="Times New Roman"/>
        </w:rPr>
        <w:fldChar w:fldCharType="begin"/>
      </w:r>
      <w:r w:rsidR="002321D5">
        <w:instrText xml:space="preserve"> XE "</w:instrText>
      </w:r>
      <w:r w:rsidR="002321D5" w:rsidRPr="005E11A5">
        <w:rPr>
          <w:rFonts w:cs="Times New Roman"/>
        </w:rPr>
        <w:instrText>financial bubble</w:instrText>
      </w:r>
      <w:r w:rsidR="002321D5">
        <w:instrText xml:space="preserve">" </w:instrText>
      </w:r>
      <w:r w:rsidR="001858B5">
        <w:rPr>
          <w:rFonts w:cs="Times New Roman"/>
        </w:rPr>
        <w:fldChar w:fldCharType="end"/>
      </w:r>
      <w:r w:rsidRPr="00124B71">
        <w:rPr>
          <w:rFonts w:cs="Times New Roman"/>
        </w:rPr>
        <w:t xml:space="preserve"> in history.</w:t>
      </w:r>
    </w:p>
    <w:p w14:paraId="4D8F4328" w14:textId="77777777" w:rsidR="006C20DD" w:rsidRPr="00124B71" w:rsidRDefault="006C20DD" w:rsidP="008560E2">
      <w:pPr>
        <w:rPr>
          <w:rFonts w:cs="Times New Roman"/>
        </w:rPr>
      </w:pPr>
      <w:r w:rsidRPr="00124B71">
        <w:rPr>
          <w:rFonts w:cs="Times New Roman"/>
        </w:rPr>
        <w:t>In assigning blame, it is also important to recognize that many innocent people were victims of the housing bust: children of the overleveraged and dishonest, neighbors of homes with dead lawns and graffiti, taxpayers whose money might be used in a bailout, responsible depositors who have to endure returns less than the rate of inflation, condo owners who have to pay the gap left in condo dues on foreclosed units, government employees who were hired in the optimism of rising budgets who are now laid off when tax revenues decline, and bubble buyers who were not motivated by speculative gains but merely looking to shelter their family. The decline of house prices punishes sinners and saints alike.</w:t>
      </w:r>
    </w:p>
    <w:p w14:paraId="0C102EC6" w14:textId="77777777" w:rsidR="00ED494A" w:rsidRPr="00EF0EDA" w:rsidRDefault="00ED494A" w:rsidP="00ED494A">
      <w:pPr>
        <w:pStyle w:val="Heading2"/>
      </w:pPr>
      <w:bookmarkStart w:id="108" w:name="_Toc238867334"/>
      <w:r w:rsidRPr="00EF0EDA">
        <w:t>Summary</w:t>
      </w:r>
      <w:bookmarkEnd w:id="108"/>
    </w:p>
    <w:p w14:paraId="63DF2237" w14:textId="77777777" w:rsidR="005928E9" w:rsidRPr="00124B71" w:rsidRDefault="005928E9" w:rsidP="005928E9">
      <w:pPr>
        <w:rPr>
          <w:rFonts w:cs="Times New Roman"/>
        </w:rPr>
      </w:pPr>
      <w:r w:rsidRPr="00124B71">
        <w:rPr>
          <w:rFonts w:cs="Times New Roman"/>
        </w:rPr>
        <w:t>The Great Housing Bubble was a credit bubble. It was enabled by the widespread use of structured finance</w:t>
      </w:r>
      <w:r w:rsidR="001858B5">
        <w:rPr>
          <w:rFonts w:cs="Times New Roman"/>
        </w:rPr>
        <w:fldChar w:fldCharType="begin"/>
      </w:r>
      <w:r w:rsidR="003247C5">
        <w:instrText xml:space="preserve"> XE "</w:instrText>
      </w:r>
      <w:r w:rsidR="003247C5" w:rsidRPr="009F3643">
        <w:rPr>
          <w:rFonts w:cs="Times New Roman"/>
        </w:rPr>
        <w:instrText>structured finance</w:instrText>
      </w:r>
      <w:r w:rsidR="003247C5">
        <w:instrText xml:space="preserve">" </w:instrText>
      </w:r>
      <w:r w:rsidR="001858B5">
        <w:rPr>
          <w:rFonts w:cs="Times New Roman"/>
        </w:rPr>
        <w:fldChar w:fldCharType="end"/>
      </w:r>
      <w:r w:rsidRPr="00124B71">
        <w:rPr>
          <w:rFonts w:cs="Times New Roman"/>
        </w:rPr>
        <w:t xml:space="preserve"> and collateralized debt obligations, and it was inflated by the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Pr="00124B71">
        <w:rPr>
          <w:rFonts w:cs="Times New Roman"/>
        </w:rPr>
        <w:t xml:space="preserve"> of buyers.</w:t>
      </w:r>
      <w:r w:rsidR="005F6F3B" w:rsidRPr="00124B71">
        <w:rPr>
          <w:rFonts w:cs="Times New Roman"/>
        </w:rPr>
        <w:t xml:space="preserve"> The infrastructure for delivering capital to inflate the bubble was put in place years prior with the development and evolution of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005F6F3B" w:rsidRPr="00124B71">
        <w:rPr>
          <w:rFonts w:cs="Times New Roman"/>
        </w:rPr>
        <w:t>. The system for delivering capital was greatly enhanced by the creation of collateralized debt obligations. Errors in the evaluation of risk to mortgage capital caused money to flow into this market that should have been diverted elsewhere. This free-flow of capital</w:t>
      </w:r>
      <w:r w:rsidR="00517FBB" w:rsidRPr="00124B71">
        <w:rPr>
          <w:rFonts w:cs="Times New Roman"/>
        </w:rPr>
        <w:t xml:space="preserve"> inflated the Great Housing Bubble.</w:t>
      </w:r>
    </w:p>
    <w:p w14:paraId="02309258" w14:textId="77777777" w:rsidR="005928E9" w:rsidRPr="00124B71" w:rsidRDefault="005928E9" w:rsidP="005928E9">
      <w:pPr>
        <w:rPr>
          <w:rFonts w:cs="Times New Roman"/>
        </w:rPr>
      </w:pPr>
    </w:p>
    <w:p w14:paraId="1C6ADED6" w14:textId="77777777" w:rsidR="009F7B4C" w:rsidRPr="00124B71" w:rsidRDefault="009F7B4C" w:rsidP="002B6617">
      <w:pPr>
        <w:rPr>
          <w:rFonts w:cs="Times New Roman"/>
        </w:rPr>
        <w:sectPr w:rsidR="009F7B4C" w:rsidRPr="00124B71" w:rsidSect="009729DE">
          <w:headerReference w:type="even" r:id="rId47"/>
          <w:headerReference w:type="default" r:id="rId48"/>
          <w:endnotePr>
            <w:numFmt w:val="decimal"/>
          </w:endnotePr>
          <w:type w:val="oddPage"/>
          <w:pgSz w:w="8640" w:h="12960" w:code="173"/>
          <w:pgMar w:top="1008" w:right="936" w:bottom="1080" w:left="936" w:header="504" w:footer="504" w:gutter="0"/>
          <w:cols w:space="720"/>
          <w:titlePg/>
          <w:docGrid w:linePitch="360"/>
        </w:sectPr>
      </w:pPr>
    </w:p>
    <w:p w14:paraId="4AF3794E" w14:textId="77777777" w:rsidR="0056372B" w:rsidRPr="00EF0EDA" w:rsidRDefault="0056372B" w:rsidP="00A55CE3">
      <w:pPr>
        <w:pStyle w:val="Heading1"/>
      </w:pPr>
      <w:bookmarkStart w:id="109" w:name="_Toc238867335"/>
      <w:r w:rsidRPr="00EF0EDA">
        <w:lastRenderedPageBreak/>
        <w:t>The Housing Bubble</w:t>
      </w:r>
      <w:bookmarkEnd w:id="109"/>
    </w:p>
    <w:p w14:paraId="798193B4" w14:textId="77777777" w:rsidR="00517FBB" w:rsidRPr="00124B71" w:rsidRDefault="00517FBB" w:rsidP="00A55CE3">
      <w:pPr>
        <w:rPr>
          <w:rFonts w:cs="Times New Roman"/>
        </w:rPr>
      </w:pPr>
      <w:r w:rsidRPr="00124B71">
        <w:rPr>
          <w:rFonts w:cs="Times New Roman"/>
        </w:rPr>
        <w:t xml:space="preserve">Prices went up a large amount during the Great Housing Bubble, but </w:t>
      </w:r>
      <w:r w:rsidR="000268AA" w:rsidRPr="00124B71">
        <w:rPr>
          <w:rFonts w:cs="Times New Roman"/>
        </w:rPr>
        <w:t>what makes</w:t>
      </w:r>
      <w:r w:rsidRPr="00124B71">
        <w:rPr>
          <w:rFonts w:cs="Times New Roman"/>
        </w:rPr>
        <w:t xml:space="preserve"> this price increase a bubble? To answer this question it is necessary to accurately measure price levels and review historic measures of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Pr="00124B71">
        <w:rPr>
          <w:rFonts w:cs="Times New Roman"/>
        </w:rPr>
        <w:t xml:space="preserve"> to establish these price levels are not sustainable</w:t>
      </w:r>
      <w:r w:rsidR="00E53863" w:rsidRPr="00124B71">
        <w:rPr>
          <w:rFonts w:cs="Times New Roman"/>
        </w:rPr>
        <w:t>.</w:t>
      </w:r>
      <w:r w:rsidR="00635AA0" w:rsidRPr="00124B71">
        <w:rPr>
          <w:rFonts w:cs="Times New Roman"/>
        </w:rPr>
        <w:t xml:space="preserve"> </w:t>
      </w:r>
      <w:r w:rsidR="0022713A" w:rsidRPr="00124B71">
        <w:rPr>
          <w:rStyle w:val="EndnoteReference"/>
          <w:rFonts w:cs="Times New Roman"/>
        </w:rPr>
        <w:endnoteReference w:id="75"/>
      </w:r>
      <w:r w:rsidRPr="00124B71">
        <w:rPr>
          <w:rFonts w:cs="Times New Roman"/>
        </w:rPr>
        <w:t xml:space="preserve"> Measuring house prices is not a simple task, and there are many methods market watchers use to evaluate</w:t>
      </w:r>
      <w:r w:rsidR="00C67137" w:rsidRPr="00124B71">
        <w:rPr>
          <w:rFonts w:cs="Times New Roman"/>
        </w:rPr>
        <w:t xml:space="preserve"> market prices. These include the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00C67137" w:rsidRPr="00124B71">
        <w:rPr>
          <w:rFonts w:cs="Times New Roman"/>
        </w:rPr>
        <w:t>, the average cost per square foot, and the S&amp;P/Case-Shiller</w:t>
      </w:r>
      <w:r w:rsidR="001858B5">
        <w:rPr>
          <w:rFonts w:cs="Times New Roman"/>
        </w:rPr>
        <w:fldChar w:fldCharType="begin"/>
      </w:r>
      <w:r w:rsidR="00AE7D38">
        <w:instrText xml:space="preserve"> XE "</w:instrText>
      </w:r>
      <w:r w:rsidR="00AE7D38" w:rsidRPr="00346C49">
        <w:rPr>
          <w:rFonts w:cs="Times New Roman"/>
        </w:rPr>
        <w:instrText>S&amp;P/Case-Shiller</w:instrText>
      </w:r>
      <w:r w:rsidR="00AE7D38">
        <w:instrText xml:space="preserve">" </w:instrText>
      </w:r>
      <w:r w:rsidR="001858B5">
        <w:rPr>
          <w:rFonts w:cs="Times New Roman"/>
        </w:rPr>
        <w:fldChar w:fldCharType="end"/>
      </w:r>
      <w:r w:rsidR="00C67137" w:rsidRPr="00124B71">
        <w:rPr>
          <w:rFonts w:cs="Times New Roman"/>
        </w:rPr>
        <w:t xml:space="preserve"> indices. Price levels in f</w:t>
      </w:r>
      <w:r w:rsidR="0056372B" w:rsidRPr="00124B71">
        <w:rPr>
          <w:rFonts w:cs="Times New Roman"/>
        </w:rPr>
        <w:t xml:space="preserve">inancial markets represent the collective result of individual actions. </w:t>
      </w:r>
      <w:r w:rsidR="00C67137" w:rsidRPr="00124B71">
        <w:rPr>
          <w:rFonts w:cs="Times New Roman"/>
        </w:rPr>
        <w:t>There are techniques to measure</w:t>
      </w:r>
      <w:r w:rsidRPr="00124B71">
        <w:rPr>
          <w:rFonts w:cs="Times New Roman"/>
        </w:rPr>
        <w:t xml:space="preserve"> the actions of the individual market participants</w:t>
      </w:r>
      <w:r w:rsidR="00C67137" w:rsidRPr="00124B71">
        <w:rPr>
          <w:rFonts w:cs="Times New Roman"/>
        </w:rPr>
        <w:t xml:space="preserve"> and their</w:t>
      </w:r>
      <w:r w:rsidRPr="00124B71">
        <w:rPr>
          <w:rFonts w:cs="Times New Roman"/>
        </w:rPr>
        <w:t xml:space="preserve"> impact</w:t>
      </w:r>
      <w:r w:rsidR="00C67137" w:rsidRPr="00124B71">
        <w:rPr>
          <w:rFonts w:cs="Times New Roman"/>
        </w:rPr>
        <w:t xml:space="preserve"> on</w:t>
      </w:r>
      <w:r w:rsidRPr="00124B71">
        <w:rPr>
          <w:rFonts w:cs="Times New Roman"/>
        </w:rPr>
        <w:t xml:space="preserve"> house prices.</w:t>
      </w:r>
      <w:r w:rsidR="00C67137" w:rsidRPr="00124B71">
        <w:rPr>
          <w:rFonts w:cs="Times New Roman"/>
        </w:rPr>
        <w:t xml:space="preserve"> These measures are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C67137" w:rsidRPr="00124B71">
        <w:rPr>
          <w:rFonts w:cs="Times New Roman"/>
        </w:rPr>
        <w:t xml:space="preserve"> ratios and price-to-income</w:t>
      </w:r>
      <w:r w:rsidR="001858B5">
        <w:rPr>
          <w:rFonts w:cs="Times New Roman"/>
        </w:rPr>
        <w:fldChar w:fldCharType="begin"/>
      </w:r>
      <w:r w:rsidR="00AE7D38">
        <w:instrText xml:space="preserve"> XE "</w:instrText>
      </w:r>
      <w:r w:rsidR="00AE7D38" w:rsidRPr="008121A2">
        <w:rPr>
          <w:rFonts w:cs="Times New Roman"/>
        </w:rPr>
        <w:instrText>price-to-income</w:instrText>
      </w:r>
      <w:r w:rsidR="00AE7D38">
        <w:instrText xml:space="preserve">" </w:instrText>
      </w:r>
      <w:r w:rsidR="001858B5">
        <w:rPr>
          <w:rFonts w:cs="Times New Roman"/>
        </w:rPr>
        <w:fldChar w:fldCharType="end"/>
      </w:r>
      <w:r w:rsidR="00C67137" w:rsidRPr="00124B71">
        <w:rPr>
          <w:rFonts w:cs="Times New Roman"/>
        </w:rPr>
        <w:t xml:space="preserve"> ratios. </w:t>
      </w:r>
      <w:r w:rsidRPr="00124B71">
        <w:rPr>
          <w:rFonts w:cs="Times New Roman"/>
        </w:rPr>
        <w:t xml:space="preserve"> The amount of debt </w:t>
      </w:r>
      <w:r w:rsidR="000268AA" w:rsidRPr="00124B71">
        <w:rPr>
          <w:rFonts w:cs="Times New Roman"/>
        </w:rPr>
        <w:t>people are</w:t>
      </w:r>
      <w:r w:rsidRPr="00124B71">
        <w:rPr>
          <w:rFonts w:cs="Times New Roman"/>
        </w:rPr>
        <w:t xml:space="preserve"> willing to take on compared to the income they have available is their debt-to-income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Pr="00124B71">
        <w:rPr>
          <w:rFonts w:cs="Times New Roman"/>
        </w:rPr>
        <w:t xml:space="preserve">. </w:t>
      </w:r>
      <w:r w:rsidR="00C67137" w:rsidRPr="00124B71">
        <w:rPr>
          <w:rFonts w:cs="Times New Roman"/>
        </w:rPr>
        <w:t>The amount of money people are able to put toward the purchase of residential real estate compared to their income is their price-to-income ratio. These ratios are important because they show how much people are borrowing and spending from their earnings to acquire real estate. When these ratios break with historic patterns, they signify a housing bubble.</w:t>
      </w:r>
    </w:p>
    <w:p w14:paraId="7B0C4F95" w14:textId="77777777" w:rsidR="0056372B" w:rsidRPr="00124B71" w:rsidRDefault="00C67137" w:rsidP="00A55CE3">
      <w:pPr>
        <w:rPr>
          <w:rFonts w:cs="Times New Roman"/>
        </w:rPr>
      </w:pPr>
      <w:r w:rsidRPr="00124B71">
        <w:rPr>
          <w:rFonts w:cs="Times New Roman"/>
        </w:rPr>
        <w:t>There is a point where people are not able to bid up prices any higher because they do not have the savings or the borrowing power to pay more. This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Pr="00124B71">
        <w:rPr>
          <w:rFonts w:cs="Times New Roman"/>
        </w:rPr>
        <w:t xml:space="preserve"> limit determines where bubble rallies end</w:t>
      </w:r>
      <w:r w:rsidR="003C29FE" w:rsidRPr="00124B71">
        <w:rPr>
          <w:rFonts w:cs="Times New Roman"/>
        </w:rPr>
        <w:t>; however, this limit is not predetermined or in a fixed location. The purpose of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003C29FE" w:rsidRPr="00124B71">
        <w:rPr>
          <w:rFonts w:cs="Times New Roman"/>
        </w:rPr>
        <w:t xml:space="preserve"> programs is to expand this limit and bring more customers to the market and generate fees for the lenders. Unfortunately, these products have continually proven to be unstable, and the high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3C29FE" w:rsidRPr="00124B71">
        <w:rPr>
          <w:rFonts w:cs="Times New Roman"/>
        </w:rPr>
        <w:t xml:space="preserve"> and lender losses inevitably lead to a contraction of credit known as a credit crunch</w:t>
      </w:r>
      <w:r w:rsidR="001858B5">
        <w:rPr>
          <w:rFonts w:cs="Times New Roman"/>
        </w:rPr>
        <w:fldChar w:fldCharType="begin"/>
      </w:r>
      <w:r w:rsidR="00FA2AEF">
        <w:instrText xml:space="preserve"> XE "</w:instrText>
      </w:r>
      <w:r w:rsidR="00FA2AEF" w:rsidRPr="00F6304A">
        <w:rPr>
          <w:rFonts w:cs="Times New Roman"/>
        </w:rPr>
        <w:instrText>credit crunch</w:instrText>
      </w:r>
      <w:r w:rsidR="00FA2AEF">
        <w:instrText xml:space="preserve">" </w:instrText>
      </w:r>
      <w:r w:rsidR="001858B5">
        <w:rPr>
          <w:rFonts w:cs="Times New Roman"/>
        </w:rPr>
        <w:fldChar w:fldCharType="end"/>
      </w:r>
      <w:r w:rsidR="003C29FE" w:rsidRPr="00124B71">
        <w:rPr>
          <w:rFonts w:cs="Times New Roman"/>
        </w:rPr>
        <w:t>. In</w:t>
      </w:r>
      <w:r w:rsidR="0056372B" w:rsidRPr="00124B71">
        <w:rPr>
          <w:rFonts w:cs="Times New Roman"/>
        </w:rPr>
        <w:t>terest-only and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0056372B" w:rsidRPr="00124B71">
        <w:rPr>
          <w:rFonts w:cs="Times New Roman"/>
        </w:rPr>
        <w:t xml:space="preserve"> loans created the housing rally and their elimination due to borrower default created the housing crash.  </w:t>
      </w:r>
      <w:r w:rsidR="00182961" w:rsidRPr="00124B71">
        <w:rPr>
          <w:rFonts w:cs="Times New Roman"/>
        </w:rPr>
        <w:t>As mentioned previously</w:t>
      </w:r>
      <w:r w:rsidR="0056372B" w:rsidRPr="00124B71">
        <w:rPr>
          <w:rFonts w:cs="Times New Roman"/>
        </w:rPr>
        <w:t>, the housing bubble was a credit bubble.</w:t>
      </w:r>
    </w:p>
    <w:p w14:paraId="2255F640" w14:textId="77777777" w:rsidR="000F1D74" w:rsidRPr="00EF0EDA" w:rsidRDefault="00105B9C" w:rsidP="000F1D74">
      <w:pPr>
        <w:pStyle w:val="Heading2"/>
      </w:pPr>
      <w:bookmarkStart w:id="110" w:name="_Toc238867336"/>
      <w:r w:rsidRPr="00EF0EDA">
        <w:lastRenderedPageBreak/>
        <w:t>Price</w:t>
      </w:r>
      <w:r w:rsidR="00FC516E" w:rsidRPr="00EF0EDA">
        <w:t xml:space="preserve"> Measurements</w:t>
      </w:r>
      <w:bookmarkEnd w:id="110"/>
      <w:r w:rsidR="000F1D74" w:rsidRPr="00EF0EDA">
        <w:t xml:space="preserve"> </w:t>
      </w:r>
    </w:p>
    <w:p w14:paraId="56D4B71C" w14:textId="77777777" w:rsidR="000F1D74" w:rsidRPr="00124B71" w:rsidRDefault="000F1D74" w:rsidP="000F1D74">
      <w:pPr>
        <w:rPr>
          <w:rFonts w:cs="Times New Roman"/>
        </w:rPr>
      </w:pPr>
      <w:r w:rsidRPr="00124B71">
        <w:rPr>
          <w:rFonts w:cs="Times New Roman"/>
        </w:rPr>
        <w:t xml:space="preserve">There is no perfect measure for any broad financial market activity. </w:t>
      </w:r>
      <w:r w:rsidR="00404C41" w:rsidRPr="00124B71">
        <w:rPr>
          <w:rFonts w:cs="Times New Roman"/>
        </w:rPr>
        <w:t>Markets for stocks</w:t>
      </w:r>
      <w:r w:rsidR="001858B5">
        <w:rPr>
          <w:rFonts w:cs="Times New Roman"/>
        </w:rPr>
        <w:fldChar w:fldCharType="begin"/>
      </w:r>
      <w:r w:rsidR="00FF74AC">
        <w:instrText xml:space="preserve"> XE "</w:instrText>
      </w:r>
      <w:r w:rsidR="00FF74AC" w:rsidRPr="00D753F0">
        <w:rPr>
          <w:rFonts w:cs="Times New Roman"/>
        </w:rPr>
        <w:instrText>stocks</w:instrText>
      </w:r>
      <w:r w:rsidR="00FF74AC">
        <w:instrText xml:space="preserve">" </w:instrText>
      </w:r>
      <w:r w:rsidR="001858B5">
        <w:rPr>
          <w:rFonts w:cs="Times New Roman"/>
        </w:rPr>
        <w:fldChar w:fldCharType="end"/>
      </w:r>
      <w:r w:rsidR="00404C41" w:rsidRPr="00124B71">
        <w:rPr>
          <w:rFonts w:cs="Times New Roman"/>
        </w:rPr>
        <w:t xml:space="preserve">, bonds and other securities are the most widely reported and measured financial markets. </w:t>
      </w:r>
      <w:r w:rsidR="000268AA" w:rsidRPr="00124B71">
        <w:rPr>
          <w:rFonts w:cs="Times New Roman"/>
        </w:rPr>
        <w:t>It is</w:t>
      </w:r>
      <w:r w:rsidR="00404C41" w:rsidRPr="00124B71">
        <w:rPr>
          <w:rFonts w:cs="Times New Roman"/>
        </w:rPr>
        <w:t xml:space="preserve"> relatively easy to measure activity</w:t>
      </w:r>
      <w:r w:rsidR="000268AA" w:rsidRPr="00124B71">
        <w:rPr>
          <w:rFonts w:cs="Times New Roman"/>
        </w:rPr>
        <w:t xml:space="preserve"> in these markets</w:t>
      </w:r>
      <w:r w:rsidR="00404C41" w:rsidRPr="00124B71">
        <w:rPr>
          <w:rFonts w:cs="Times New Roman"/>
        </w:rPr>
        <w:t xml:space="preserve"> because all sales are recorded at a few central exchanges and the “products” are uniform (one share of stock is equal to another</w:t>
      </w:r>
      <w:r w:rsidR="00A40CA5" w:rsidRPr="00124B71">
        <w:rPr>
          <w:rFonts w:cs="Times New Roman"/>
        </w:rPr>
        <w:t>).</w:t>
      </w:r>
      <w:r w:rsidR="00404C41" w:rsidRPr="00124B71">
        <w:rPr>
          <w:rFonts w:cs="Times New Roman"/>
        </w:rPr>
        <w:t xml:space="preserve"> In contrast, real estate markets are much more difficult to evaluate</w:t>
      </w:r>
      <w:r w:rsidR="00483CE0" w:rsidRPr="00124B71">
        <w:rPr>
          <w:rFonts w:cs="Times New Roman"/>
        </w:rPr>
        <w:t>.</w:t>
      </w:r>
      <w:r w:rsidR="00635AA0" w:rsidRPr="00124B71">
        <w:rPr>
          <w:rFonts w:cs="Times New Roman"/>
        </w:rPr>
        <w:t xml:space="preserve"> </w:t>
      </w:r>
      <w:r w:rsidR="00413405" w:rsidRPr="00124B71">
        <w:rPr>
          <w:rStyle w:val="EndnoteReference"/>
          <w:rFonts w:cs="Times New Roman"/>
        </w:rPr>
        <w:endnoteReference w:id="76"/>
      </w:r>
      <w:r w:rsidR="00404C41" w:rsidRPr="00124B71">
        <w:rPr>
          <w:rFonts w:cs="Times New Roman"/>
        </w:rPr>
        <w:t xml:space="preserve"> Real estate transactions are recorded into the public record in thousands of locations across the country. Keeping an organized database of these records is such a daunting task that the title insurance</w:t>
      </w:r>
      <w:r w:rsidR="001858B5">
        <w:rPr>
          <w:rFonts w:cs="Times New Roman"/>
        </w:rPr>
        <w:fldChar w:fldCharType="begin"/>
      </w:r>
      <w:r w:rsidR="00FF74AC">
        <w:instrText xml:space="preserve"> XE "</w:instrText>
      </w:r>
      <w:r w:rsidR="00FF74AC" w:rsidRPr="00AB3D32">
        <w:rPr>
          <w:rFonts w:cs="Times New Roman"/>
        </w:rPr>
        <w:instrText>title insurance</w:instrText>
      </w:r>
      <w:r w:rsidR="00FF74AC">
        <w:instrText xml:space="preserve">" </w:instrText>
      </w:r>
      <w:r w:rsidR="001858B5">
        <w:rPr>
          <w:rFonts w:cs="Times New Roman"/>
        </w:rPr>
        <w:fldChar w:fldCharType="end"/>
      </w:r>
      <w:r w:rsidR="00404C41" w:rsidRPr="00124B71">
        <w:rPr>
          <w:rFonts w:cs="Times New Roman"/>
        </w:rPr>
        <w:t xml:space="preserve"> industry has taken this responsibility as part of its business model, and many people are devoted to the arduous task of obtaining and organizing these records on a daily basis. Real estate does not have the uniformity of stocks or other financial instruments. Each property has unique </w:t>
      </w:r>
      <w:r w:rsidR="00155FF1" w:rsidRPr="00124B71">
        <w:rPr>
          <w:rFonts w:cs="Times New Roman"/>
        </w:rPr>
        <w:t>qualities</w:t>
      </w:r>
      <w:r w:rsidR="00404C41" w:rsidRPr="00124B71">
        <w:rPr>
          <w:rFonts w:cs="Times New Roman"/>
        </w:rPr>
        <w:t xml:space="preserve"> that differentiate it from all other properties making like-kind comparisons very difficult.</w:t>
      </w:r>
      <w:r w:rsidR="00155FF1" w:rsidRPr="00124B71">
        <w:rPr>
          <w:rFonts w:cs="Times New Roman"/>
        </w:rPr>
        <w:t xml:space="preserve"> </w:t>
      </w:r>
      <w:r w:rsidR="00092F28" w:rsidRPr="00124B71">
        <w:rPr>
          <w:rFonts w:cs="Times New Roman"/>
        </w:rPr>
        <w:t xml:space="preserve">Geographical location is a major influence on the value of real estate. Even if two properties could be found with identical physical characteristics, the values of these properties could vary considerably based on where they are located. </w:t>
      </w:r>
      <w:r w:rsidR="00155FF1" w:rsidRPr="00124B71">
        <w:rPr>
          <w:rFonts w:cs="Times New Roman"/>
        </w:rPr>
        <w:t>Ideally, a market measure would record the changes in sales prices of identical assets or in the case of an index, a group of similar assets. The unique nature of real estate assets makes it difficult to use standard measures of reporting utilized in other financial markets.</w:t>
      </w:r>
    </w:p>
    <w:p w14:paraId="3981A06A" w14:textId="77777777" w:rsidR="005A19C2" w:rsidRPr="00124B71" w:rsidRDefault="00155FF1" w:rsidP="00720CC6">
      <w:pPr>
        <w:suppressAutoHyphens/>
        <w:rPr>
          <w:rFonts w:cs="Times New Roman"/>
        </w:rPr>
      </w:pPr>
      <w:r w:rsidRPr="00124B71">
        <w:rPr>
          <w:rFonts w:cs="Times New Roman"/>
        </w:rPr>
        <w:t>Due to the problems of asset uniformity</w:t>
      </w:r>
      <w:r w:rsidR="00092F28" w:rsidRPr="00124B71">
        <w:rPr>
          <w:rFonts w:cs="Times New Roman"/>
        </w:rPr>
        <w:t xml:space="preserve"> and variability based on location</w:t>
      </w:r>
      <w:r w:rsidRPr="00124B71">
        <w:rPr>
          <w:rFonts w:cs="Times New Roman"/>
        </w:rPr>
        <w:t>, real estate markets</w:t>
      </w:r>
      <w:r w:rsidR="00092F28" w:rsidRPr="00124B71">
        <w:rPr>
          <w:rFonts w:cs="Times New Roman"/>
        </w:rPr>
        <w:t xml:space="preserve"> are typically measured using some form of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00092F28" w:rsidRPr="00124B71">
        <w:rPr>
          <w:rFonts w:cs="Times New Roman"/>
        </w:rPr>
        <w:t xml:space="preserve"> pricing over a specified geographic area. The median is a statistical measure of central tendency where half the data points are above and half the data points are below.</w:t>
      </w:r>
      <w:r w:rsidRPr="00124B71">
        <w:rPr>
          <w:rFonts w:cs="Times New Roman"/>
        </w:rPr>
        <w:t xml:space="preserve"> </w:t>
      </w:r>
      <w:r w:rsidR="00092F28" w:rsidRPr="00124B71">
        <w:rPr>
          <w:rFonts w:cs="Times New Roman"/>
        </w:rPr>
        <w:t>For instance, in a list of 5 numbers</w:t>
      </w:r>
      <w:r w:rsidR="00FD639E" w:rsidRPr="00124B71">
        <w:rPr>
          <w:rFonts w:cs="Times New Roman"/>
        </w:rPr>
        <w:t xml:space="preserve"> sorted by size ($100,000, $200,000, $300,000, $500,000, $900,000,) the third number in the list ($300,000) would be the median because it has two numbers that are larger and two numbers that are smaller. The median ($300,000) is used rather than an average ($400,000) because a few very expensive properties can increase the average significantly, and the resulting number does not represent the bulk of the price activity in the market. </w:t>
      </w:r>
    </w:p>
    <w:p w14:paraId="3CF3C3EC" w14:textId="77777777" w:rsidR="0001034B" w:rsidRPr="00124B71" w:rsidRDefault="0001034B" w:rsidP="00720CC6">
      <w:pPr>
        <w:suppressAutoHyphens/>
        <w:rPr>
          <w:rFonts w:cs="Times New Roman"/>
        </w:rPr>
      </w:pPr>
      <w:r w:rsidRPr="00124B71">
        <w:rPr>
          <w:rFonts w:cs="Times New Roman"/>
        </w:rPr>
        <w:t>One of the problems with a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Pr="00124B71">
        <w:rPr>
          <w:rFonts w:cs="Times New Roman"/>
        </w:rPr>
        <w:t xml:space="preserve"> as a measure of house prices is a lag between when a top or a bottom actually occurs and when this top or bottom is reflected in the index. During the beginning of a market decline, the lower end of the market has a more dramatic drop in volume than the top of the market. This causes the median to stay at artificially high levels not reflective of pricing of individual properties in the market. In other words, for a time things look better than they are. At the beginning of a market rally, transaction volume picks up at the bottom of the market at first restarting the chain of move ups. During this time, the prices of individual properties can be moving higher, but since the heavy transaction volume is at the low end, the median will actually move lower.</w:t>
      </w:r>
    </w:p>
    <w:p w14:paraId="6EAFFE29" w14:textId="77777777" w:rsidR="00155FF1" w:rsidRPr="00124B71" w:rsidRDefault="00FD639E" w:rsidP="000F1D74">
      <w:pPr>
        <w:rPr>
          <w:rFonts w:cs="Times New Roman"/>
        </w:rPr>
      </w:pPr>
      <w:r w:rsidRPr="00124B71">
        <w:rPr>
          <w:rFonts w:cs="Times New Roman"/>
        </w:rPr>
        <w:t>The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Pr="00124B71">
        <w:rPr>
          <w:rFonts w:cs="Times New Roman"/>
        </w:rPr>
        <w:t xml:space="preserve"> is a good measure of general price activity in the market, but i</w:t>
      </w:r>
      <w:r w:rsidR="00955CD4">
        <w:rPr>
          <w:rFonts w:cs="Times New Roman"/>
        </w:rPr>
        <w:t>t</w:t>
      </w:r>
      <w:r w:rsidRPr="00124B71">
        <w:rPr>
          <w:rFonts w:cs="Times New Roman"/>
        </w:rPr>
        <w:t xml:space="preserve"> does have a significant weakness: it does not indicate the value buyers are </w:t>
      </w:r>
      <w:r w:rsidRPr="00124B71">
        <w:rPr>
          <w:rFonts w:cs="Times New Roman"/>
        </w:rPr>
        <w:lastRenderedPageBreak/>
        <w:t xml:space="preserve">obtaining in the market. </w:t>
      </w:r>
      <w:r w:rsidR="005A19C2" w:rsidRPr="00124B71">
        <w:rPr>
          <w:rFonts w:cs="Times New Roman"/>
        </w:rPr>
        <w:t>The houses or structures built on the land compose the most significant portion of real estate value in most markets. These structures deteriorate over time and require routine maintenance that is often deferred. During times of prosperity, many people renovate homes to add value and improve their living conditions. The impact of deterioration and renovation of individual properties is not reflected in the median resale value. A</w:t>
      </w:r>
      <w:r w:rsidR="00B81B5C" w:rsidRPr="00124B71">
        <w:rPr>
          <w:rFonts w:cs="Times New Roman"/>
        </w:rPr>
        <w:t>lso, a</w:t>
      </w:r>
      <w:r w:rsidR="005A19C2" w:rsidRPr="00124B71">
        <w:rPr>
          <w:rFonts w:cs="Times New Roman"/>
        </w:rPr>
        <w:t>t the time of sale, there are often buyer incentives which inflate the recorded sales price relative to the actual cost to the buyer. These buyer incentives also distort the median sales price as a measure of value.</w:t>
      </w:r>
    </w:p>
    <w:p w14:paraId="70B66B65" w14:textId="77777777" w:rsidR="00297433" w:rsidRPr="00124B71" w:rsidRDefault="00297433" w:rsidP="000F1D74">
      <w:pPr>
        <w:rPr>
          <w:rFonts w:cs="Times New Roman"/>
        </w:rPr>
      </w:pPr>
      <w:r w:rsidRPr="00124B71">
        <w:rPr>
          <w:rFonts w:cs="Times New Roman"/>
        </w:rPr>
        <w:t>Ma</w:t>
      </w:r>
      <w:r w:rsidR="00A05183" w:rsidRPr="00124B71">
        <w:rPr>
          <w:rFonts w:cs="Times New Roman"/>
        </w:rPr>
        <w:t>ny data reporting services</w:t>
      </w:r>
      <w:r w:rsidRPr="00124B71">
        <w:rPr>
          <w:rFonts w:cs="Times New Roman"/>
        </w:rPr>
        <w:t xml:space="preserve"> measur</w:t>
      </w:r>
      <w:r w:rsidR="00A05183" w:rsidRPr="00124B71">
        <w:rPr>
          <w:rFonts w:cs="Times New Roman"/>
        </w:rPr>
        <w:t>e</w:t>
      </w:r>
      <w:r w:rsidRPr="00124B71">
        <w:rPr>
          <w:rFonts w:cs="Times New Roman"/>
        </w:rPr>
        <w:t>, record</w:t>
      </w:r>
      <w:r w:rsidR="00A05183" w:rsidRPr="00124B71">
        <w:rPr>
          <w:rFonts w:cs="Times New Roman"/>
        </w:rPr>
        <w:t xml:space="preserve">, </w:t>
      </w:r>
      <w:r w:rsidRPr="00124B71">
        <w:rPr>
          <w:rFonts w:cs="Times New Roman"/>
        </w:rPr>
        <w:t xml:space="preserve">and report the average sales cost on a </w:t>
      </w:r>
      <w:r w:rsidR="00A05183" w:rsidRPr="00124B71">
        <w:rPr>
          <w:rFonts w:cs="Times New Roman"/>
        </w:rPr>
        <w:t xml:space="preserve">per-square-foot </w:t>
      </w:r>
      <w:r w:rsidRPr="00124B71">
        <w:rPr>
          <w:rFonts w:cs="Times New Roman"/>
        </w:rPr>
        <w:t>basis to address the problem of</w:t>
      </w:r>
      <w:r w:rsidR="0058574E" w:rsidRPr="00124B71">
        <w:rPr>
          <w:rFonts w:cs="Times New Roman"/>
        </w:rPr>
        <w:t xml:space="preserve"> evaluating what buyers </w:t>
      </w:r>
      <w:r w:rsidR="00A05183" w:rsidRPr="00124B71">
        <w:rPr>
          <w:rFonts w:cs="Times New Roman"/>
        </w:rPr>
        <w:t>a</w:t>
      </w:r>
      <w:r w:rsidR="0058574E" w:rsidRPr="00124B71">
        <w:rPr>
          <w:rFonts w:cs="Times New Roman"/>
        </w:rPr>
        <w:t>re getting for their money. For instance, in a de</w:t>
      </w:r>
      <w:r w:rsidR="00A05183" w:rsidRPr="00124B71">
        <w:rPr>
          <w:rFonts w:cs="Times New Roman"/>
        </w:rPr>
        <w:t>clining market if people start</w:t>
      </w:r>
      <w:r w:rsidR="0058574E" w:rsidRPr="00124B71">
        <w:rPr>
          <w:rFonts w:cs="Times New Roman"/>
        </w:rPr>
        <w:t xml:space="preserve"> buying much larger homes at the limit of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0058574E" w:rsidRPr="00124B71">
        <w:rPr>
          <w:rFonts w:cs="Times New Roman"/>
        </w:rPr>
        <w:t>, the generic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0058574E" w:rsidRPr="00124B71">
        <w:rPr>
          <w:rFonts w:cs="Times New Roman"/>
        </w:rPr>
        <w:t xml:space="preserve"> sales price would remain unchanged, but since buyers </w:t>
      </w:r>
      <w:r w:rsidR="00A05183" w:rsidRPr="00124B71">
        <w:rPr>
          <w:rFonts w:cs="Times New Roman"/>
        </w:rPr>
        <w:t>a</w:t>
      </w:r>
      <w:r w:rsidR="0058574E" w:rsidRPr="00124B71">
        <w:rPr>
          <w:rFonts w:cs="Times New Roman"/>
        </w:rPr>
        <w:t xml:space="preserve">re getting much larger homes for the same money, the average cost </w:t>
      </w:r>
      <w:r w:rsidR="00A05183" w:rsidRPr="00124B71">
        <w:rPr>
          <w:rFonts w:cs="Times New Roman"/>
        </w:rPr>
        <w:t>per-square-foot</w:t>
      </w:r>
      <w:r w:rsidR="001858B5">
        <w:rPr>
          <w:rFonts w:cs="Times New Roman"/>
        </w:rPr>
        <w:fldChar w:fldCharType="begin"/>
      </w:r>
      <w:r w:rsidR="00AE7D38">
        <w:instrText xml:space="preserve"> XE "</w:instrText>
      </w:r>
      <w:r w:rsidR="00AE7D38" w:rsidRPr="00DD27A3">
        <w:rPr>
          <w:rFonts w:cs="Times New Roman"/>
        </w:rPr>
        <w:instrText>average cost per-square-foot</w:instrText>
      </w:r>
      <w:r w:rsidR="00AE7D38">
        <w:instrText xml:space="preserve">" </w:instrText>
      </w:r>
      <w:r w:rsidR="001858B5">
        <w:rPr>
          <w:rFonts w:cs="Times New Roman"/>
        </w:rPr>
        <w:fldChar w:fldCharType="end"/>
      </w:r>
      <w:r w:rsidR="00A05183" w:rsidRPr="00124B71">
        <w:rPr>
          <w:rFonts w:cs="Times New Roman"/>
        </w:rPr>
        <w:t xml:space="preserve"> </w:t>
      </w:r>
      <w:r w:rsidR="0058574E" w:rsidRPr="00124B71">
        <w:rPr>
          <w:rFonts w:cs="Times New Roman"/>
        </w:rPr>
        <w:t xml:space="preserve">would decline accordingly. This makes the average cost </w:t>
      </w:r>
      <w:r w:rsidR="00A05183" w:rsidRPr="00124B71">
        <w:rPr>
          <w:rFonts w:cs="Times New Roman"/>
        </w:rPr>
        <w:t xml:space="preserve">per-square-foot </w:t>
      </w:r>
      <w:r w:rsidR="0058574E" w:rsidRPr="00124B71">
        <w:rPr>
          <w:rFonts w:cs="Times New Roman"/>
        </w:rPr>
        <w:t>a superior measure for capturing qualitative changes in house prices; however, this method of measurement does not capture the relative quality of the square footage purchased</w:t>
      </w:r>
      <w:r w:rsidR="000268AA" w:rsidRPr="00124B71">
        <w:rPr>
          <w:rFonts w:cs="Times New Roman"/>
        </w:rPr>
        <w:t>,</w:t>
      </w:r>
      <w:r w:rsidR="0058574E" w:rsidRPr="00124B71">
        <w:rPr>
          <w:rFonts w:cs="Times New Roman"/>
        </w:rPr>
        <w:t xml:space="preserve"> only the price paid for it. High quality finishes m</w:t>
      </w:r>
      <w:r w:rsidR="00D63C80" w:rsidRPr="00124B71">
        <w:rPr>
          <w:rFonts w:cs="Times New Roman"/>
        </w:rPr>
        <w:t>a</w:t>
      </w:r>
      <w:r w:rsidR="0058574E" w:rsidRPr="00124B71">
        <w:rPr>
          <w:rFonts w:cs="Times New Roman"/>
        </w:rPr>
        <w:t>y justify</w:t>
      </w:r>
      <w:r w:rsidR="00D63C80" w:rsidRPr="00124B71">
        <w:rPr>
          <w:rFonts w:cs="Times New Roman"/>
        </w:rPr>
        <w:t xml:space="preserve"> a higher price per square foot. There is no way to objectively evaluate the impact finish quality has on home prices. </w:t>
      </w:r>
      <w:r w:rsidR="0058574E" w:rsidRPr="00124B71">
        <w:rPr>
          <w:rFonts w:cs="Times New Roman"/>
        </w:rPr>
        <w:t>The main problem</w:t>
      </w:r>
      <w:r w:rsidR="00D63C80" w:rsidRPr="00124B71">
        <w:rPr>
          <w:rFonts w:cs="Times New Roman"/>
        </w:rPr>
        <w:t>s</w:t>
      </w:r>
      <w:r w:rsidR="0058574E" w:rsidRPr="00124B71">
        <w:rPr>
          <w:rFonts w:cs="Times New Roman"/>
        </w:rPr>
        <w:t xml:space="preserve"> with </w:t>
      </w:r>
      <w:r w:rsidR="00D63C80" w:rsidRPr="00124B71">
        <w:rPr>
          <w:rFonts w:cs="Times New Roman"/>
        </w:rPr>
        <w:t xml:space="preserve">using the average cost </w:t>
      </w:r>
      <w:r w:rsidR="00A05183" w:rsidRPr="00124B71">
        <w:rPr>
          <w:rFonts w:cs="Times New Roman"/>
        </w:rPr>
        <w:t xml:space="preserve">per-square-foot </w:t>
      </w:r>
      <w:r w:rsidR="00D63C80" w:rsidRPr="00124B71">
        <w:rPr>
          <w:rFonts w:cs="Times New Roman"/>
        </w:rPr>
        <w:t>to measure price</w:t>
      </w:r>
      <w:r w:rsidR="0058574E" w:rsidRPr="00124B71">
        <w:rPr>
          <w:rFonts w:cs="Times New Roman"/>
        </w:rPr>
        <w:t xml:space="preserve"> is that it </w:t>
      </w:r>
      <w:r w:rsidR="00D63C80" w:rsidRPr="00124B71">
        <w:rPr>
          <w:rFonts w:cs="Times New Roman"/>
        </w:rPr>
        <w:t xml:space="preserve">does not provide a number comparable to sales prices since it has been divided by square feet, and it </w:t>
      </w:r>
      <w:r w:rsidR="0058574E" w:rsidRPr="00124B71">
        <w:rPr>
          <w:rFonts w:cs="Times New Roman"/>
        </w:rPr>
        <w:t>is not widely measured and reported.</w:t>
      </w:r>
      <w:r w:rsidR="00D63C80" w:rsidRPr="00124B71">
        <w:rPr>
          <w:rFonts w:cs="Times New Roman"/>
        </w:rPr>
        <w:t xml:space="preserve"> </w:t>
      </w:r>
    </w:p>
    <w:p w14:paraId="2142EF50" w14:textId="4D4D3CA3" w:rsidR="00297433" w:rsidRPr="00EF0EDA" w:rsidRDefault="00CF05FE" w:rsidP="00297433">
      <w:pPr>
        <w:pStyle w:val="Caption"/>
      </w:pPr>
      <w:bookmarkStart w:id="111" w:name="_Toc238867456"/>
      <w:r>
        <w:t>Figure</w:t>
      </w:r>
      <w:r w:rsidR="00297433" w:rsidRPr="00EF0EDA">
        <w:t xml:space="preserve"> </w:t>
      </w:r>
      <w:fldSimple w:instr=" SEQ Figure \* ARABIC ">
        <w:r w:rsidR="00493733">
          <w:rPr>
            <w:noProof/>
          </w:rPr>
          <w:t>15</w:t>
        </w:r>
      </w:fldSimple>
      <w:r w:rsidR="00317936">
        <w:t xml:space="preserve">: </w:t>
      </w:r>
      <w:r w:rsidR="000E7151">
        <w:t xml:space="preserve">National </w:t>
      </w:r>
      <w:r w:rsidR="00297433" w:rsidRPr="00EF0EDA">
        <w:t>S&amp;P/Case-Shiller</w:t>
      </w:r>
      <w:r w:rsidR="001858B5">
        <w:fldChar w:fldCharType="begin"/>
      </w:r>
      <w:r w:rsidR="00AE7D38">
        <w:instrText xml:space="preserve"> XE "</w:instrText>
      </w:r>
      <w:r w:rsidR="00AE7D38" w:rsidRPr="00346C49">
        <w:rPr>
          <w:rFonts w:cs="Times New Roman"/>
        </w:rPr>
        <w:instrText>S&amp;P/Case-Shiller</w:instrText>
      </w:r>
      <w:r w:rsidR="00AE7D38">
        <w:instrText xml:space="preserve">" </w:instrText>
      </w:r>
      <w:r w:rsidR="001858B5">
        <w:fldChar w:fldCharType="end"/>
      </w:r>
      <w:r w:rsidR="00297433" w:rsidRPr="00EF0EDA">
        <w:t xml:space="preserve"> Home Price Index, 1987-2007</w:t>
      </w:r>
      <w:bookmarkEnd w:id="111"/>
    </w:p>
    <w:p w14:paraId="1FE3A003" w14:textId="77777777" w:rsidR="00297433" w:rsidRPr="00EF0EDA" w:rsidRDefault="00AD6CCE" w:rsidP="002B6617">
      <w:pPr>
        <w:pStyle w:val="Graphics"/>
      </w:pPr>
      <w:r>
        <w:drawing>
          <wp:inline distT="0" distB="0" distL="0" distR="0" wp14:anchorId="486B3CEC" wp14:editId="550D04EC">
            <wp:extent cx="3657600" cy="2514600"/>
            <wp:effectExtent l="19050" t="0" r="0" b="0"/>
            <wp:docPr id="80" name="Picture 79" descr="S&amp;P-Case-Shiller Home Price Index, National 1987-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P-Case-Shiller Home Price Index, National 1987-2007.jpg"/>
                    <pic:cNvPicPr/>
                  </pic:nvPicPr>
                  <pic:blipFill>
                    <a:blip r:embed="rId49"/>
                    <a:stretch>
                      <a:fillRect/>
                    </a:stretch>
                  </pic:blipFill>
                  <pic:spPr>
                    <a:xfrm>
                      <a:off x="0" y="0"/>
                      <a:ext cx="3657600" cy="2514600"/>
                    </a:xfrm>
                    <a:prstGeom prst="rect">
                      <a:avLst/>
                    </a:prstGeom>
                  </pic:spPr>
                </pic:pic>
              </a:graphicData>
            </a:graphic>
          </wp:inline>
        </w:drawing>
      </w:r>
    </w:p>
    <w:p w14:paraId="7A7E65A8" w14:textId="77777777" w:rsidR="005A19C2" w:rsidRPr="00124B71" w:rsidRDefault="00A911F0" w:rsidP="000F1D74">
      <w:pPr>
        <w:rPr>
          <w:rFonts w:cs="Times New Roman"/>
        </w:rPr>
      </w:pPr>
      <w:r w:rsidRPr="00124B71">
        <w:rPr>
          <w:rFonts w:cs="Times New Roman"/>
        </w:rPr>
        <w:t>To address some of the weaknesses of the generic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Pr="00124B71">
        <w:rPr>
          <w:rFonts w:cs="Times New Roman"/>
        </w:rPr>
        <w:t xml:space="preserve"> sales price as a measure of market value, Karl Case</w:t>
      </w:r>
      <w:r w:rsidR="001858B5">
        <w:rPr>
          <w:rFonts w:cs="Times New Roman"/>
        </w:rPr>
        <w:fldChar w:fldCharType="begin"/>
      </w:r>
      <w:r w:rsidR="00AE7D38">
        <w:instrText xml:space="preserve"> XE "</w:instrText>
      </w:r>
      <w:r w:rsidR="00AE7D38" w:rsidRPr="00D83148">
        <w:rPr>
          <w:rFonts w:cs="Times New Roman"/>
        </w:rPr>
        <w:instrText>Karl Case</w:instrText>
      </w:r>
      <w:r w:rsidR="00AE7D38">
        <w:instrText xml:space="preserve">" </w:instrText>
      </w:r>
      <w:r w:rsidR="001858B5">
        <w:rPr>
          <w:rFonts w:cs="Times New Roman"/>
        </w:rPr>
        <w:fldChar w:fldCharType="end"/>
      </w:r>
      <w:r w:rsidRPr="00124B71">
        <w:rPr>
          <w:rFonts w:cs="Times New Roman"/>
        </w:rPr>
        <w:t xml:space="preserve"> and Robert Shiller</w:t>
      </w:r>
      <w:r w:rsidR="001858B5">
        <w:rPr>
          <w:rFonts w:cs="Times New Roman"/>
        </w:rPr>
        <w:fldChar w:fldCharType="begin"/>
      </w:r>
      <w:r w:rsidR="00AE7D38">
        <w:instrText xml:space="preserve"> XE "</w:instrText>
      </w:r>
      <w:r w:rsidR="00AE7D38" w:rsidRPr="00064AF4">
        <w:rPr>
          <w:rFonts w:cs="Times New Roman"/>
        </w:rPr>
        <w:instrText>Robert Shiller</w:instrText>
      </w:r>
      <w:r w:rsidR="00AE7D38">
        <w:instrText xml:space="preserve">" </w:instrText>
      </w:r>
      <w:r w:rsidR="001858B5">
        <w:rPr>
          <w:rFonts w:cs="Times New Roman"/>
        </w:rPr>
        <w:fldChar w:fldCharType="end"/>
      </w:r>
      <w:r w:rsidRPr="00124B71">
        <w:rPr>
          <w:rFonts w:cs="Times New Roman"/>
        </w:rPr>
        <w:t xml:space="preserve"> developed the Case-Shiller indices for measuring market trends</w:t>
      </w:r>
      <w:r w:rsidR="00483CE0" w:rsidRPr="00124B71">
        <w:rPr>
          <w:rFonts w:cs="Times New Roman"/>
        </w:rPr>
        <w:t>.</w:t>
      </w:r>
      <w:r w:rsidR="00635AA0" w:rsidRPr="00124B71">
        <w:rPr>
          <w:rFonts w:cs="Times New Roman"/>
        </w:rPr>
        <w:t xml:space="preserve"> </w:t>
      </w:r>
      <w:r w:rsidR="003B4054" w:rsidRPr="00124B71">
        <w:rPr>
          <w:rStyle w:val="EndnoteReference"/>
          <w:rFonts w:cs="Times New Roman"/>
        </w:rPr>
        <w:endnoteReference w:id="77"/>
      </w:r>
      <w:r w:rsidRPr="00124B71">
        <w:rPr>
          <w:rFonts w:cs="Times New Roman"/>
        </w:rPr>
        <w:t xml:space="preserve"> This index measures the change </w:t>
      </w:r>
      <w:r w:rsidRPr="00124B71">
        <w:rPr>
          <w:rFonts w:cs="Times New Roman"/>
        </w:rPr>
        <w:lastRenderedPageBreak/>
        <w:t>in price of repeat sales. It solves the dilemma of pricing like-kind properties</w:t>
      </w:r>
      <w:r w:rsidR="007C469A">
        <w:rPr>
          <w:rFonts w:cs="Times New Roman"/>
        </w:rPr>
        <w:t>–</w:t>
      </w:r>
      <w:r w:rsidRPr="00124B71">
        <w:rPr>
          <w:rFonts w:cs="Times New Roman"/>
        </w:rPr>
        <w:t>almost. Although these indices capture the price movements of individual properties far better than the generic median sales price, it does not take into account value added through renovation and improvement. To address this issue, the index gives less weight to extreme price changes assuming the outlier is a significant renovation. However, i</w:t>
      </w:r>
      <w:r w:rsidR="00D31C3E" w:rsidRPr="00124B71">
        <w:rPr>
          <w:rFonts w:cs="Times New Roman"/>
        </w:rPr>
        <w:t>f</w:t>
      </w:r>
      <w:r w:rsidRPr="00124B71">
        <w:rPr>
          <w:rFonts w:cs="Times New Roman"/>
        </w:rPr>
        <w:t xml:space="preserve"> there is a market-wide renovation of properties, as was the case in many markets during </w:t>
      </w:r>
      <w:r w:rsidR="001A34D5">
        <w:rPr>
          <w:rFonts w:cs="Times New Roman"/>
        </w:rPr>
        <w:t>the Great Housing Bubble</w:t>
      </w:r>
      <w:r w:rsidR="00A05183" w:rsidRPr="00124B71">
        <w:rPr>
          <w:rFonts w:cs="Times New Roman"/>
        </w:rPr>
        <w:t>;</w:t>
      </w:r>
      <w:r w:rsidRPr="00124B71">
        <w:rPr>
          <w:rFonts w:cs="Times New Roman"/>
        </w:rPr>
        <w:t xml:space="preserve"> this will cause a distortion in the index. The</w:t>
      </w:r>
      <w:r w:rsidR="00BA5301" w:rsidRPr="00124B71">
        <w:rPr>
          <w:rFonts w:cs="Times New Roman"/>
        </w:rPr>
        <w:t xml:space="preserve"> other weaknesses of the Case Shiller indices concern how and where it is reported. Since it is an index of relative price change rather than a direct measure of price, the index is reported as an arbitrary number based on a baseline date; therefore, the numbers are not useful for evaluating current pricing. The index is also confined to 20 large metropolitan areas around the United States. The large geographical coverage areas are required to obtain enough repeat sales to construct a smooth index. The broad yet limited geographical coverage fails to capture price changes in smaller markets.</w:t>
      </w:r>
      <w:r w:rsidR="00BB2951" w:rsidRPr="00124B71">
        <w:rPr>
          <w:rFonts w:cs="Times New Roman"/>
        </w:rPr>
        <w:t xml:space="preserve"> Also, since the Case-Shiller index</w:t>
      </w:r>
      <w:r w:rsidR="001858B5">
        <w:rPr>
          <w:rFonts w:cs="Times New Roman"/>
        </w:rPr>
        <w:fldChar w:fldCharType="begin"/>
      </w:r>
      <w:r w:rsidR="00AE7D38">
        <w:instrText xml:space="preserve"> XE "</w:instrText>
      </w:r>
      <w:r w:rsidR="00AE7D38" w:rsidRPr="003852EB">
        <w:rPr>
          <w:rFonts w:cs="Times New Roman"/>
        </w:rPr>
        <w:instrText>Case-Shiller index</w:instrText>
      </w:r>
      <w:r w:rsidR="00AE7D38">
        <w:instrText xml:space="preserve">" </w:instrText>
      </w:r>
      <w:r w:rsidR="001858B5">
        <w:rPr>
          <w:rFonts w:cs="Times New Roman"/>
        </w:rPr>
        <w:fldChar w:fldCharType="end"/>
      </w:r>
      <w:r w:rsidR="00BB2951" w:rsidRPr="00124B71">
        <w:rPr>
          <w:rFonts w:cs="Times New Roman"/>
        </w:rPr>
        <w:t xml:space="preserve"> is a measure of changes in prices of sales of the same home, it does not include any newly constructed homes.</w:t>
      </w:r>
      <w:r w:rsidR="00BA5301" w:rsidRPr="00124B71">
        <w:rPr>
          <w:rFonts w:cs="Times New Roman"/>
        </w:rPr>
        <w:t xml:space="preserve"> </w:t>
      </w:r>
      <w:r w:rsidRPr="00124B71">
        <w:rPr>
          <w:rFonts w:cs="Times New Roman"/>
        </w:rPr>
        <w:t>No measure is perfect, but the Case-Shiller</w:t>
      </w:r>
      <w:r w:rsidR="00BA5301" w:rsidRPr="00124B71">
        <w:rPr>
          <w:rFonts w:cs="Times New Roman"/>
        </w:rPr>
        <w:t xml:space="preserve"> index</w:t>
      </w:r>
      <w:r w:rsidR="001858B5">
        <w:rPr>
          <w:rFonts w:cs="Times New Roman"/>
        </w:rPr>
        <w:fldChar w:fldCharType="begin"/>
      </w:r>
      <w:r w:rsidR="00AE7D38">
        <w:instrText xml:space="preserve"> XE "</w:instrText>
      </w:r>
      <w:r w:rsidR="00AE7D38" w:rsidRPr="004F3C12">
        <w:rPr>
          <w:rFonts w:cs="Times New Roman"/>
        </w:rPr>
        <w:instrText>Case-Shiller index</w:instrText>
      </w:r>
      <w:r w:rsidR="00AE7D38">
        <w:instrText>" \t "</w:instrText>
      </w:r>
      <w:r w:rsidR="00AE7D38" w:rsidRPr="003D66DB">
        <w:rPr>
          <w:rFonts w:asciiTheme="minorHAnsi" w:hAnsiTheme="minorHAnsi"/>
          <w:i/>
        </w:rPr>
        <w:instrText>See</w:instrText>
      </w:r>
      <w:r w:rsidR="00AE7D38" w:rsidRPr="003D66DB">
        <w:rPr>
          <w:rFonts w:asciiTheme="minorHAnsi" w:hAnsiTheme="minorHAnsi"/>
        </w:rPr>
        <w:instrText xml:space="preserve"> S&amp;P/Case-Shiller</w:instrText>
      </w:r>
      <w:r w:rsidR="00AE7D38">
        <w:instrText xml:space="preserve">" </w:instrText>
      </w:r>
      <w:r w:rsidR="001858B5">
        <w:rPr>
          <w:rFonts w:cs="Times New Roman"/>
        </w:rPr>
        <w:fldChar w:fldCharType="end"/>
      </w:r>
      <w:r w:rsidR="00BA5301" w:rsidRPr="00124B71">
        <w:rPr>
          <w:rFonts w:cs="Times New Roman"/>
        </w:rPr>
        <w:t xml:space="preserve"> is the best at measuring historic movements in pricing because its methodology is focused on repeat sales of the same property.</w:t>
      </w:r>
    </w:p>
    <w:p w14:paraId="5E0EE4AD" w14:textId="7671A624" w:rsidR="00BA5301" w:rsidRPr="00EF0EDA" w:rsidRDefault="00CF05FE" w:rsidP="00297433">
      <w:pPr>
        <w:pStyle w:val="Caption"/>
      </w:pPr>
      <w:bookmarkStart w:id="112" w:name="_Toc238867457"/>
      <w:r>
        <w:t>Figure</w:t>
      </w:r>
      <w:r w:rsidR="00297433" w:rsidRPr="00EF0EDA">
        <w:t xml:space="preserve"> </w:t>
      </w:r>
      <w:fldSimple w:instr=" SEQ Figure \* ARABIC ">
        <w:r w:rsidR="00493733">
          <w:rPr>
            <w:noProof/>
          </w:rPr>
          <w:t>16</w:t>
        </w:r>
      </w:fldSimple>
      <w:r w:rsidR="00317936">
        <w:t xml:space="preserve">: </w:t>
      </w:r>
      <w:r w:rsidR="000E7151" w:rsidRPr="00EF0EDA">
        <w:t xml:space="preserve">Los Angeles </w:t>
      </w:r>
      <w:r w:rsidR="00297433" w:rsidRPr="00EF0EDA">
        <w:t>S&amp;P/Case-Shiller</w:t>
      </w:r>
      <w:r w:rsidR="001858B5">
        <w:fldChar w:fldCharType="begin"/>
      </w:r>
      <w:r w:rsidR="00AE7D38">
        <w:instrText xml:space="preserve"> XE "</w:instrText>
      </w:r>
      <w:r w:rsidR="00AE7D38" w:rsidRPr="00346C49">
        <w:rPr>
          <w:rFonts w:cs="Times New Roman"/>
        </w:rPr>
        <w:instrText>S&amp;P/Case-Shiller</w:instrText>
      </w:r>
      <w:r w:rsidR="00AE7D38">
        <w:instrText xml:space="preserve">" </w:instrText>
      </w:r>
      <w:r w:rsidR="001858B5">
        <w:fldChar w:fldCharType="end"/>
      </w:r>
      <w:r w:rsidR="00297433" w:rsidRPr="00EF0EDA">
        <w:t xml:space="preserve"> Index, 1987-2007</w:t>
      </w:r>
      <w:bookmarkEnd w:id="112"/>
    </w:p>
    <w:p w14:paraId="7C67AA6B" w14:textId="77777777" w:rsidR="00297433" w:rsidRPr="00EF0EDA" w:rsidRDefault="009266EA" w:rsidP="002B6617">
      <w:pPr>
        <w:pStyle w:val="Graphics"/>
      </w:pPr>
      <w:r>
        <w:drawing>
          <wp:inline distT="0" distB="0" distL="0" distR="0" wp14:anchorId="6F82ADBE" wp14:editId="03505454">
            <wp:extent cx="3657600" cy="2788920"/>
            <wp:effectExtent l="19050" t="0" r="0" b="0"/>
            <wp:docPr id="81" name="Picture 80" descr="S&amp;PCase-Shiller Index, Los Angeles 1987-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PCase-Shiller Index, Los Angeles 1987-2007.jpg"/>
                    <pic:cNvPicPr/>
                  </pic:nvPicPr>
                  <pic:blipFill>
                    <a:blip r:embed="rId50"/>
                    <a:stretch>
                      <a:fillRect/>
                    </a:stretch>
                  </pic:blipFill>
                  <pic:spPr>
                    <a:xfrm>
                      <a:off x="0" y="0"/>
                      <a:ext cx="3657600" cy="2788920"/>
                    </a:xfrm>
                    <a:prstGeom prst="rect">
                      <a:avLst/>
                    </a:prstGeom>
                  </pic:spPr>
                </pic:pic>
              </a:graphicData>
            </a:graphic>
          </wp:inline>
        </w:drawing>
      </w:r>
    </w:p>
    <w:p w14:paraId="3001C874" w14:textId="77777777" w:rsidR="000F1D74" w:rsidRPr="00124B71" w:rsidRDefault="0001034B" w:rsidP="000F1D74">
      <w:pPr>
        <w:rPr>
          <w:rFonts w:cs="Times New Roman"/>
        </w:rPr>
      </w:pPr>
      <w:r w:rsidRPr="00124B71">
        <w:rPr>
          <w:rFonts w:cs="Times New Roman"/>
        </w:rPr>
        <w:t>The examples from this work will use the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Pr="00124B71">
        <w:rPr>
          <w:rFonts w:cs="Times New Roman"/>
        </w:rPr>
        <w:t xml:space="preserve"> sales price, not because it is the best method, but because it is the most widely used and best understood of the common measures. Also, since it gives a number reflective of sales values in the marketplace, it is the easiest to understand and interpret. This measure </w:t>
      </w:r>
      <w:r w:rsidRPr="00124B71">
        <w:rPr>
          <w:rFonts w:cs="Times New Roman"/>
        </w:rPr>
        <w:lastRenderedPageBreak/>
        <w:t>has weaknesses, but over time it does a reasonable job of documenting overall prices and trends in the marketplace.</w:t>
      </w:r>
    </w:p>
    <w:p w14:paraId="4F73CE1A" w14:textId="2F095BF0" w:rsidR="0056372B" w:rsidRPr="00EF0EDA" w:rsidRDefault="00CF05FE" w:rsidP="00A55CE3">
      <w:pPr>
        <w:pStyle w:val="Caption"/>
      </w:pPr>
      <w:bookmarkStart w:id="113" w:name="_Toc238867458"/>
      <w:r>
        <w:t>Figure</w:t>
      </w:r>
      <w:r w:rsidR="0056372B" w:rsidRPr="00EF0EDA">
        <w:t xml:space="preserve"> </w:t>
      </w:r>
      <w:fldSimple w:instr=" SEQ Figure \* ARABIC ">
        <w:r w:rsidR="00493733">
          <w:rPr>
            <w:noProof/>
          </w:rPr>
          <w:t>17</w:t>
        </w:r>
      </w:fldSimple>
      <w:r w:rsidR="00317936">
        <w:t xml:space="preserve">: </w:t>
      </w:r>
      <w:r w:rsidR="0056372B" w:rsidRPr="00EF0EDA">
        <w:t>Median Home Prices</w:t>
      </w:r>
      <w:r w:rsidR="000E7151">
        <w:t>,</w:t>
      </w:r>
      <w:r w:rsidR="0056372B" w:rsidRPr="00EF0EDA">
        <w:t xml:space="preserve"> 19</w:t>
      </w:r>
      <w:r w:rsidR="009266EA">
        <w:t>68</w:t>
      </w:r>
      <w:r w:rsidR="0056372B" w:rsidRPr="00EF0EDA">
        <w:t>-2006</w:t>
      </w:r>
      <w:bookmarkEnd w:id="113"/>
    </w:p>
    <w:p w14:paraId="28B68B9F" w14:textId="77777777" w:rsidR="0056372B" w:rsidRPr="00EF0EDA" w:rsidRDefault="009266EA" w:rsidP="002B6617">
      <w:pPr>
        <w:pStyle w:val="Graphics"/>
      </w:pPr>
      <w:r>
        <w:drawing>
          <wp:inline distT="0" distB="0" distL="0" distR="0" wp14:anchorId="3BBFC932" wp14:editId="47966339">
            <wp:extent cx="3657600" cy="3017520"/>
            <wp:effectExtent l="19050" t="0" r="0" b="0"/>
            <wp:docPr id="82" name="Picture 81" descr="Median Home Prices 1968-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n Home Prices 1968-2006.jpg"/>
                    <pic:cNvPicPr/>
                  </pic:nvPicPr>
                  <pic:blipFill>
                    <a:blip r:embed="rId51"/>
                    <a:stretch>
                      <a:fillRect/>
                    </a:stretch>
                  </pic:blipFill>
                  <pic:spPr>
                    <a:xfrm>
                      <a:off x="0" y="0"/>
                      <a:ext cx="3657600" cy="3017520"/>
                    </a:xfrm>
                    <a:prstGeom prst="rect">
                      <a:avLst/>
                    </a:prstGeom>
                  </pic:spPr>
                </pic:pic>
              </a:graphicData>
            </a:graphic>
          </wp:inline>
        </w:drawing>
      </w:r>
    </w:p>
    <w:p w14:paraId="7E1713DF" w14:textId="77777777" w:rsidR="0056372B" w:rsidRPr="00124B71" w:rsidRDefault="0056372B" w:rsidP="00A55CE3">
      <w:pPr>
        <w:rPr>
          <w:rFonts w:cs="Times New Roman"/>
        </w:rPr>
      </w:pPr>
      <w:r w:rsidRPr="00124B71">
        <w:rPr>
          <w:rFonts w:cs="Times New Roman"/>
        </w:rPr>
        <w:t>The Great Housing Bubble was an asset bubble of unprecedented proportions. Between 2000 and 2006</w:t>
      </w:r>
      <w:r w:rsidR="006457E9">
        <w:rPr>
          <w:rFonts w:cs="Times New Roman"/>
        </w:rPr>
        <w:t>,</w:t>
      </w:r>
      <w:r w:rsidRPr="00124B71">
        <w:rPr>
          <w:rFonts w:cs="Times New Roman"/>
        </w:rPr>
        <w:t xml:space="preserve"> </w:t>
      </w:r>
      <w:r w:rsidR="006457E9">
        <w:rPr>
          <w:rFonts w:cs="Times New Roman"/>
        </w:rPr>
        <w:t>h</w:t>
      </w:r>
      <w:r w:rsidRPr="00124B71">
        <w:rPr>
          <w:rFonts w:cs="Times New Roman"/>
        </w:rPr>
        <w:t>ome prices increased 45% nationally, and in California home prices increased 135%</w:t>
      </w:r>
      <w:r w:rsidR="00483CE0" w:rsidRPr="00124B71">
        <w:rPr>
          <w:rFonts w:cs="Times New Roman"/>
        </w:rPr>
        <w:t>.</w:t>
      </w:r>
      <w:r w:rsidR="00635AA0" w:rsidRPr="00124B71">
        <w:rPr>
          <w:rFonts w:cs="Times New Roman"/>
        </w:rPr>
        <w:t xml:space="preserve"> </w:t>
      </w:r>
      <w:r w:rsidR="00771F6B" w:rsidRPr="00124B71">
        <w:rPr>
          <w:rStyle w:val="EndnoteReference"/>
          <w:rFonts w:cs="Times New Roman"/>
        </w:rPr>
        <w:endnoteReference w:id="78"/>
      </w:r>
      <w:r w:rsidRPr="00124B71">
        <w:rPr>
          <w:rFonts w:cs="Times New Roman"/>
        </w:rPr>
        <w:t xml:space="preserve"> Had this amazing</w:t>
      </w:r>
      <w:r w:rsidR="006457E9">
        <w:rPr>
          <w:rFonts w:cs="Times New Roman"/>
        </w:rPr>
        <w:t xml:space="preserve"> price increase</w:t>
      </w:r>
      <w:r w:rsidRPr="00124B71">
        <w:rPr>
          <w:rFonts w:cs="Times New Roman"/>
        </w:rPr>
        <w:t xml:space="preserve"> coincided with a period of high inflation, it may not have be</w:t>
      </w:r>
      <w:r w:rsidR="00182961" w:rsidRPr="00124B71">
        <w:rPr>
          <w:rFonts w:cs="Times New Roman"/>
        </w:rPr>
        <w:t xml:space="preserve">en indicative of a price bubble, </w:t>
      </w:r>
      <w:r w:rsidRPr="00124B71">
        <w:rPr>
          <w:rFonts w:cs="Times New Roman"/>
        </w:rPr>
        <w:t>merely the general increase in prices of all goods and services; however, inflation was low during this period</w:t>
      </w:r>
      <w:r w:rsidR="00182961" w:rsidRPr="00124B71">
        <w:rPr>
          <w:rFonts w:cs="Times New Roman"/>
        </w:rPr>
        <w:t>. T</w:t>
      </w:r>
      <w:r w:rsidRPr="00124B71">
        <w:rPr>
          <w:rFonts w:cs="Times New Roman"/>
        </w:rPr>
        <w:t>he inflation adjusted price increases nationwide were 23% and in California it was 100%.</w:t>
      </w:r>
      <w:r w:rsidR="00A376E3" w:rsidRPr="00124B71">
        <w:rPr>
          <w:rFonts w:cs="Times New Roman"/>
        </w:rPr>
        <w:t xml:space="preserve"> There was no great improvement in the quality of houses justifying the higher prices. Although some homeowners made cosmetic improvements, </w:t>
      </w:r>
      <w:r w:rsidR="0011046C" w:rsidRPr="00124B71">
        <w:rPr>
          <w:rFonts w:cs="Times New Roman"/>
        </w:rPr>
        <w:t>the vast majority of homes were unchanged during this period, and many deteriorated with age. R</w:t>
      </w:r>
      <w:r w:rsidR="00A376E3" w:rsidRPr="00124B71">
        <w:rPr>
          <w:rFonts w:cs="Times New Roman"/>
        </w:rPr>
        <w:t xml:space="preserve">esale homes </w:t>
      </w:r>
      <w:r w:rsidR="0011046C" w:rsidRPr="00124B71">
        <w:rPr>
          <w:rFonts w:cs="Times New Roman"/>
        </w:rPr>
        <w:t xml:space="preserve">did not </w:t>
      </w:r>
      <w:r w:rsidR="00A376E3" w:rsidRPr="00124B71">
        <w:rPr>
          <w:rFonts w:cs="Times New Roman"/>
        </w:rPr>
        <w:t>under</w:t>
      </w:r>
      <w:r w:rsidR="0011046C" w:rsidRPr="00124B71">
        <w:rPr>
          <w:rFonts w:cs="Times New Roman"/>
        </w:rPr>
        <w:t>go any form</w:t>
      </w:r>
      <w:r w:rsidR="00A376E3" w:rsidRPr="00124B71">
        <w:rPr>
          <w:rFonts w:cs="Times New Roman"/>
        </w:rPr>
        <w:t xml:space="preserve"> of manufacturing process where value was added to the final product. There was </w:t>
      </w:r>
      <w:r w:rsidR="00BB2951" w:rsidRPr="00124B71">
        <w:rPr>
          <w:rFonts w:cs="Times New Roman"/>
        </w:rPr>
        <w:t>little</w:t>
      </w:r>
      <w:r w:rsidR="00A376E3" w:rsidRPr="00124B71">
        <w:rPr>
          <w:rFonts w:cs="Times New Roman"/>
        </w:rPr>
        <w:t xml:space="preserve"> </w:t>
      </w:r>
      <w:r w:rsidR="00D31C3E" w:rsidRPr="00124B71">
        <w:rPr>
          <w:rFonts w:cs="Times New Roman"/>
        </w:rPr>
        <w:t xml:space="preserve">real </w:t>
      </w:r>
      <w:r w:rsidR="00A376E3" w:rsidRPr="00124B71">
        <w:rPr>
          <w:rFonts w:cs="Times New Roman"/>
        </w:rPr>
        <w:t xml:space="preserve">wealth created during the bubble, just a temporary </w:t>
      </w:r>
      <w:r w:rsidR="0011046C" w:rsidRPr="00124B71">
        <w:rPr>
          <w:rFonts w:cs="Times New Roman"/>
        </w:rPr>
        <w:t>exaggeration</w:t>
      </w:r>
      <w:r w:rsidR="00A376E3" w:rsidRPr="00124B71">
        <w:rPr>
          <w:rFonts w:cs="Times New Roman"/>
        </w:rPr>
        <w:t xml:space="preserve"> of value.</w:t>
      </w:r>
      <w:r w:rsidR="0011046C" w:rsidRPr="00124B71">
        <w:rPr>
          <w:rFonts w:cs="Times New Roman"/>
        </w:rPr>
        <w:t xml:space="preserve"> </w:t>
      </w:r>
    </w:p>
    <w:p w14:paraId="56624C4B" w14:textId="77777777" w:rsidR="0022677D" w:rsidRPr="00EF0EDA" w:rsidRDefault="0022677D" w:rsidP="0022677D">
      <w:pPr>
        <w:pStyle w:val="Heading2"/>
      </w:pPr>
      <w:bookmarkStart w:id="114" w:name="_Toc238867337"/>
      <w:r w:rsidRPr="00EF0EDA">
        <w:t>Price-To-Income Ratios</w:t>
      </w:r>
      <w:bookmarkEnd w:id="114"/>
    </w:p>
    <w:p w14:paraId="1415C3DF" w14:textId="77777777" w:rsidR="0022677D" w:rsidRPr="00124B71" w:rsidRDefault="002D1AD9" w:rsidP="00531591">
      <w:pPr>
        <w:rPr>
          <w:rFonts w:cs="Times New Roman"/>
        </w:rPr>
      </w:pPr>
      <w:r w:rsidRPr="00124B71">
        <w:rPr>
          <w:rFonts w:cs="Times New Roman"/>
        </w:rPr>
        <w:t xml:space="preserve">Price-to-income ratios represent the amount borrowed relative to the incomes of the borrower. </w:t>
      </w:r>
      <w:r w:rsidR="0056372B" w:rsidRPr="00124B71">
        <w:rPr>
          <w:rFonts w:cs="Times New Roman"/>
        </w:rPr>
        <w:t>There are many variables that impact house prices, and some of the variability in prices over time can be attributed to changes in these variables; however, since most houses are purchased with lender financing, and since lender financing is linked to income, the price-to-income</w:t>
      </w:r>
      <w:r w:rsidR="001858B5">
        <w:rPr>
          <w:rFonts w:cs="Times New Roman"/>
        </w:rPr>
        <w:fldChar w:fldCharType="begin"/>
      </w:r>
      <w:r w:rsidR="00AE7D38">
        <w:instrText xml:space="preserve"> XE "</w:instrText>
      </w:r>
      <w:r w:rsidR="00AE7D38" w:rsidRPr="008121A2">
        <w:rPr>
          <w:rFonts w:cs="Times New Roman"/>
        </w:rPr>
        <w:instrText>price-to-income</w:instrText>
      </w:r>
      <w:r w:rsidR="00AE7D38">
        <w:instrText xml:space="preserve">" </w:instrText>
      </w:r>
      <w:r w:rsidR="001858B5">
        <w:rPr>
          <w:rFonts w:cs="Times New Roman"/>
        </w:rPr>
        <w:fldChar w:fldCharType="end"/>
      </w:r>
      <w:r w:rsidR="0056372B" w:rsidRPr="00124B71">
        <w:rPr>
          <w:rFonts w:cs="Times New Roman"/>
        </w:rPr>
        <w:t xml:space="preserve"> ratio is the best metric for evaluating long-term housing price trends. The price-to-income ratio </w:t>
      </w:r>
      <w:r w:rsidR="0056372B" w:rsidRPr="00124B71">
        <w:rPr>
          <w:rFonts w:cs="Times New Roman"/>
        </w:rPr>
        <w:lastRenderedPageBreak/>
        <w:t>does not need to be adjusted for inflation as both prices and income will rise with the general level of inflation. Most of the fluctuations in the ratio are based on changes in financing terms, in particular interest rates, and of course,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0056372B" w:rsidRPr="00124B71">
        <w:rPr>
          <w:rFonts w:cs="Times New Roman"/>
        </w:rPr>
        <w:t>.</w:t>
      </w:r>
    </w:p>
    <w:p w14:paraId="220807B2" w14:textId="77777777" w:rsidR="002B6617" w:rsidRPr="00124B71" w:rsidRDefault="002B6617" w:rsidP="002B6617">
      <w:pPr>
        <w:rPr>
          <w:rFonts w:cs="Times New Roman"/>
        </w:rPr>
      </w:pPr>
      <w:r w:rsidRPr="00124B71">
        <w:rPr>
          <w:rFonts w:cs="Times New Roman"/>
        </w:rPr>
        <w:t>The Great Housing Bubble saw unprecedented price-to-income</w:t>
      </w:r>
      <w:r w:rsidR="001858B5">
        <w:rPr>
          <w:rFonts w:cs="Times New Roman"/>
        </w:rPr>
        <w:fldChar w:fldCharType="begin"/>
      </w:r>
      <w:r w:rsidR="00AE7D38">
        <w:instrText xml:space="preserve"> XE "</w:instrText>
      </w:r>
      <w:r w:rsidR="00AE7D38" w:rsidRPr="008121A2">
        <w:rPr>
          <w:rFonts w:cs="Times New Roman"/>
        </w:rPr>
        <w:instrText>price-to-income</w:instrText>
      </w:r>
      <w:r w:rsidR="00AE7D38">
        <w:instrText xml:space="preserve">" </w:instrText>
      </w:r>
      <w:r w:rsidR="001858B5">
        <w:rPr>
          <w:rFonts w:cs="Times New Roman"/>
        </w:rPr>
        <w:fldChar w:fldCharType="end"/>
      </w:r>
      <w:r w:rsidRPr="00124B71">
        <w:rPr>
          <w:rFonts w:cs="Times New Roman"/>
        </w:rPr>
        <w:t xml:space="preserve"> ratios because interest rates were at historic lows and the use of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Pr="00124B71">
        <w:rPr>
          <w:rFonts w:cs="Times New Roman"/>
        </w:rPr>
        <w:t xml:space="preserve"> including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loans were at historic highs. When measured against historic norms of house price to income, the degree of price inflation was staggering. </w:t>
      </w:r>
      <w:r w:rsidRPr="00124B71">
        <w:rPr>
          <w:rStyle w:val="EndnoteReference"/>
          <w:rFonts w:cs="Times New Roman"/>
        </w:rPr>
        <w:endnoteReference w:id="79"/>
      </w:r>
      <w:r w:rsidRPr="00124B71">
        <w:rPr>
          <w:rFonts w:cs="Times New Roman"/>
        </w:rPr>
        <w:t xml:space="preserve"> In markets where bubble behavior is not prevalent, price to income ratios hover between 2.3 and 2.8. In bubble markets there is a tendency to maintain higher ratios, and the range over time is much greater. Any ratio less than 3 is generally considered affordable. </w:t>
      </w:r>
    </w:p>
    <w:p w14:paraId="291C0EA8" w14:textId="35A534BE" w:rsidR="0056372B" w:rsidRPr="00EF0EDA" w:rsidRDefault="00CF05FE" w:rsidP="00A55CE3">
      <w:pPr>
        <w:pStyle w:val="Caption"/>
      </w:pPr>
      <w:bookmarkStart w:id="115" w:name="_Toc238867459"/>
      <w:r>
        <w:t>Figure</w:t>
      </w:r>
      <w:r w:rsidR="0056372B" w:rsidRPr="00EF0EDA">
        <w:t xml:space="preserve"> </w:t>
      </w:r>
      <w:fldSimple w:instr=" SEQ Figure \* ARABIC ">
        <w:r w:rsidR="00493733">
          <w:rPr>
            <w:noProof/>
          </w:rPr>
          <w:t>18</w:t>
        </w:r>
      </w:fldSimple>
      <w:r w:rsidR="00317936">
        <w:t xml:space="preserve">: </w:t>
      </w:r>
      <w:r w:rsidR="0056372B" w:rsidRPr="00EF0EDA">
        <w:t>National Ratio of House Price to Income</w:t>
      </w:r>
      <w:r w:rsidR="000E7151">
        <w:t>,</w:t>
      </w:r>
      <w:r w:rsidR="0056372B" w:rsidRPr="00EF0EDA">
        <w:rPr>
          <w:noProof/>
        </w:rPr>
        <w:t xml:space="preserve"> 1986-2006</w:t>
      </w:r>
      <w:bookmarkEnd w:id="115"/>
    </w:p>
    <w:p w14:paraId="346B1873" w14:textId="77777777" w:rsidR="0056372B" w:rsidRPr="00EF0EDA" w:rsidRDefault="009266EA" w:rsidP="002B6617">
      <w:pPr>
        <w:pStyle w:val="Graphics"/>
      </w:pPr>
      <w:r>
        <w:drawing>
          <wp:inline distT="0" distB="0" distL="0" distR="0" wp14:anchorId="6F696D4D" wp14:editId="3A931CE2">
            <wp:extent cx="3657600" cy="2743200"/>
            <wp:effectExtent l="19050" t="0" r="0" b="0"/>
            <wp:docPr id="83" name="Picture 82" descr="National Ratio of House Price to Income 1986-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Ratio of House Price to Income 1986-2006.jpg"/>
                    <pic:cNvPicPr/>
                  </pic:nvPicPr>
                  <pic:blipFill>
                    <a:blip r:embed="rId52" cstate="print"/>
                    <a:stretch>
                      <a:fillRect/>
                    </a:stretch>
                  </pic:blipFill>
                  <pic:spPr>
                    <a:xfrm>
                      <a:off x="0" y="0"/>
                      <a:ext cx="3657600" cy="2743200"/>
                    </a:xfrm>
                    <a:prstGeom prst="rect">
                      <a:avLst/>
                    </a:prstGeom>
                  </pic:spPr>
                </pic:pic>
              </a:graphicData>
            </a:graphic>
          </wp:inline>
        </w:drawing>
      </w:r>
    </w:p>
    <w:p w14:paraId="0B95D051" w14:textId="77777777" w:rsidR="00531591" w:rsidRPr="00124B71" w:rsidRDefault="00D31C3E" w:rsidP="00531591">
      <w:pPr>
        <w:rPr>
          <w:rFonts w:cs="Times New Roman"/>
        </w:rPr>
      </w:pPr>
      <w:r w:rsidRPr="00124B71">
        <w:rPr>
          <w:rFonts w:cs="Times New Roman"/>
        </w:rPr>
        <w:t>In bubble markets ratios of 3 to 4 are as affordable as they get. Anything greater than 4 is a strain on family budgets and generally a sign of an inflated market. Ratios greater than 5 are considered very unaffordable and prone to high rates of default because they tend to be characterized by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Pr="00124B71">
        <w:rPr>
          <w:rFonts w:cs="Times New Roman"/>
        </w:rPr>
        <w:t xml:space="preserve">. Price-to-income ratios in the bubble of the early </w:t>
      </w:r>
      <w:r w:rsidR="009767F5" w:rsidRPr="00124B71">
        <w:rPr>
          <w:rFonts w:cs="Times New Roman"/>
        </w:rPr>
        <w:t>90s</w:t>
      </w:r>
      <w:r w:rsidRPr="00124B71">
        <w:rPr>
          <w:rFonts w:cs="Times New Roman"/>
        </w:rPr>
        <w:t xml:space="preserve"> in California did not exceed 6 because interest rates were higher and because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loans were not widely available. During the Great Housing Bubble,</w:t>
      </w:r>
      <w:r w:rsidR="0056372B" w:rsidRPr="00124B71">
        <w:rPr>
          <w:rFonts w:cs="Times New Roman"/>
        </w:rPr>
        <w:t xml:space="preserve"> the</w:t>
      </w:r>
      <w:r w:rsidRPr="00124B71">
        <w:rPr>
          <w:rFonts w:cs="Times New Roman"/>
        </w:rPr>
        <w:t xml:space="preserve"> national</w:t>
      </w:r>
      <w:r w:rsidR="0056372B" w:rsidRPr="00124B71">
        <w:rPr>
          <w:rFonts w:cs="Times New Roman"/>
        </w:rPr>
        <w:t xml:space="preserve"> ratio of house price to income increased 30% from 4.0 to 5.2. </w:t>
      </w:r>
      <w:r w:rsidR="00531591" w:rsidRPr="00124B71">
        <w:rPr>
          <w:rFonts w:cs="Times New Roman"/>
        </w:rPr>
        <w:t>This means</w:t>
      </w:r>
      <w:r w:rsidR="0056372B" w:rsidRPr="00124B71">
        <w:rPr>
          <w:rFonts w:cs="Times New Roman"/>
        </w:rPr>
        <w:t xml:space="preserve"> 30% more debt is serviced by the same income</w:t>
      </w:r>
      <w:r w:rsidR="00531591" w:rsidRPr="00124B71">
        <w:rPr>
          <w:rFonts w:cs="Times New Roman"/>
        </w:rPr>
        <w:t>.</w:t>
      </w:r>
      <w:r w:rsidR="0056372B" w:rsidRPr="00124B71">
        <w:rPr>
          <w:rFonts w:cs="Times New Roman"/>
        </w:rPr>
        <w:t xml:space="preserve"> Some of this increased ability to service debt is explained by lower interest rates</w:t>
      </w:r>
      <w:r w:rsidR="00531591" w:rsidRPr="00124B71">
        <w:rPr>
          <w:rFonts w:cs="Times New Roman"/>
        </w:rPr>
        <w:t xml:space="preserve"> and exotic loan terms</w:t>
      </w:r>
      <w:r w:rsidR="0056372B" w:rsidRPr="00124B71">
        <w:rPr>
          <w:rFonts w:cs="Times New Roman"/>
        </w:rPr>
        <w:t xml:space="preserve">, </w:t>
      </w:r>
      <w:r w:rsidR="00531591" w:rsidRPr="00124B71">
        <w:rPr>
          <w:rFonts w:cs="Times New Roman"/>
        </w:rPr>
        <w:t>and some</w:t>
      </w:r>
      <w:r w:rsidR="0056372B" w:rsidRPr="00124B71">
        <w:rPr>
          <w:rFonts w:cs="Times New Roman"/>
        </w:rPr>
        <w:t xml:space="preserve"> of</w:t>
      </w:r>
      <w:r w:rsidR="006457E9">
        <w:rPr>
          <w:rFonts w:cs="Times New Roman"/>
        </w:rPr>
        <w:t xml:space="preserve"> this</w:t>
      </w:r>
      <w:r w:rsidR="0056372B" w:rsidRPr="00124B71">
        <w:rPr>
          <w:rFonts w:cs="Times New Roman"/>
        </w:rPr>
        <w:t xml:space="preserve"> increase came from people choosing to take on larger</w:t>
      </w:r>
      <w:r w:rsidR="00D85C28" w:rsidRPr="00124B71">
        <w:rPr>
          <w:rFonts w:cs="Times New Roman"/>
        </w:rPr>
        <w:t xml:space="preserve"> debt</w:t>
      </w:r>
      <w:r w:rsidR="0056372B" w:rsidRPr="00124B71">
        <w:rPr>
          <w:rFonts w:cs="Times New Roman"/>
        </w:rPr>
        <w:t xml:space="preserve"> loads due to the </w:t>
      </w:r>
      <w:r w:rsidRPr="00124B71">
        <w:rPr>
          <w:rFonts w:cs="Times New Roman"/>
        </w:rPr>
        <w:t>irrational</w:t>
      </w:r>
      <w:r w:rsidR="0056372B" w:rsidRPr="00124B71">
        <w:rPr>
          <w:rFonts w:cs="Times New Roman"/>
        </w:rPr>
        <w:t xml:space="preserve"> expectation of ever increasing house prices coupled with loose lending standards which enabled the populace to take on these debts. </w:t>
      </w:r>
      <w:r w:rsidR="0056372B" w:rsidRPr="00124B71">
        <w:rPr>
          <w:rFonts w:cs="Times New Roman"/>
        </w:rPr>
        <w:lastRenderedPageBreak/>
        <w:t>The national trends were small compared to the frenzied activities of bubble markets in California where most markets saw their house price to income ratio double.</w:t>
      </w:r>
    </w:p>
    <w:p w14:paraId="0D65736B" w14:textId="2C21BA40" w:rsidR="00531591" w:rsidRPr="00EF0EDA" w:rsidRDefault="00CF05FE" w:rsidP="00531591">
      <w:pPr>
        <w:pStyle w:val="Caption"/>
      </w:pPr>
      <w:bookmarkStart w:id="116" w:name="_Toc238867460"/>
      <w:r>
        <w:t>Figure</w:t>
      </w:r>
      <w:r w:rsidR="00531591" w:rsidRPr="00EF0EDA">
        <w:t xml:space="preserve"> </w:t>
      </w:r>
      <w:fldSimple w:instr=" SEQ Figure \* ARABIC ">
        <w:r w:rsidR="00493733">
          <w:rPr>
            <w:noProof/>
          </w:rPr>
          <w:t>19</w:t>
        </w:r>
      </w:fldSimple>
      <w:r w:rsidR="00317936">
        <w:t xml:space="preserve">: </w:t>
      </w:r>
      <w:r w:rsidR="00531591" w:rsidRPr="00EF0EDA">
        <w:t>Price</w:t>
      </w:r>
      <w:r w:rsidR="00D85C28" w:rsidRPr="00EF0EDA">
        <w:t>-T</w:t>
      </w:r>
      <w:r w:rsidR="00531591" w:rsidRPr="00EF0EDA">
        <w:t>o</w:t>
      </w:r>
      <w:r w:rsidR="00D85C28" w:rsidRPr="00EF0EDA">
        <w:t>-</w:t>
      </w:r>
      <w:r w:rsidR="00531591" w:rsidRPr="00EF0EDA">
        <w:t>Income</w:t>
      </w:r>
      <w:r w:rsidR="00D85C28" w:rsidRPr="00EF0EDA">
        <w:t xml:space="preserve"> Ratio</w:t>
      </w:r>
      <w:r w:rsidR="00531591" w:rsidRPr="00EF0EDA">
        <w:t xml:space="preserve"> in California, </w:t>
      </w:r>
      <w:r w:rsidR="000E7151">
        <w:t>OC</w:t>
      </w:r>
      <w:r w:rsidR="00531591" w:rsidRPr="00EF0EDA">
        <w:t xml:space="preserve"> and Irvine</w:t>
      </w:r>
      <w:r w:rsidR="000E7151">
        <w:t>,</w:t>
      </w:r>
      <w:r w:rsidR="00531591" w:rsidRPr="00EF0EDA">
        <w:t xml:space="preserve"> 1986-2006</w:t>
      </w:r>
      <w:bookmarkEnd w:id="116"/>
    </w:p>
    <w:p w14:paraId="080987FF" w14:textId="77777777" w:rsidR="00531591" w:rsidRDefault="009266EA" w:rsidP="002B6617">
      <w:pPr>
        <w:pStyle w:val="Graphics"/>
      </w:pPr>
      <w:r>
        <w:drawing>
          <wp:inline distT="0" distB="0" distL="0" distR="0" wp14:anchorId="38C7D1F5" wp14:editId="64CE8542">
            <wp:extent cx="3657600" cy="2834640"/>
            <wp:effectExtent l="19050" t="0" r="0" b="0"/>
            <wp:docPr id="84" name="Picture 83" descr="Price-To-Income Ratio in California, Orange County and Irvine 1986-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ce-To-Income Ratio in California, Orange County and Irvine 1986-2006.jpg"/>
                    <pic:cNvPicPr/>
                  </pic:nvPicPr>
                  <pic:blipFill>
                    <a:blip r:embed="rId53" cstate="print"/>
                    <a:stretch>
                      <a:fillRect/>
                    </a:stretch>
                  </pic:blipFill>
                  <pic:spPr>
                    <a:xfrm>
                      <a:off x="0" y="0"/>
                      <a:ext cx="3657600" cy="2834640"/>
                    </a:xfrm>
                    <a:prstGeom prst="rect">
                      <a:avLst/>
                    </a:prstGeom>
                  </pic:spPr>
                </pic:pic>
              </a:graphicData>
            </a:graphic>
          </wp:inline>
        </w:drawing>
      </w:r>
    </w:p>
    <w:p w14:paraId="70B2F6FC" w14:textId="77777777" w:rsidR="00534962" w:rsidRPr="00124B71" w:rsidRDefault="00534962" w:rsidP="00534962">
      <w:pPr>
        <w:rPr>
          <w:rFonts w:cs="Times New Roman"/>
        </w:rPr>
      </w:pPr>
      <w:r w:rsidRPr="00124B71">
        <w:rPr>
          <w:rFonts w:cs="Times New Roman"/>
        </w:rPr>
        <w:t>Buyers were never forced to buy; it was always a choice. During the market rally, greedy buyers motivated by rising prices and fueled by loose lending standards were able to bid prices up to ridiculous levels. The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Pr="00124B71">
        <w:rPr>
          <w:rFonts w:cs="Times New Roman"/>
        </w:rPr>
        <w:t xml:space="preserve"> was not a </w:t>
      </w:r>
      <w:r w:rsidRPr="00124B71">
        <w:rPr>
          <w:rStyle w:val="Emphasis"/>
          <w:rFonts w:cs="Times New Roman"/>
          <w:b w:val="0"/>
        </w:rPr>
        <w:t>result</w:t>
      </w:r>
      <w:r w:rsidRPr="00124B71">
        <w:rPr>
          <w:rStyle w:val="Emphasis"/>
          <w:rFonts w:cs="Times New Roman"/>
        </w:rPr>
        <w:t xml:space="preserve"> </w:t>
      </w:r>
      <w:r w:rsidRPr="00124B71">
        <w:rPr>
          <w:rFonts w:cs="Times New Roman"/>
        </w:rPr>
        <w:t xml:space="preserve">of high prices; it was the </w:t>
      </w:r>
      <w:r w:rsidRPr="00124B71">
        <w:rPr>
          <w:rStyle w:val="Emphasis"/>
          <w:rFonts w:cs="Times New Roman"/>
          <w:b w:val="0"/>
        </w:rPr>
        <w:t>cause</w:t>
      </w:r>
      <w:r w:rsidRPr="00124B71">
        <w:rPr>
          <w:rStyle w:val="Emphasis"/>
          <w:rFonts w:cs="Times New Roman"/>
        </w:rPr>
        <w:t xml:space="preserve"> </w:t>
      </w:r>
      <w:r w:rsidRPr="00124B71">
        <w:rPr>
          <w:rFonts w:cs="Times New Roman"/>
        </w:rPr>
        <w:t>of high prices. Lenders were keen to offer these products because they were not taking</w:t>
      </w:r>
      <w:r w:rsidR="006457E9">
        <w:rPr>
          <w:rFonts w:cs="Times New Roman"/>
        </w:rPr>
        <w:t xml:space="preserve"> on</w:t>
      </w:r>
      <w:r w:rsidRPr="00124B71">
        <w:rPr>
          <w:rFonts w:cs="Times New Roman"/>
        </w:rPr>
        <w:t xml:space="preserve"> the risk, and it allowed them to keep transaction volumes high</w:t>
      </w:r>
      <w:r w:rsidR="006457E9">
        <w:rPr>
          <w:rFonts w:cs="Times New Roman"/>
        </w:rPr>
        <w:t>. The lenders profits came from transaction volume.</w:t>
      </w:r>
      <w:r w:rsidRPr="00124B71">
        <w:rPr>
          <w:rFonts w:cs="Times New Roman"/>
        </w:rPr>
        <w:t xml:space="preserve"> By late 2007, the market balance had shifted from favoring sellers to favoring buyers. The once greedy buyers were becoming desperate sellers: their dreams of riches from perpetual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were in tatters. Many were forced to sell due to their inability to make their mortgage payments. Those that hung on were homeowners with 50% or more of their income going toward paying off an asset which was declining in value. It was not a set of circumstances to be envied.</w:t>
      </w:r>
    </w:p>
    <w:p w14:paraId="1CBA07FA" w14:textId="77777777" w:rsidR="003D7238" w:rsidRPr="00EF0EDA" w:rsidRDefault="003D7238" w:rsidP="0022677D">
      <w:pPr>
        <w:pStyle w:val="Heading2"/>
      </w:pPr>
      <w:bookmarkStart w:id="117" w:name="_Toc238867338"/>
      <w:r w:rsidRPr="00EF0EDA">
        <w:t>Price-To-Rent Ratios</w:t>
      </w:r>
      <w:bookmarkEnd w:id="117"/>
    </w:p>
    <w:p w14:paraId="27D0C0FD" w14:textId="77777777" w:rsidR="00534962" w:rsidRPr="00124B71" w:rsidRDefault="00534962" w:rsidP="00534962">
      <w:pPr>
        <w:rPr>
          <w:rFonts w:cs="Times New Roman"/>
        </w:rPr>
      </w:pPr>
      <w:r w:rsidRPr="00124B71">
        <w:rPr>
          <w:rFonts w:cs="Times New Roman"/>
        </w:rPr>
        <w:t>Price-to-rent</w:t>
      </w:r>
      <w:r w:rsidR="00987FDA">
        <w:rPr>
          <w:rFonts w:cs="Times New Roman"/>
        </w:rPr>
        <w:t xml:space="preserve"> </w:t>
      </w:r>
      <w:r w:rsidRPr="00124B71">
        <w:rPr>
          <w:rFonts w:cs="Times New Roman"/>
        </w:rPr>
        <w:t xml:space="preserve">ratios represent the cost of a dwelling unit relative to the cost of a comparable dwelling unit. This ratio is also subject to the same variability exhibited by the price to income ratio. </w:t>
      </w:r>
      <w:r w:rsidRPr="00124B71">
        <w:rPr>
          <w:rStyle w:val="EndnoteReference"/>
          <w:rFonts w:cs="Times New Roman"/>
        </w:rPr>
        <w:endnoteReference w:id="80"/>
      </w:r>
      <w:r w:rsidRPr="00124B71">
        <w:rPr>
          <w:rFonts w:cs="Times New Roman"/>
        </w:rPr>
        <w:t xml:space="preserve"> This is not surprising considering rent is generally paid out of current income, so incomes and rents tend to track one another fairly closely. The ratio of rent to income has stayed within a range from 13.6% to 16.5% from 1988 to 2006. This demonstrates renters have been </w:t>
      </w:r>
      <w:r w:rsidRPr="00124B71">
        <w:rPr>
          <w:rFonts w:cs="Times New Roman"/>
        </w:rPr>
        <w:lastRenderedPageBreak/>
        <w:t>putting roughly the same percentage of their incomes toward housing for the 18 years period of data examined. The evidence from the sudden and dramatic changes in the price-to-income</w:t>
      </w:r>
      <w:r w:rsidR="001858B5">
        <w:rPr>
          <w:rFonts w:cs="Times New Roman"/>
        </w:rPr>
        <w:fldChar w:fldCharType="begin"/>
      </w:r>
      <w:r w:rsidR="00AE7D38">
        <w:instrText xml:space="preserve"> XE "</w:instrText>
      </w:r>
      <w:r w:rsidR="00AE7D38" w:rsidRPr="008121A2">
        <w:rPr>
          <w:rFonts w:cs="Times New Roman"/>
        </w:rPr>
        <w:instrText>price-to-income</w:instrText>
      </w:r>
      <w:r w:rsidR="00AE7D38">
        <w:instrText xml:space="preserve">" </w:instrText>
      </w:r>
      <w:r w:rsidR="001858B5">
        <w:rPr>
          <w:rFonts w:cs="Times New Roman"/>
        </w:rPr>
        <w:fldChar w:fldCharType="end"/>
      </w:r>
      <w:r w:rsidRPr="00124B71">
        <w:rPr>
          <w:rFonts w:cs="Times New Roman"/>
        </w:rPr>
        <w:t xml:space="preserve"> ratio and the price-to-rent</w:t>
      </w:r>
      <w:r w:rsidR="001858B5">
        <w:rPr>
          <w:rFonts w:cs="Times New Roman"/>
        </w:rPr>
        <w:fldChar w:fldCharType="begin"/>
      </w:r>
      <w:r w:rsidR="00180E6F">
        <w:instrText xml:space="preserve"> XE "</w:instrText>
      </w:r>
      <w:r w:rsidR="00180E6F" w:rsidRPr="0007121C">
        <w:rPr>
          <w:rFonts w:cs="Times New Roman"/>
        </w:rPr>
        <w:instrText>price-to-rent</w:instrText>
      </w:r>
      <w:r w:rsidR="00180E6F">
        <w:instrText xml:space="preserve">" </w:instrText>
      </w:r>
      <w:r w:rsidR="001858B5">
        <w:rPr>
          <w:rFonts w:cs="Times New Roman"/>
        </w:rPr>
        <w:fldChar w:fldCharType="end"/>
      </w:r>
      <w:r w:rsidRPr="00124B71">
        <w:rPr>
          <w:rFonts w:cs="Times New Roman"/>
        </w:rPr>
        <w:t xml:space="preserve"> ratio points to a housing bubble. </w:t>
      </w:r>
      <w:r w:rsidRPr="00124B71">
        <w:rPr>
          <w:rStyle w:val="EndnoteReference"/>
          <w:rFonts w:cs="Times New Roman"/>
        </w:rPr>
        <w:endnoteReference w:id="81"/>
      </w:r>
      <w:r w:rsidRPr="00124B71">
        <w:rPr>
          <w:rFonts w:cs="Times New Roman"/>
        </w:rPr>
        <w:t xml:space="preserve"> If these two measures of value had been supported by a rise in the rent-to-income</w:t>
      </w:r>
      <w:r w:rsidR="001858B5">
        <w:rPr>
          <w:rFonts w:cs="Times New Roman"/>
        </w:rPr>
        <w:fldChar w:fldCharType="begin"/>
      </w:r>
      <w:r w:rsidR="00AE7D38">
        <w:instrText xml:space="preserve"> XE "</w:instrText>
      </w:r>
      <w:r w:rsidR="00AE7D38" w:rsidRPr="00A6639D">
        <w:rPr>
          <w:rFonts w:cs="Times New Roman"/>
        </w:rPr>
        <w:instrText>rent-to-income</w:instrText>
      </w:r>
      <w:r w:rsidR="00AE7D38">
        <w:instrText xml:space="preserve">" </w:instrText>
      </w:r>
      <w:r w:rsidR="001858B5">
        <w:rPr>
          <w:rFonts w:cs="Times New Roman"/>
        </w:rPr>
        <w:fldChar w:fldCharType="end"/>
      </w:r>
      <w:r w:rsidRPr="00124B71">
        <w:rPr>
          <w:rFonts w:cs="Times New Roman"/>
        </w:rPr>
        <w:t xml:space="preserve"> ratio, the increase in prices might have been explainable by a shortage in dwelling units causing all consumers of housing to see an increase in the percentage of their income going toward housing. Evidence from the rent-to-income ratio is to the contrary.</w:t>
      </w:r>
    </w:p>
    <w:p w14:paraId="0E88621C" w14:textId="627C6FD5" w:rsidR="003D7238" w:rsidRPr="00EF0EDA" w:rsidRDefault="00CF05FE" w:rsidP="00A2290B">
      <w:pPr>
        <w:pStyle w:val="Caption"/>
      </w:pPr>
      <w:bookmarkStart w:id="118" w:name="_Toc238867461"/>
      <w:r>
        <w:t>Figure</w:t>
      </w:r>
      <w:r w:rsidR="003D7238" w:rsidRPr="00EF0EDA">
        <w:t xml:space="preserve"> </w:t>
      </w:r>
      <w:fldSimple w:instr=" SEQ Figure \* ARABIC ">
        <w:r w:rsidR="00493733">
          <w:rPr>
            <w:noProof/>
          </w:rPr>
          <w:t>20</w:t>
        </w:r>
      </w:fldSimple>
      <w:r w:rsidR="00317936">
        <w:t xml:space="preserve">: </w:t>
      </w:r>
      <w:r w:rsidR="003D7238" w:rsidRPr="00EF0EDA">
        <w:t>National Price-to-Rent Ratio</w:t>
      </w:r>
      <w:r w:rsidR="000E7151">
        <w:t>,</w:t>
      </w:r>
      <w:r w:rsidR="003D7238" w:rsidRPr="00EF0EDA">
        <w:t xml:space="preserve"> 1988-2007</w:t>
      </w:r>
      <w:bookmarkEnd w:id="118"/>
    </w:p>
    <w:p w14:paraId="2128887E" w14:textId="77777777" w:rsidR="003D7238" w:rsidRPr="00EF0EDA" w:rsidRDefault="009266EA" w:rsidP="005B15BB">
      <w:pPr>
        <w:pStyle w:val="Graphics"/>
      </w:pPr>
      <w:r>
        <w:drawing>
          <wp:inline distT="0" distB="0" distL="0" distR="0" wp14:anchorId="61DB2C56" wp14:editId="3040C6A5">
            <wp:extent cx="3657600" cy="2834640"/>
            <wp:effectExtent l="19050" t="0" r="0" b="0"/>
            <wp:docPr id="85" name="Picture 84" descr="National Price-to-Rent Ratio 1988-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Price-to-Rent Ratio 1988-2007.jpg"/>
                    <pic:cNvPicPr/>
                  </pic:nvPicPr>
                  <pic:blipFill>
                    <a:blip r:embed="rId54"/>
                    <a:stretch>
                      <a:fillRect/>
                    </a:stretch>
                  </pic:blipFill>
                  <pic:spPr>
                    <a:xfrm>
                      <a:off x="0" y="0"/>
                      <a:ext cx="3657600" cy="2834640"/>
                    </a:xfrm>
                    <a:prstGeom prst="rect">
                      <a:avLst/>
                    </a:prstGeom>
                  </pic:spPr>
                </pic:pic>
              </a:graphicData>
            </a:graphic>
          </wp:inline>
        </w:drawing>
      </w:r>
    </w:p>
    <w:p w14:paraId="2B0905B8" w14:textId="77777777" w:rsidR="0056372B" w:rsidRPr="00EF0EDA" w:rsidRDefault="00BB11E4" w:rsidP="00A55CE3">
      <w:pPr>
        <w:pStyle w:val="Heading2"/>
      </w:pPr>
      <w:bookmarkStart w:id="119" w:name="_Toc238867339"/>
      <w:r w:rsidRPr="00EF0EDA">
        <w:t>Debt-To-Income Ratios</w:t>
      </w:r>
      <w:bookmarkEnd w:id="119"/>
    </w:p>
    <w:p w14:paraId="142D2350" w14:textId="77777777" w:rsidR="00E46941" w:rsidRDefault="005008A0" w:rsidP="00E46941">
      <w:pPr>
        <w:rPr>
          <w:rFonts w:cs="Times New Roman"/>
        </w:rPr>
      </w:pPr>
      <w:r w:rsidRPr="00124B71">
        <w:rPr>
          <w:rFonts w:cs="Times New Roman"/>
        </w:rPr>
        <w:t>There was a significant price bubble in residential real estate in the late 1980</w:t>
      </w:r>
      <w:r w:rsidR="0082030B" w:rsidRPr="00124B71">
        <w:rPr>
          <w:rFonts w:cs="Times New Roman"/>
        </w:rPr>
        <w:t>s</w:t>
      </w:r>
      <w:r w:rsidRPr="00124B71">
        <w:rPr>
          <w:rFonts w:cs="Times New Roman"/>
        </w:rPr>
        <w:t xml:space="preserve"> crashing in the early 1990s. This </w:t>
      </w:r>
      <w:r w:rsidR="009F3245" w:rsidRPr="00124B71">
        <w:rPr>
          <w:rFonts w:cs="Times New Roman"/>
        </w:rPr>
        <w:t xml:space="preserve">coastal </w:t>
      </w:r>
      <w:r w:rsidRPr="00124B71">
        <w:rPr>
          <w:rFonts w:cs="Times New Roman"/>
        </w:rPr>
        <w:t xml:space="preserve">bubble was concentrated in California and in some major metropolitan areas in other states, and it did not spread to housing markets nationwide. When comparing this previous bubble to </w:t>
      </w:r>
      <w:r w:rsidR="001A34D5">
        <w:rPr>
          <w:rFonts w:cs="Times New Roman"/>
        </w:rPr>
        <w:t>the Great Housing Bubble</w:t>
      </w:r>
      <w:r w:rsidRPr="00124B71">
        <w:rPr>
          <w:rFonts w:cs="Times New Roman"/>
        </w:rPr>
        <w:t>, t</w:t>
      </w:r>
      <w:r w:rsidR="0056372B" w:rsidRPr="00124B71">
        <w:rPr>
          <w:rFonts w:cs="Times New Roman"/>
        </w:rPr>
        <w:t xml:space="preserve">he </w:t>
      </w:r>
      <w:r w:rsidRPr="00124B71">
        <w:rPr>
          <w:rFonts w:cs="Times New Roman"/>
        </w:rPr>
        <w:t xml:space="preserve">macroeconomic </w:t>
      </w:r>
      <w:r w:rsidR="0056372B" w:rsidRPr="00124B71">
        <w:rPr>
          <w:rFonts w:cs="Times New Roman"/>
        </w:rPr>
        <w:t xml:space="preserve">circumstances </w:t>
      </w:r>
      <w:r w:rsidRPr="00124B71">
        <w:rPr>
          <w:rFonts w:cs="Times New Roman"/>
        </w:rPr>
        <w:t xml:space="preserve">were different: </w:t>
      </w:r>
      <w:r w:rsidR="006457E9">
        <w:rPr>
          <w:rFonts w:cs="Times New Roman"/>
        </w:rPr>
        <w:t>p</w:t>
      </w:r>
      <w:r w:rsidR="0056372B" w:rsidRPr="00124B71">
        <w:rPr>
          <w:rFonts w:cs="Times New Roman"/>
        </w:rPr>
        <w:t xml:space="preserve">rices and wages were lower in the last bubble, interest rates were higher, the economies were different, </w:t>
      </w:r>
      <w:r w:rsidR="009F3245" w:rsidRPr="00124B71">
        <w:rPr>
          <w:rFonts w:cs="Times New Roman"/>
        </w:rPr>
        <w:t>and other factors were also unique</w:t>
      </w:r>
      <w:r w:rsidRPr="00124B71">
        <w:rPr>
          <w:rFonts w:cs="Times New Roman"/>
        </w:rPr>
        <w:t xml:space="preserve">; however, </w:t>
      </w:r>
      <w:r w:rsidR="0056372B" w:rsidRPr="00124B71">
        <w:rPr>
          <w:rFonts w:cs="Times New Roman"/>
        </w:rPr>
        <w:t xml:space="preserve"> the evaluation of personal circumstances each buyer goes through when contemplating a purchase</w:t>
      </w:r>
      <w:r w:rsidRPr="00124B71">
        <w:rPr>
          <w:rFonts w:cs="Times New Roman"/>
        </w:rPr>
        <w:t xml:space="preserve"> is constant</w:t>
      </w:r>
      <w:r w:rsidR="0056372B" w:rsidRPr="00124B71">
        <w:rPr>
          <w:rFonts w:cs="Times New Roman"/>
        </w:rPr>
        <w:t>. The cumulative impact of the decisions</w:t>
      </w:r>
      <w:r w:rsidRPr="00124B71">
        <w:rPr>
          <w:rFonts w:cs="Times New Roman"/>
        </w:rPr>
        <w:t xml:space="preserve"> of buyers is </w:t>
      </w:r>
      <w:r w:rsidR="0056372B" w:rsidRPr="00124B71">
        <w:rPr>
          <w:rFonts w:cs="Times New Roman"/>
        </w:rPr>
        <w:t>represented in the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56372B" w:rsidRPr="00124B71">
        <w:rPr>
          <w:rFonts w:cs="Times New Roman"/>
        </w:rPr>
        <w:t xml:space="preserve"> ratios</w:t>
      </w:r>
      <w:r w:rsidR="007C469A">
        <w:rPr>
          <w:rFonts w:cs="Times New Roman"/>
        </w:rPr>
        <w:t>–</w:t>
      </w:r>
      <w:r w:rsidR="0056372B" w:rsidRPr="00124B71">
        <w:rPr>
          <w:rFonts w:cs="Times New Roman"/>
        </w:rPr>
        <w:t>how much each household pays to borrow versus how much they make. Comparing the trends in debt-to-income ratios provides a great tool for</w:t>
      </w:r>
      <w:r w:rsidRPr="00124B71">
        <w:rPr>
          <w:rFonts w:cs="Times New Roman"/>
        </w:rPr>
        <w:t xml:space="preserve"> elucidating the behavior of buyers. </w:t>
      </w:r>
      <w:r w:rsidR="0056372B" w:rsidRPr="00124B71">
        <w:rPr>
          <w:rFonts w:cs="Times New Roman"/>
        </w:rPr>
        <w:t xml:space="preserve"> </w:t>
      </w:r>
    </w:p>
    <w:p w14:paraId="22B061C5" w14:textId="77777777" w:rsidR="00E46941" w:rsidRPr="00124B71" w:rsidRDefault="00E46941" w:rsidP="00E46941">
      <w:pPr>
        <w:rPr>
          <w:rFonts w:cs="Times New Roman"/>
        </w:rPr>
      </w:pPr>
      <w:r w:rsidRPr="00124B71">
        <w:rPr>
          <w:rFonts w:cs="Times New Roman"/>
        </w:rPr>
        <w:t>Typically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ratios track interest rates. As interest rates decline, it becomes less expensive to borrow money so borrowers have to put less </w:t>
      </w:r>
      <w:r w:rsidRPr="00124B71">
        <w:rPr>
          <w:rFonts w:cs="Times New Roman"/>
        </w:rPr>
        <w:lastRenderedPageBreak/>
        <w:t xml:space="preserve">of their income toward debt service. The inverse is also true. On a national level from 1997 to 2006 interest rates trended lower due to low inflation and a low federal funds rate. During this same period people were increasing the amount of money they were putting toward home mortgage debt service. If the cost of money is declining and the amount of money people are putting toward debt service is increasing, the total amount borrowed increases dramatically. Since most residential real estate is financed, this increased borrowing drove prices up and helped inflate </w:t>
      </w:r>
      <w:r w:rsidR="001A34D5">
        <w:rPr>
          <w:rFonts w:cs="Times New Roman"/>
        </w:rPr>
        <w:t>the Great Housing Bubble</w:t>
      </w:r>
      <w:r w:rsidRPr="00124B71">
        <w:rPr>
          <w:rFonts w:cs="Times New Roman"/>
        </w:rPr>
        <w:t>.</w:t>
      </w:r>
    </w:p>
    <w:p w14:paraId="63A394C3" w14:textId="77777777" w:rsidR="005008A0" w:rsidRPr="00124B71" w:rsidRDefault="005008A0" w:rsidP="00A55CE3">
      <w:pPr>
        <w:rPr>
          <w:rFonts w:cs="Times New Roman"/>
        </w:rPr>
      </w:pPr>
    </w:p>
    <w:p w14:paraId="158EE0A6" w14:textId="0BF60631" w:rsidR="008C04DD" w:rsidRPr="00EF0EDA" w:rsidRDefault="00CF05FE" w:rsidP="008C04DD">
      <w:pPr>
        <w:pStyle w:val="Caption"/>
      </w:pPr>
      <w:bookmarkStart w:id="120" w:name="_Toc238867462"/>
      <w:r>
        <w:t>Figure</w:t>
      </w:r>
      <w:r w:rsidR="008C04DD" w:rsidRPr="00EF0EDA">
        <w:t xml:space="preserve"> </w:t>
      </w:r>
      <w:fldSimple w:instr=" SEQ Figure \* ARABIC ">
        <w:r w:rsidR="00493733">
          <w:rPr>
            <w:noProof/>
          </w:rPr>
          <w:t>21</w:t>
        </w:r>
      </w:fldSimple>
      <w:r w:rsidR="00317936">
        <w:t xml:space="preserve">: </w:t>
      </w:r>
      <w:r w:rsidR="008C04DD" w:rsidRPr="00EF0EDA">
        <w:t>Debt-To-Income Rat</w:t>
      </w:r>
      <w:r w:rsidR="000E7151">
        <w:t xml:space="preserve">io and Mortgage Interest Rates, </w:t>
      </w:r>
      <w:r w:rsidR="008C04DD" w:rsidRPr="00EF0EDA">
        <w:t>1997-2006</w:t>
      </w:r>
      <w:bookmarkEnd w:id="120"/>
    </w:p>
    <w:p w14:paraId="254CF1AF" w14:textId="77777777" w:rsidR="008C04DD" w:rsidRPr="00EF0EDA" w:rsidRDefault="009266EA" w:rsidP="005B15BB">
      <w:pPr>
        <w:pStyle w:val="Graphics"/>
      </w:pPr>
      <w:r>
        <w:drawing>
          <wp:inline distT="0" distB="0" distL="0" distR="0" wp14:anchorId="401174E5" wp14:editId="78BE3D92">
            <wp:extent cx="3657600" cy="2743200"/>
            <wp:effectExtent l="19050" t="0" r="0" b="0"/>
            <wp:docPr id="86" name="Picture 85" descr="Debt-To-Income Ratio and Mortgage Interest Rates, National 1997-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t-To-Income Ratio and Mortgage Interest Rates, National 1997-2006.jpg"/>
                    <pic:cNvPicPr/>
                  </pic:nvPicPr>
                  <pic:blipFill>
                    <a:blip r:embed="rId55"/>
                    <a:stretch>
                      <a:fillRect/>
                    </a:stretch>
                  </pic:blipFill>
                  <pic:spPr>
                    <a:xfrm>
                      <a:off x="0" y="0"/>
                      <a:ext cx="3657600" cy="2743200"/>
                    </a:xfrm>
                    <a:prstGeom prst="rect">
                      <a:avLst/>
                    </a:prstGeom>
                  </pic:spPr>
                </pic:pic>
              </a:graphicData>
            </a:graphic>
          </wp:inline>
        </w:drawing>
      </w:r>
    </w:p>
    <w:p w14:paraId="13E094F4" w14:textId="77777777" w:rsidR="0056372B" w:rsidRPr="00124B71" w:rsidRDefault="0056372B" w:rsidP="001D0A2D">
      <w:pPr>
        <w:rPr>
          <w:rFonts w:cs="Times New Roman"/>
        </w:rPr>
      </w:pPr>
      <w:r w:rsidRPr="00124B71">
        <w:rPr>
          <w:rFonts w:cs="Times New Roman"/>
        </w:rPr>
        <w:t xml:space="preserve">The </w:t>
      </w:r>
      <w:r w:rsidR="00E46941">
        <w:rPr>
          <w:rFonts w:cs="Times New Roman"/>
        </w:rPr>
        <w:t>figure</w:t>
      </w:r>
      <w:r w:rsidRPr="00124B71">
        <w:rPr>
          <w:rFonts w:cs="Times New Roman"/>
        </w:rPr>
        <w:t xml:space="preserve"> </w:t>
      </w:r>
      <w:r w:rsidR="00E46941">
        <w:rPr>
          <w:rFonts w:cs="Times New Roman"/>
        </w:rPr>
        <w:t>on the following page</w:t>
      </w:r>
      <w:r w:rsidRPr="00124B71">
        <w:rPr>
          <w:rFonts w:cs="Times New Roman"/>
        </w:rPr>
        <w:t xml:space="preserve"> shows the historic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ratios for California, Orange County</w:t>
      </w:r>
      <w:r w:rsidR="001858B5">
        <w:rPr>
          <w:rFonts w:cs="Times New Roman"/>
        </w:rPr>
        <w:fldChar w:fldCharType="begin"/>
      </w:r>
      <w:r w:rsidR="00AE7D38">
        <w:instrText xml:space="preserve"> XE "</w:instrText>
      </w:r>
      <w:r w:rsidR="00AE7D38" w:rsidRPr="0005034B">
        <w:rPr>
          <w:rFonts w:cs="Times New Roman"/>
        </w:rPr>
        <w:instrText>Orange County</w:instrText>
      </w:r>
      <w:r w:rsidR="00AE7D38">
        <w:instrText xml:space="preserve">" </w:instrText>
      </w:r>
      <w:r w:rsidR="001858B5">
        <w:rPr>
          <w:rFonts w:cs="Times New Roman"/>
        </w:rPr>
        <w:fldChar w:fldCharType="end"/>
      </w:r>
      <w:r w:rsidRPr="00124B71">
        <w:rPr>
          <w:rFonts w:cs="Times New Roman"/>
        </w:rPr>
        <w:t xml:space="preserve"> and Irvine from 1986 to 2006. It is calculated based on historic interest rates,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Pr="00124B71">
        <w:rPr>
          <w:rFonts w:cs="Times New Roman"/>
        </w:rPr>
        <w:t xml:space="preserve"> home prices and median incomes. </w:t>
      </w:r>
      <w:r w:rsidR="001D0A2D" w:rsidRPr="00124B71">
        <w:rPr>
          <w:rFonts w:cs="Times New Roman"/>
        </w:rPr>
        <w:t xml:space="preserve">Lenders have traditionally limited a mortgage debt payment to 28% and a total debt service </w:t>
      </w:r>
      <w:r w:rsidR="009F3245" w:rsidRPr="00124B71">
        <w:rPr>
          <w:rFonts w:cs="Times New Roman"/>
        </w:rPr>
        <w:t>to</w:t>
      </w:r>
      <w:r w:rsidR="001D0A2D" w:rsidRPr="00124B71">
        <w:rPr>
          <w:rFonts w:cs="Times New Roman"/>
        </w:rPr>
        <w:t xml:space="preserve"> 36% of a borrower’s gross income. </w:t>
      </w:r>
      <w:r w:rsidR="00DF6207" w:rsidRPr="00124B71">
        <w:rPr>
          <w:rFonts w:cs="Times New Roman"/>
        </w:rPr>
        <w:t xml:space="preserve">The </w:t>
      </w:r>
      <w:r w:rsidR="00E46941">
        <w:rPr>
          <w:rFonts w:cs="Times New Roman"/>
        </w:rPr>
        <w:t>figure</w:t>
      </w:r>
      <w:r w:rsidR="00DF6207" w:rsidRPr="00124B71">
        <w:rPr>
          <w:rFonts w:cs="Times New Roman"/>
        </w:rPr>
        <w:t xml:space="preserve"> shows these standard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00DF6207" w:rsidRPr="00124B71">
        <w:rPr>
          <w:rFonts w:cs="Times New Roman"/>
        </w:rPr>
        <w:t xml:space="preserve"> levels. </w:t>
      </w:r>
      <w:r w:rsidR="001D0A2D" w:rsidRPr="00124B71">
        <w:rPr>
          <w:rFonts w:cs="Times New Roman"/>
        </w:rPr>
        <w:t>During price rallies, these standards are loosened in response to demand from customers when prices are very high. Debt service ratios above traditional standards are prone to high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1D0A2D" w:rsidRPr="00124B71">
        <w:rPr>
          <w:rFonts w:cs="Times New Roman"/>
        </w:rPr>
        <w:t xml:space="preserve"> once prices stop increasing. </w:t>
      </w:r>
      <w:r w:rsidRPr="00124B71">
        <w:rPr>
          <w:rFonts w:cs="Times New Roman"/>
        </w:rPr>
        <w:t>In 1987, 1988 and 1989 people believed they would be “priced out forever,” so they bought in a fear-frenzy</w:t>
      </w:r>
      <w:r w:rsidR="001D0A2D" w:rsidRPr="00124B71">
        <w:rPr>
          <w:rFonts w:cs="Times New Roman"/>
        </w:rPr>
        <w:t xml:space="preserve"> creating an obvious bubble</w:t>
      </w:r>
      <w:r w:rsidRPr="00124B71">
        <w:rPr>
          <w:rFonts w:cs="Times New Roman"/>
        </w:rPr>
        <w:t xml:space="preserve">. Mostly people stretched with conventional </w:t>
      </w:r>
      <w:r w:rsidR="00D3537C" w:rsidRPr="00124B71">
        <w:rPr>
          <w:rFonts w:cs="Times New Roman"/>
        </w:rPr>
        <w:t>mortgages, but other mortgage programs were used. This</w:t>
      </w:r>
      <w:r w:rsidRPr="00124B71">
        <w:rPr>
          <w:rFonts w:cs="Times New Roman"/>
        </w:rPr>
        <w:t xml:space="preserve"> helped propel the bubble to a low level of affordability. Basically, prices could not get pushed up any higher because lenders would not loan any more money.</w:t>
      </w:r>
    </w:p>
    <w:p w14:paraId="29BF07F8" w14:textId="33C58410" w:rsidR="00E46941" w:rsidRPr="00EF0EDA" w:rsidRDefault="00E46941" w:rsidP="00E46941">
      <w:pPr>
        <w:pStyle w:val="Caption"/>
      </w:pPr>
      <w:bookmarkStart w:id="121" w:name="_Toc238867463"/>
      <w:r>
        <w:lastRenderedPageBreak/>
        <w:t>Figure</w:t>
      </w:r>
      <w:r w:rsidRPr="00EF0EDA">
        <w:t xml:space="preserve"> </w:t>
      </w:r>
      <w:fldSimple w:instr=" SEQ Figure \* ARABIC ">
        <w:r w:rsidR="00493733">
          <w:rPr>
            <w:noProof/>
          </w:rPr>
          <w:t>22</w:t>
        </w:r>
      </w:fldSimple>
      <w:r w:rsidR="00317936">
        <w:t xml:space="preserve">: </w:t>
      </w:r>
      <w:r w:rsidRPr="00EF0EDA">
        <w:t>Debt-To-Income Ratio, California 1986-2006</w:t>
      </w:r>
      <w:bookmarkEnd w:id="121"/>
    </w:p>
    <w:p w14:paraId="20A178D5" w14:textId="77777777" w:rsidR="00E46941" w:rsidRPr="00EF0EDA" w:rsidRDefault="009266EA" w:rsidP="00E46941">
      <w:pPr>
        <w:pStyle w:val="Graphics"/>
      </w:pPr>
      <w:r>
        <w:drawing>
          <wp:inline distT="0" distB="0" distL="0" distR="0" wp14:anchorId="354CF5B6" wp14:editId="647B21B4">
            <wp:extent cx="3657600" cy="2743200"/>
            <wp:effectExtent l="19050" t="0" r="0" b="0"/>
            <wp:docPr id="87" name="Picture 86" descr="Debt-To-Income Ratio, California 1986-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t-To-Income Ratio, California 1986-2006.jpg"/>
                    <pic:cNvPicPr/>
                  </pic:nvPicPr>
                  <pic:blipFill>
                    <a:blip r:embed="rId56" cstate="print"/>
                    <a:stretch>
                      <a:fillRect/>
                    </a:stretch>
                  </pic:blipFill>
                  <pic:spPr>
                    <a:xfrm>
                      <a:off x="0" y="0"/>
                      <a:ext cx="3657600" cy="2743200"/>
                    </a:xfrm>
                    <a:prstGeom prst="rect">
                      <a:avLst/>
                    </a:prstGeom>
                  </pic:spPr>
                </pic:pic>
              </a:graphicData>
            </a:graphic>
          </wp:inline>
        </w:drawing>
      </w:r>
    </w:p>
    <w:p w14:paraId="6DA53EA5" w14:textId="77777777" w:rsidR="001D0A2D" w:rsidRPr="00124B71" w:rsidRDefault="001D0A2D" w:rsidP="001D0A2D">
      <w:pPr>
        <w:rPr>
          <w:rFonts w:cs="Times New Roman"/>
        </w:rPr>
      </w:pPr>
      <w:r w:rsidRPr="00124B71">
        <w:rPr>
          <w:rFonts w:cs="Times New Roman"/>
        </w:rPr>
        <w:t>Changes in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ratios are not a passive phenomenon only responding to changes in price. The psychology of buyers reflected in debt-to-income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Pr="00124B71">
        <w:rPr>
          <w:rFonts w:cs="Times New Roman"/>
        </w:rPr>
        <w:t xml:space="preserve"> is the </w:t>
      </w:r>
      <w:r w:rsidRPr="00124B71">
        <w:rPr>
          <w:rFonts w:cs="Times New Roman"/>
          <w:i/>
        </w:rPr>
        <w:t>facilitator</w:t>
      </w:r>
      <w:r w:rsidRPr="00124B71">
        <w:rPr>
          <w:rFonts w:cs="Times New Roman"/>
        </w:rPr>
        <w:t xml:space="preserve"> of price action. </w:t>
      </w:r>
      <w:r w:rsidR="00182961" w:rsidRPr="00124B71">
        <w:rPr>
          <w:rFonts w:cs="Times New Roman"/>
        </w:rPr>
        <w:t xml:space="preserve">In market rallies people </w:t>
      </w:r>
      <w:r w:rsidRPr="00124B71">
        <w:rPr>
          <w:rFonts w:cs="Times New Roman"/>
        </w:rPr>
        <w:t>put larger and larger percentages of their income toward purchasing houses because they are appreciating assets. People are not passively responding to market prices, they are actively choosing to</w:t>
      </w:r>
      <w:r w:rsidR="00C41A98" w:rsidRPr="00124B71">
        <w:rPr>
          <w:rFonts w:cs="Times New Roman"/>
        </w:rPr>
        <w:t xml:space="preserve"> bid prices higher out of greed and the desire to capture the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C41A98" w:rsidRPr="00124B71">
        <w:rPr>
          <w:rFonts w:cs="Times New Roman"/>
        </w:rPr>
        <w:t xml:space="preserve"> their buying activity is creating.</w:t>
      </w:r>
      <w:r w:rsidRPr="00124B71">
        <w:rPr>
          <w:rFonts w:cs="Times New Roman"/>
        </w:rPr>
        <w:t xml:space="preserve"> </w:t>
      </w:r>
      <w:r w:rsidR="00C41A98" w:rsidRPr="00124B71">
        <w:rPr>
          <w:rFonts w:cs="Times New Roman"/>
        </w:rPr>
        <w:t>This will go on as long as there are sufficient buyers to push prices higher. The Great Housing Bubble proved</w:t>
      </w:r>
      <w:r w:rsidR="006D1080" w:rsidRPr="00124B71">
        <w:rPr>
          <w:rFonts w:cs="Times New Roman"/>
        </w:rPr>
        <w:t xml:space="preserve"> </w:t>
      </w:r>
      <w:r w:rsidR="0082030B" w:rsidRPr="00124B71">
        <w:rPr>
          <w:rFonts w:cs="Times New Roman"/>
        </w:rPr>
        <w:t xml:space="preserve">that </w:t>
      </w:r>
      <w:r w:rsidR="006D1080" w:rsidRPr="00124B71">
        <w:rPr>
          <w:rFonts w:cs="Times New Roman"/>
        </w:rPr>
        <w:t>as long as credit is available</w:t>
      </w:r>
      <w:r w:rsidR="00C41A98" w:rsidRPr="00124B71">
        <w:rPr>
          <w:rFonts w:cs="Times New Roman"/>
        </w:rPr>
        <w:t xml:space="preserve"> there is no rational price level where people choose not to buy </w:t>
      </w:r>
      <w:r w:rsidR="0082030B" w:rsidRPr="00124B71">
        <w:rPr>
          <w:rFonts w:cs="Times New Roman"/>
        </w:rPr>
        <w:t>due to</w:t>
      </w:r>
      <w:r w:rsidR="00C41A98" w:rsidRPr="00124B71">
        <w:rPr>
          <w:rFonts w:cs="Times New Roman"/>
        </w:rPr>
        <w:t xml:space="preserve"> prices</w:t>
      </w:r>
      <w:r w:rsidR="0082030B" w:rsidRPr="00124B71">
        <w:rPr>
          <w:rFonts w:cs="Times New Roman"/>
        </w:rPr>
        <w:t xml:space="preserve"> that</w:t>
      </w:r>
      <w:r w:rsidR="00C41A98" w:rsidRPr="00124B71">
        <w:rPr>
          <w:rFonts w:cs="Times New Roman"/>
        </w:rPr>
        <w:t xml:space="preserve"> are perceived to be expensive. No price is too high as long as </w:t>
      </w:r>
      <w:r w:rsidR="0082030B" w:rsidRPr="00124B71">
        <w:rPr>
          <w:rFonts w:cs="Times New Roman"/>
        </w:rPr>
        <w:t>they</w:t>
      </w:r>
      <w:r w:rsidR="00C41A98" w:rsidRPr="00124B71">
        <w:rPr>
          <w:rFonts w:cs="Times New Roman"/>
        </w:rPr>
        <w:t xml:space="preserve"> are </w:t>
      </w:r>
      <w:r w:rsidR="0082030B" w:rsidRPr="00124B71">
        <w:rPr>
          <w:rFonts w:cs="Times New Roman"/>
        </w:rPr>
        <w:t xml:space="preserve">ever </w:t>
      </w:r>
      <w:r w:rsidR="00C41A98" w:rsidRPr="00124B71">
        <w:rPr>
          <w:rFonts w:cs="Times New Roman"/>
        </w:rPr>
        <w:t>increasing.</w:t>
      </w:r>
    </w:p>
    <w:p w14:paraId="776133C7" w14:textId="77777777" w:rsidR="00BB11E4" w:rsidRPr="00124B71" w:rsidRDefault="00182961" w:rsidP="00A55CE3">
      <w:pPr>
        <w:rPr>
          <w:rFonts w:cs="Times New Roman"/>
        </w:rPr>
      </w:pPr>
      <w:r w:rsidRPr="00124B71">
        <w:rPr>
          <w:rFonts w:cs="Times New Roman"/>
        </w:rPr>
        <w:t xml:space="preserve">In market busts, people put smaller and smaller percentages of their income toward house purchases because the value is declining. </w:t>
      </w:r>
      <w:r w:rsidR="00D3537C" w:rsidRPr="00124B71">
        <w:rPr>
          <w:rFonts w:cs="Times New Roman"/>
        </w:rPr>
        <w:t>In fact, it is possible for house prices to decline so quickly that no mortgage program can reduce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00D3537C" w:rsidRPr="00124B71">
        <w:rPr>
          <w:rFonts w:cs="Times New Roman"/>
        </w:rPr>
        <w:t xml:space="preserve"> to be less than renting.</w:t>
      </w:r>
      <w:r w:rsidRPr="00124B71">
        <w:rPr>
          <w:rFonts w:cs="Times New Roman"/>
        </w:rPr>
        <w:t xml:space="preserve"> The only thing justifying a DTI</w:t>
      </w:r>
      <w:r w:rsidR="001858B5">
        <w:rPr>
          <w:rFonts w:cs="Times New Roman"/>
        </w:rPr>
        <w:fldChar w:fldCharType="begin"/>
      </w:r>
      <w:r w:rsidR="003247C5">
        <w:instrText xml:space="preserve"> XE "</w:instrText>
      </w:r>
      <w:r w:rsidR="003247C5" w:rsidRPr="00DB5C51">
        <w:rPr>
          <w:rFonts w:cs="Times New Roman"/>
        </w:rPr>
        <w:instrText>DTI</w:instrText>
      </w:r>
      <w:r w:rsidR="003247C5">
        <w:instrText xml:space="preserve">" </w:instrText>
      </w:r>
      <w:r w:rsidR="001858B5">
        <w:rPr>
          <w:rFonts w:cs="Times New Roman"/>
        </w:rPr>
        <w:fldChar w:fldCharType="end"/>
      </w:r>
      <w:r w:rsidRPr="00124B71">
        <w:rPr>
          <w:rFonts w:cs="Times New Roman"/>
        </w:rPr>
        <w:t xml:space="preserve"> </w:t>
      </w:r>
      <w:r w:rsidR="00B94929" w:rsidRPr="00124B71">
        <w:rPr>
          <w:rFonts w:cs="Times New Roman"/>
        </w:rPr>
        <w:t>greater than 50%</w:t>
      </w:r>
      <w:r w:rsidRPr="00124B71">
        <w:rPr>
          <w:rFonts w:cs="Times New Roman"/>
        </w:rPr>
        <w:t xml:space="preserve"> is the belief in high rates of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Why would anyone pay double the cost of rental to “own” unless ownership provided a return on that investment? Once it is obvious that prices are not increasing and even begin</w:t>
      </w:r>
      <w:r w:rsidR="0082030B" w:rsidRPr="00124B71">
        <w:rPr>
          <w:rFonts w:cs="Times New Roman"/>
        </w:rPr>
        <w:t>ning</w:t>
      </w:r>
      <w:r w:rsidRPr="00124B71">
        <w:rPr>
          <w:rFonts w:cs="Times New Roman"/>
        </w:rPr>
        <w:t xml:space="preserve"> to decrease, the party is over. Why would anyone stretch to buy a house when prices are dropping? </w:t>
      </w:r>
      <w:r w:rsidR="00C41A98" w:rsidRPr="00124B71">
        <w:rPr>
          <w:rFonts w:cs="Times New Roman"/>
        </w:rPr>
        <w:t>Price</w:t>
      </w:r>
      <w:r w:rsidR="009F3245" w:rsidRPr="00124B71">
        <w:rPr>
          <w:rFonts w:cs="Times New Roman"/>
        </w:rPr>
        <w:t>s</w:t>
      </w:r>
      <w:r w:rsidRPr="00124B71">
        <w:rPr>
          <w:rFonts w:cs="Times New Roman"/>
        </w:rPr>
        <w:t xml:space="preserve"> </w:t>
      </w:r>
      <w:r w:rsidR="00C41A98" w:rsidRPr="00124B71">
        <w:rPr>
          <w:rFonts w:cs="Times New Roman"/>
        </w:rPr>
        <w:t>decline</w:t>
      </w:r>
      <w:r w:rsidR="00D3537C" w:rsidRPr="00124B71">
        <w:rPr>
          <w:rFonts w:cs="Times New Roman"/>
        </w:rPr>
        <w:t xml:space="preserve"> at least</w:t>
      </w:r>
      <w:r w:rsidR="00C41A98" w:rsidRPr="00124B71">
        <w:rPr>
          <w:rFonts w:cs="Times New Roman"/>
        </w:rPr>
        <w:t xml:space="preserve"> </w:t>
      </w:r>
      <w:r w:rsidRPr="00124B71">
        <w:rPr>
          <w:rFonts w:cs="Times New Roman"/>
        </w:rPr>
        <w:t xml:space="preserve">until house payments </w:t>
      </w:r>
      <w:r w:rsidR="00C41A98" w:rsidRPr="00124B71">
        <w:rPr>
          <w:rFonts w:cs="Times New Roman"/>
        </w:rPr>
        <w:t xml:space="preserve">reach affordable levels approximating </w:t>
      </w:r>
      <w:r w:rsidRPr="00124B71">
        <w:rPr>
          <w:rFonts w:cs="Times New Roman"/>
        </w:rPr>
        <w:t>their rental equivalent value</w:t>
      </w:r>
      <w:r w:rsidR="001858B5">
        <w:rPr>
          <w:rFonts w:cs="Times New Roman"/>
        </w:rPr>
        <w:fldChar w:fldCharType="begin"/>
      </w:r>
      <w:r w:rsidR="00FF74AC">
        <w:instrText xml:space="preserve"> XE "</w:instrText>
      </w:r>
      <w:r w:rsidR="00FF74AC" w:rsidRPr="002A5D8B">
        <w:rPr>
          <w:rFonts w:cs="Times New Roman"/>
        </w:rPr>
        <w:instrText>rental equivalent value</w:instrText>
      </w:r>
      <w:r w:rsidR="00FF74AC">
        <w:instrText xml:space="preserve">" </w:instrText>
      </w:r>
      <w:r w:rsidR="001858B5">
        <w:rPr>
          <w:rFonts w:cs="Times New Roman"/>
        </w:rPr>
        <w:fldChar w:fldCharType="end"/>
      </w:r>
      <w:r w:rsidRPr="00124B71">
        <w:rPr>
          <w:rFonts w:cs="Times New Roman"/>
        </w:rPr>
        <w:t xml:space="preserve">. </w:t>
      </w:r>
      <w:r w:rsidRPr="00124B71">
        <w:rPr>
          <w:rStyle w:val="Emphasis"/>
          <w:rFonts w:cs="Times New Roman"/>
          <w:b w:val="0"/>
          <w:i w:val="0"/>
        </w:rPr>
        <w:t>At the bottom, it makes sense to buy because it is cheaper than renting</w:t>
      </w:r>
      <w:r w:rsidRPr="00124B71">
        <w:rPr>
          <w:rFonts w:cs="Times New Roman"/>
          <w:b/>
          <w:i/>
        </w:rPr>
        <w:t>.</w:t>
      </w:r>
      <w:r w:rsidRPr="00124B71">
        <w:rPr>
          <w:rFonts w:cs="Times New Roman"/>
        </w:rPr>
        <w:t xml:space="preserve"> </w:t>
      </w:r>
      <w:r w:rsidR="00C41A98" w:rsidRPr="00124B71">
        <w:rPr>
          <w:rFonts w:cs="Times New Roman"/>
        </w:rPr>
        <w:t>In a bubble market w</w:t>
      </w:r>
      <w:r w:rsidRPr="00124B71">
        <w:rPr>
          <w:rFonts w:cs="Times New Roman"/>
        </w:rPr>
        <w:t>hen the market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Pr="00124B71">
        <w:rPr>
          <w:rFonts w:cs="Times New Roman"/>
        </w:rPr>
        <w:t xml:space="preserve"> falls below 30%, the bottom is near.</w:t>
      </w:r>
    </w:p>
    <w:p w14:paraId="670C5273" w14:textId="77777777" w:rsidR="0056372B" w:rsidRPr="00EF0EDA" w:rsidRDefault="0056372B" w:rsidP="00A55CE3">
      <w:pPr>
        <w:pStyle w:val="Heading2"/>
      </w:pPr>
      <w:bookmarkStart w:id="122" w:name="_Toc238867340"/>
      <w:r w:rsidRPr="00EF0EDA">
        <w:lastRenderedPageBreak/>
        <w:t>Affordability</w:t>
      </w:r>
      <w:r w:rsidR="00F60875" w:rsidRPr="00EF0EDA">
        <w:t xml:space="preserve"> Limits</w:t>
      </w:r>
      <w:bookmarkEnd w:id="122"/>
    </w:p>
    <w:p w14:paraId="5EC3FB0A" w14:textId="77777777" w:rsidR="0056372B" w:rsidRPr="00124B71" w:rsidRDefault="0056372B" w:rsidP="00A55CE3">
      <w:pPr>
        <w:rPr>
          <w:rFonts w:cs="Times New Roman"/>
        </w:rPr>
      </w:pPr>
      <w:r w:rsidRPr="00124B71">
        <w:rPr>
          <w:rFonts w:cs="Times New Roman"/>
        </w:rPr>
        <w:t>Affordability is a measure of people’s ability to raise money to obtain real estate. It is often represented as an index that compares the cost to finance a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Pr="00124B71">
        <w:rPr>
          <w:rFonts w:cs="Times New Roman"/>
        </w:rPr>
        <w:t xml:space="preserve"> house price to the percentage of the general population with the income to support this house price. For instance, in Orange County</w:t>
      </w:r>
      <w:r w:rsidR="001858B5">
        <w:rPr>
          <w:rFonts w:cs="Times New Roman"/>
        </w:rPr>
        <w:fldChar w:fldCharType="begin"/>
      </w:r>
      <w:r w:rsidR="00AE7D38">
        <w:instrText xml:space="preserve"> XE "</w:instrText>
      </w:r>
      <w:r w:rsidR="00AE7D38" w:rsidRPr="0005034B">
        <w:rPr>
          <w:rFonts w:cs="Times New Roman"/>
        </w:rPr>
        <w:instrText>Orange County</w:instrText>
      </w:r>
      <w:r w:rsidR="00AE7D38">
        <w:instrText xml:space="preserve">" </w:instrText>
      </w:r>
      <w:r w:rsidR="001858B5">
        <w:rPr>
          <w:rFonts w:cs="Times New Roman"/>
        </w:rPr>
        <w:fldChar w:fldCharType="end"/>
      </w:r>
      <w:r w:rsidR="0082030B" w:rsidRPr="00124B71">
        <w:rPr>
          <w:rFonts w:cs="Times New Roman"/>
        </w:rPr>
        <w:t>,</w:t>
      </w:r>
      <w:r w:rsidRPr="00124B71">
        <w:rPr>
          <w:rFonts w:cs="Times New Roman"/>
        </w:rPr>
        <w:t xml:space="preserve"> California</w:t>
      </w:r>
      <w:r w:rsidR="0082030B" w:rsidRPr="00124B71">
        <w:rPr>
          <w:rFonts w:cs="Times New Roman"/>
        </w:rPr>
        <w:t>,</w:t>
      </w:r>
      <w:r w:rsidRPr="00124B71">
        <w:rPr>
          <w:rFonts w:cs="Times New Roman"/>
        </w:rPr>
        <w:t xml:space="preserve"> in 2006, only 2.4% of the population earned enough money to afford a median priced home. When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Pr="00124B71">
        <w:rPr>
          <w:rFonts w:cs="Times New Roman"/>
        </w:rPr>
        <w:t xml:space="preserve"> drops below 50%, there is a problem in housing; when it drops to 2.4% there is either a severe shortage of housing, or a housing price bubble</w:t>
      </w:r>
      <w:r w:rsidR="0082030B" w:rsidRPr="00124B71">
        <w:rPr>
          <w:rFonts w:cs="Times New Roman"/>
        </w:rPr>
        <w:t>.</w:t>
      </w:r>
      <w:r w:rsidRPr="00124B71">
        <w:rPr>
          <w:rFonts w:cs="Times New Roman"/>
        </w:rPr>
        <w:t xml:space="preserve"> </w:t>
      </w:r>
      <w:r w:rsidR="0082030B" w:rsidRPr="00124B71">
        <w:rPr>
          <w:rFonts w:cs="Times New Roman"/>
        </w:rPr>
        <w:t>M</w:t>
      </w:r>
      <w:r w:rsidRPr="00124B71">
        <w:rPr>
          <w:rFonts w:cs="Times New Roman"/>
        </w:rPr>
        <w:t>ost often, it is the latter.</w:t>
      </w:r>
    </w:p>
    <w:p w14:paraId="1F8292BD" w14:textId="76CB2128" w:rsidR="00FA63D2" w:rsidRPr="00EF0EDA" w:rsidRDefault="00CF05FE" w:rsidP="00FA63D2">
      <w:pPr>
        <w:pStyle w:val="Caption"/>
      </w:pPr>
      <w:bookmarkStart w:id="123" w:name="_Toc238867464"/>
      <w:r>
        <w:t>Figure</w:t>
      </w:r>
      <w:r w:rsidR="00FA63D2" w:rsidRPr="00EF0EDA">
        <w:t xml:space="preserve"> </w:t>
      </w:r>
      <w:fldSimple w:instr=" SEQ Figure \* ARABIC ">
        <w:r w:rsidR="00493733">
          <w:rPr>
            <w:noProof/>
          </w:rPr>
          <w:t>23</w:t>
        </w:r>
      </w:fldSimple>
      <w:r w:rsidR="00317936">
        <w:t xml:space="preserve">: </w:t>
      </w:r>
      <w:r w:rsidR="00FA63D2" w:rsidRPr="00EF0EDA">
        <w:t>Affordability / Demand</w:t>
      </w:r>
      <w:bookmarkEnd w:id="123"/>
    </w:p>
    <w:p w14:paraId="6F4429E9" w14:textId="77777777" w:rsidR="0056372B" w:rsidRPr="00EF0EDA" w:rsidRDefault="009266EA" w:rsidP="005B15BB">
      <w:pPr>
        <w:pStyle w:val="Graphics"/>
      </w:pPr>
      <w:r>
        <w:drawing>
          <wp:inline distT="0" distB="0" distL="0" distR="0" wp14:anchorId="62C8E761" wp14:editId="50617125">
            <wp:extent cx="3657600" cy="3764280"/>
            <wp:effectExtent l="19050" t="0" r="0" b="0"/>
            <wp:docPr id="88" name="Picture 87" descr="Affordability  Dem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fordability  Demand.jpg"/>
                    <pic:cNvPicPr/>
                  </pic:nvPicPr>
                  <pic:blipFill>
                    <a:blip r:embed="rId57"/>
                    <a:stretch>
                      <a:fillRect/>
                    </a:stretch>
                  </pic:blipFill>
                  <pic:spPr>
                    <a:xfrm>
                      <a:off x="0" y="0"/>
                      <a:ext cx="3657600" cy="3764280"/>
                    </a:xfrm>
                    <a:prstGeom prst="rect">
                      <a:avLst/>
                    </a:prstGeom>
                  </pic:spPr>
                </pic:pic>
              </a:graphicData>
            </a:graphic>
          </wp:inline>
        </w:drawing>
      </w:r>
    </w:p>
    <w:p w14:paraId="2508B3E7" w14:textId="77777777" w:rsidR="00E46941" w:rsidRPr="00124B71" w:rsidRDefault="00E46941" w:rsidP="00E46941">
      <w:pPr>
        <w:rPr>
          <w:rFonts w:cs="Times New Roman"/>
        </w:rPr>
      </w:pPr>
      <w:r w:rsidRPr="00124B71">
        <w:rPr>
          <w:rFonts w:cs="Times New Roman"/>
        </w:rPr>
        <w:t>One way to envision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Pr="00124B71">
        <w:rPr>
          <w:rFonts w:cs="Times New Roman"/>
        </w:rPr>
        <w:t xml:space="preserve"> is through supply and demand</w:t>
      </w:r>
      <w:r w:rsidR="001858B5">
        <w:rPr>
          <w:rFonts w:cs="Times New Roman"/>
        </w:rPr>
        <w:fldChar w:fldCharType="begin"/>
      </w:r>
      <w:r w:rsidR="002321D5">
        <w:instrText xml:space="preserve"> XE "</w:instrText>
      </w:r>
      <w:r w:rsidR="002321D5" w:rsidRPr="00112EC2">
        <w:rPr>
          <w:rFonts w:cs="Times New Roman"/>
        </w:rPr>
        <w:instrText>supply and demand</w:instrText>
      </w:r>
      <w:r w:rsidR="002321D5">
        <w:instrText xml:space="preserve">" </w:instrText>
      </w:r>
      <w:r w:rsidR="001858B5">
        <w:rPr>
          <w:rFonts w:cs="Times New Roman"/>
        </w:rPr>
        <w:fldChar w:fldCharType="end"/>
      </w:r>
      <w:r w:rsidRPr="00124B71">
        <w:rPr>
          <w:rFonts w:cs="Times New Roman"/>
        </w:rPr>
        <w:t xml:space="preserve"> diagrams like those found in introductory economics textbooks. Affordability is the demand curve</w:t>
      </w:r>
      <w:r w:rsidR="001858B5">
        <w:rPr>
          <w:rFonts w:cs="Times New Roman"/>
        </w:rPr>
        <w:fldChar w:fldCharType="begin"/>
      </w:r>
      <w:r w:rsidR="00AE7D38">
        <w:instrText xml:space="preserve"> XE "</w:instrText>
      </w:r>
      <w:r w:rsidR="00AE7D38" w:rsidRPr="00743100">
        <w:rPr>
          <w:rFonts w:cs="Times New Roman"/>
        </w:rPr>
        <w:instrText>demand curve</w:instrText>
      </w:r>
      <w:r w:rsidR="00AE7D38">
        <w:instrText xml:space="preserve">" </w:instrText>
      </w:r>
      <w:r w:rsidR="001858B5">
        <w:rPr>
          <w:rFonts w:cs="Times New Roman"/>
        </w:rPr>
        <w:fldChar w:fldCharType="end"/>
      </w:r>
      <w:r w:rsidRPr="00124B71">
        <w:rPr>
          <w:rFonts w:cs="Times New Roman"/>
        </w:rPr>
        <w:t xml:space="preserve">. There are a small number of buyers who can afford very high prices, and many buyers who can afford very low prices. There is a limit to how high buyers can push prices. This limit is usually determined by lenders who provide the bulk of the money for real estate transactions. During the Great Housing Bubble, these limits were nearly eliminated. In terms of the demand curve, the loose credit standards and low interest rates shifted the demand curve dramatically to the right. Thus many more people were enabled to buy </w:t>
      </w:r>
      <w:r w:rsidRPr="00124B71">
        <w:rPr>
          <w:rFonts w:cs="Times New Roman"/>
        </w:rPr>
        <w:lastRenderedPageBreak/>
        <w:t>and they were able to do so at much higher prices. In bubble markets, once prices started to rise, they were bid up to levels w</w:t>
      </w:r>
      <w:r w:rsidR="006457E9">
        <w:rPr>
          <w:rFonts w:cs="Times New Roman"/>
        </w:rPr>
        <w:t>h</w:t>
      </w:r>
      <w:r w:rsidRPr="00124B71">
        <w:rPr>
          <w:rFonts w:cs="Times New Roman"/>
        </w:rPr>
        <w:t>ere affordability was at record lows by historical measures. In a number of other markets, 2005 and 2006 were not the least affordable years in recent history. Markets not historically prone to bubble behavior might have a population which is decreasing (like Detroit,) steady (like Chicago,) or increasing rapidly (like Dallas). In fact, changes in population has very little to do with housing affordability in a particular city.</w:t>
      </w:r>
    </w:p>
    <w:p w14:paraId="59EA59BE" w14:textId="77777777" w:rsidR="003B7D73" w:rsidRPr="00124B71" w:rsidRDefault="0052722E" w:rsidP="00A55CE3">
      <w:pPr>
        <w:rPr>
          <w:rFonts w:cs="Times New Roman"/>
        </w:rPr>
      </w:pPr>
      <w:r w:rsidRPr="00124B71">
        <w:rPr>
          <w:rFonts w:cs="Times New Roman"/>
        </w:rPr>
        <w:t xml:space="preserve">The expansion of credit took </w:t>
      </w:r>
      <w:r w:rsidR="00E859EB" w:rsidRPr="00124B71">
        <w:rPr>
          <w:rFonts w:cs="Times New Roman"/>
        </w:rPr>
        <w:t>four</w:t>
      </w:r>
      <w:r w:rsidRPr="00124B71">
        <w:rPr>
          <w:rFonts w:cs="Times New Roman"/>
        </w:rPr>
        <w:t xml:space="preserve"> forms: lower interest rates,</w:t>
      </w:r>
      <w:r w:rsidR="00E859EB" w:rsidRPr="00124B71">
        <w:rPr>
          <w:rFonts w:cs="Times New Roman"/>
        </w:rPr>
        <w:t xml:space="preserve"> lowering or eliminating qualification requirements,</w:t>
      </w:r>
      <w:r w:rsidRPr="00124B71">
        <w:rPr>
          <w:rFonts w:cs="Times New Roman"/>
        </w:rPr>
        <w:t xml:space="preserve"> different amortization </w:t>
      </w:r>
      <w:r w:rsidR="00B94929" w:rsidRPr="00124B71">
        <w:rPr>
          <w:rFonts w:cs="Times New Roman"/>
        </w:rPr>
        <w:t>methods</w:t>
      </w:r>
      <w:r w:rsidRPr="00124B71">
        <w:rPr>
          <w:rFonts w:cs="Times New Roman"/>
        </w:rPr>
        <w:t>, and higher allowable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ratios. Lower interest rates expand credit by allowing larger sums to be borrowed with the same payment amount. In 2000, the interest rate on a 30-year mortgage was 8.05%, and in 2003, it was 5.83%</w:t>
      </w:r>
      <w:r w:rsidR="003B7D73" w:rsidRPr="00124B71">
        <w:rPr>
          <w:rFonts w:cs="Times New Roman"/>
        </w:rPr>
        <w:t>. This reduction in interest rates accounts for 20%</w:t>
      </w:r>
      <w:r w:rsidR="00E3041C" w:rsidRPr="00124B71">
        <w:rPr>
          <w:rFonts w:cs="Times New Roman"/>
        </w:rPr>
        <w:t xml:space="preserve"> to 50%</w:t>
      </w:r>
      <w:r w:rsidR="003B7D73" w:rsidRPr="00124B71">
        <w:rPr>
          <w:rFonts w:cs="Times New Roman"/>
        </w:rPr>
        <w:t xml:space="preserve"> of the increase in house prices experienced during the bubble. </w:t>
      </w:r>
      <w:r w:rsidR="00E859EB" w:rsidRPr="00124B71">
        <w:rPr>
          <w:rFonts w:cs="Times New Roman"/>
        </w:rPr>
        <w:t>Subprime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00E859EB" w:rsidRPr="00124B71">
        <w:rPr>
          <w:rFonts w:cs="Times New Roman"/>
        </w:rPr>
        <w:t xml:space="preserve"> lending is an oft-cited example of lowering qualification requirements, but many loan programs included limited documentation that also allowed people with good credit to purchase multiple properties with little or no money down and no real ability to make the payments. </w:t>
      </w:r>
      <w:r w:rsidR="003B7D73" w:rsidRPr="00124B71">
        <w:rPr>
          <w:rFonts w:cs="Times New Roman"/>
        </w:rPr>
        <w:t>Credit was also expanded by borrowers utilizing risky financing options including interest-only and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003B7D73" w:rsidRPr="00124B71">
        <w:rPr>
          <w:rFonts w:cs="Times New Roman"/>
        </w:rPr>
        <w:t>. Interest-only loans artificially “add”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003B7D73" w:rsidRPr="00124B71">
        <w:rPr>
          <w:rFonts w:cs="Times New Roman"/>
        </w:rPr>
        <w:t xml:space="preserve"> to the market because it allows for larger sums of money to be borrowed with lower payments. The final component of credit expansion was a willingness of borrowers to take on larger debt-service payments as evidenced by increasing debt-to-income ratios.</w:t>
      </w:r>
      <w:r w:rsidR="00E859EB" w:rsidRPr="00124B71">
        <w:rPr>
          <w:rFonts w:cs="Times New Roman"/>
        </w:rPr>
        <w:t xml:space="preserve"> All of these factors also helped speculators. The acquisition and carrying costs of a speculative flip was greatly reduced. More people were eligible to speculate, and with rapidly rising prices, more people wanted to do so.</w:t>
      </w:r>
    </w:p>
    <w:p w14:paraId="0E81AA0A" w14:textId="40D3AB04" w:rsidR="00FD4D0C" w:rsidRPr="00EF0EDA" w:rsidRDefault="00DE0510" w:rsidP="00DE0510">
      <w:pPr>
        <w:pStyle w:val="Caption"/>
      </w:pPr>
      <w:bookmarkStart w:id="124" w:name="_Toc238867433"/>
      <w:r>
        <w:t xml:space="preserve">Table </w:t>
      </w:r>
      <w:fldSimple w:instr=" SEQ Table \* ARABIC ">
        <w:r w:rsidR="00493733">
          <w:rPr>
            <w:noProof/>
          </w:rPr>
          <w:t>7</w:t>
        </w:r>
      </w:fldSimple>
      <w:r w:rsidR="00317936">
        <w:t xml:space="preserve">: </w:t>
      </w:r>
      <w:r w:rsidR="00FD4D0C" w:rsidRPr="00EF0EDA">
        <w:t>Interest Rates and House Values</w:t>
      </w:r>
      <w:bookmarkEnd w:id="124"/>
    </w:p>
    <w:tbl>
      <w:tblPr>
        <w:tblW w:w="5940" w:type="dxa"/>
        <w:tblInd w:w="108" w:type="dxa"/>
        <w:tblLook w:val="04A0" w:firstRow="1" w:lastRow="0" w:firstColumn="1" w:lastColumn="0" w:noHBand="0" w:noVBand="1"/>
      </w:tblPr>
      <w:tblGrid>
        <w:gridCol w:w="1440"/>
        <w:gridCol w:w="1440"/>
        <w:gridCol w:w="1622"/>
        <w:gridCol w:w="1438"/>
      </w:tblGrid>
      <w:tr w:rsidR="00FD4D0C" w:rsidRPr="00131BA8" w14:paraId="0510AAE7" w14:textId="77777777" w:rsidTr="005B15BB">
        <w:trPr>
          <w:trHeight w:hRule="exact" w:val="173"/>
        </w:trPr>
        <w:tc>
          <w:tcPr>
            <w:tcW w:w="1440" w:type="dxa"/>
            <w:tcBorders>
              <w:top w:val="nil"/>
              <w:left w:val="nil"/>
              <w:bottom w:val="nil"/>
              <w:right w:val="nil"/>
            </w:tcBorders>
            <w:noWrap/>
            <w:vAlign w:val="bottom"/>
            <w:hideMark/>
          </w:tcPr>
          <w:p w14:paraId="1F64F735"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244,900 </w:t>
            </w:r>
          </w:p>
        </w:tc>
        <w:tc>
          <w:tcPr>
            <w:tcW w:w="3062" w:type="dxa"/>
            <w:gridSpan w:val="2"/>
            <w:tcBorders>
              <w:top w:val="nil"/>
              <w:left w:val="nil"/>
              <w:bottom w:val="nil"/>
              <w:right w:val="nil"/>
            </w:tcBorders>
            <w:noWrap/>
            <w:vAlign w:val="bottom"/>
            <w:hideMark/>
          </w:tcPr>
          <w:p w14:paraId="7F6C8138" w14:textId="77777777" w:rsidR="00FD4D0C" w:rsidRPr="00131BA8" w:rsidRDefault="00FD4D0C" w:rsidP="005F1833">
            <w:pPr>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National Median Home Price</w:t>
            </w:r>
          </w:p>
        </w:tc>
        <w:tc>
          <w:tcPr>
            <w:tcW w:w="1438" w:type="dxa"/>
            <w:tcBorders>
              <w:top w:val="nil"/>
              <w:left w:val="nil"/>
              <w:bottom w:val="nil"/>
              <w:right w:val="nil"/>
            </w:tcBorders>
            <w:noWrap/>
            <w:vAlign w:val="bottom"/>
            <w:hideMark/>
          </w:tcPr>
          <w:p w14:paraId="00A640CD" w14:textId="77777777" w:rsidR="00FD4D0C" w:rsidRPr="00131BA8" w:rsidRDefault="00FD4D0C" w:rsidP="005F1833">
            <w:pPr>
              <w:ind w:firstLine="0"/>
              <w:jc w:val="center"/>
              <w:rPr>
                <w:rFonts w:eastAsia="Times New Roman" w:cs="Times New Roman"/>
                <w:color w:val="000000"/>
                <w:sz w:val="18"/>
                <w:szCs w:val="18"/>
                <w:lang w:bidi="ar-SA"/>
              </w:rPr>
            </w:pPr>
          </w:p>
        </w:tc>
      </w:tr>
      <w:tr w:rsidR="00FD4D0C" w:rsidRPr="00131BA8" w14:paraId="7A6ABC32" w14:textId="77777777" w:rsidTr="005B15BB">
        <w:trPr>
          <w:trHeight w:hRule="exact" w:val="173"/>
        </w:trPr>
        <w:tc>
          <w:tcPr>
            <w:tcW w:w="1440" w:type="dxa"/>
            <w:tcBorders>
              <w:top w:val="nil"/>
              <w:left w:val="nil"/>
              <w:bottom w:val="nil"/>
              <w:right w:val="nil"/>
            </w:tcBorders>
            <w:noWrap/>
            <w:vAlign w:val="bottom"/>
            <w:hideMark/>
          </w:tcPr>
          <w:p w14:paraId="6B791CC2"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47,423 </w:t>
            </w:r>
          </w:p>
        </w:tc>
        <w:tc>
          <w:tcPr>
            <w:tcW w:w="3062" w:type="dxa"/>
            <w:gridSpan w:val="2"/>
            <w:tcBorders>
              <w:top w:val="nil"/>
              <w:left w:val="nil"/>
              <w:bottom w:val="nil"/>
              <w:right w:val="nil"/>
            </w:tcBorders>
            <w:noWrap/>
            <w:vAlign w:val="bottom"/>
            <w:hideMark/>
          </w:tcPr>
          <w:p w14:paraId="205136B4" w14:textId="77777777" w:rsidR="00FD4D0C" w:rsidRPr="00131BA8" w:rsidRDefault="00FD4D0C" w:rsidP="005F1833">
            <w:pPr>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National Median Income</w:t>
            </w:r>
          </w:p>
        </w:tc>
        <w:tc>
          <w:tcPr>
            <w:tcW w:w="1438" w:type="dxa"/>
            <w:tcBorders>
              <w:top w:val="nil"/>
              <w:left w:val="nil"/>
              <w:bottom w:val="nil"/>
              <w:right w:val="nil"/>
            </w:tcBorders>
            <w:noWrap/>
            <w:vAlign w:val="bottom"/>
            <w:hideMark/>
          </w:tcPr>
          <w:p w14:paraId="66AC489E" w14:textId="77777777" w:rsidR="00FD4D0C" w:rsidRPr="00131BA8" w:rsidRDefault="00FD4D0C" w:rsidP="005F1833">
            <w:pPr>
              <w:ind w:firstLine="0"/>
              <w:jc w:val="center"/>
              <w:rPr>
                <w:rFonts w:eastAsia="Times New Roman" w:cs="Times New Roman"/>
                <w:color w:val="000000"/>
                <w:sz w:val="18"/>
                <w:szCs w:val="18"/>
                <w:lang w:bidi="ar-SA"/>
              </w:rPr>
            </w:pPr>
          </w:p>
        </w:tc>
      </w:tr>
      <w:tr w:rsidR="00FD4D0C" w:rsidRPr="00131BA8" w14:paraId="2509BF19" w14:textId="77777777" w:rsidTr="005B15BB">
        <w:trPr>
          <w:trHeight w:hRule="exact" w:val="173"/>
        </w:trPr>
        <w:tc>
          <w:tcPr>
            <w:tcW w:w="1440" w:type="dxa"/>
            <w:tcBorders>
              <w:top w:val="nil"/>
              <w:left w:val="nil"/>
              <w:bottom w:val="nil"/>
              <w:right w:val="nil"/>
            </w:tcBorders>
            <w:noWrap/>
            <w:vAlign w:val="bottom"/>
            <w:hideMark/>
          </w:tcPr>
          <w:p w14:paraId="6BC2D275"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3,952 </w:t>
            </w:r>
          </w:p>
        </w:tc>
        <w:tc>
          <w:tcPr>
            <w:tcW w:w="3062" w:type="dxa"/>
            <w:gridSpan w:val="2"/>
            <w:tcBorders>
              <w:top w:val="nil"/>
              <w:left w:val="nil"/>
              <w:bottom w:val="nil"/>
              <w:right w:val="nil"/>
            </w:tcBorders>
            <w:noWrap/>
            <w:vAlign w:val="bottom"/>
            <w:hideMark/>
          </w:tcPr>
          <w:p w14:paraId="2C10BBEE" w14:textId="77777777" w:rsidR="00FD4D0C" w:rsidRPr="00131BA8" w:rsidRDefault="00FD4D0C" w:rsidP="005F1833">
            <w:pPr>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National Monthly Median Income</w:t>
            </w:r>
          </w:p>
        </w:tc>
        <w:tc>
          <w:tcPr>
            <w:tcW w:w="1438" w:type="dxa"/>
            <w:tcBorders>
              <w:top w:val="nil"/>
              <w:left w:val="nil"/>
              <w:bottom w:val="nil"/>
              <w:right w:val="nil"/>
            </w:tcBorders>
            <w:noWrap/>
            <w:vAlign w:val="bottom"/>
            <w:hideMark/>
          </w:tcPr>
          <w:p w14:paraId="190662D2" w14:textId="77777777" w:rsidR="00FD4D0C" w:rsidRPr="00131BA8" w:rsidRDefault="00FD4D0C" w:rsidP="005F1833">
            <w:pPr>
              <w:ind w:firstLine="0"/>
              <w:jc w:val="center"/>
              <w:rPr>
                <w:rFonts w:eastAsia="Times New Roman" w:cs="Times New Roman"/>
                <w:color w:val="000000"/>
                <w:sz w:val="18"/>
                <w:szCs w:val="18"/>
                <w:lang w:bidi="ar-SA"/>
              </w:rPr>
            </w:pPr>
          </w:p>
        </w:tc>
      </w:tr>
      <w:tr w:rsidR="00FD4D0C" w:rsidRPr="00131BA8" w14:paraId="7875D6DF" w14:textId="77777777" w:rsidTr="005B15BB">
        <w:trPr>
          <w:trHeight w:hRule="exact" w:val="173"/>
        </w:trPr>
        <w:tc>
          <w:tcPr>
            <w:tcW w:w="1440" w:type="dxa"/>
            <w:tcBorders>
              <w:top w:val="nil"/>
              <w:left w:val="nil"/>
              <w:bottom w:val="nil"/>
              <w:right w:val="nil"/>
            </w:tcBorders>
            <w:noWrap/>
            <w:vAlign w:val="bottom"/>
            <w:hideMark/>
          </w:tcPr>
          <w:p w14:paraId="01F4ED64" w14:textId="77777777" w:rsidR="00FD4D0C" w:rsidRPr="00131BA8" w:rsidRDefault="00FD4D0C" w:rsidP="005F1833">
            <w:pPr>
              <w:ind w:firstLine="0"/>
              <w:jc w:val="right"/>
              <w:rPr>
                <w:rFonts w:eastAsia="Times New Roman" w:cs="Times New Roman"/>
                <w:color w:val="000000"/>
                <w:sz w:val="18"/>
                <w:szCs w:val="18"/>
                <w:lang w:bidi="ar-SA"/>
              </w:rPr>
            </w:pPr>
            <w:r w:rsidRPr="00131BA8">
              <w:rPr>
                <w:rFonts w:eastAsia="Times New Roman" w:cs="Times New Roman"/>
                <w:color w:val="000000"/>
                <w:sz w:val="18"/>
                <w:szCs w:val="18"/>
                <w:lang w:bidi="ar-SA"/>
              </w:rPr>
              <w:t>28.0%</w:t>
            </w:r>
          </w:p>
        </w:tc>
        <w:tc>
          <w:tcPr>
            <w:tcW w:w="3062" w:type="dxa"/>
            <w:gridSpan w:val="2"/>
            <w:tcBorders>
              <w:top w:val="nil"/>
              <w:left w:val="nil"/>
              <w:bottom w:val="nil"/>
              <w:right w:val="nil"/>
            </w:tcBorders>
            <w:noWrap/>
            <w:vAlign w:val="bottom"/>
            <w:hideMark/>
          </w:tcPr>
          <w:p w14:paraId="2C43B77F" w14:textId="77777777" w:rsidR="00FD4D0C" w:rsidRPr="00131BA8" w:rsidRDefault="00FD4D0C" w:rsidP="005F1833">
            <w:pPr>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Debt-To-Income Ratio</w:t>
            </w:r>
          </w:p>
        </w:tc>
        <w:tc>
          <w:tcPr>
            <w:tcW w:w="1438" w:type="dxa"/>
            <w:tcBorders>
              <w:top w:val="nil"/>
              <w:left w:val="nil"/>
              <w:bottom w:val="nil"/>
              <w:right w:val="nil"/>
            </w:tcBorders>
            <w:noWrap/>
            <w:vAlign w:val="bottom"/>
            <w:hideMark/>
          </w:tcPr>
          <w:p w14:paraId="3CE35663" w14:textId="77777777" w:rsidR="00FD4D0C" w:rsidRPr="00131BA8" w:rsidRDefault="00FD4D0C" w:rsidP="005F1833">
            <w:pPr>
              <w:ind w:firstLine="0"/>
              <w:jc w:val="center"/>
              <w:rPr>
                <w:rFonts w:eastAsia="Times New Roman" w:cs="Times New Roman"/>
                <w:color w:val="000000"/>
                <w:sz w:val="18"/>
                <w:szCs w:val="18"/>
                <w:lang w:bidi="ar-SA"/>
              </w:rPr>
            </w:pPr>
          </w:p>
        </w:tc>
      </w:tr>
      <w:tr w:rsidR="00FD4D0C" w:rsidRPr="00131BA8" w14:paraId="6FC7E6F6" w14:textId="77777777" w:rsidTr="005B15BB">
        <w:trPr>
          <w:trHeight w:hRule="exact" w:val="173"/>
        </w:trPr>
        <w:tc>
          <w:tcPr>
            <w:tcW w:w="1440" w:type="dxa"/>
            <w:tcBorders>
              <w:top w:val="nil"/>
              <w:left w:val="nil"/>
              <w:bottom w:val="nil"/>
              <w:right w:val="nil"/>
            </w:tcBorders>
            <w:noWrap/>
            <w:vAlign w:val="bottom"/>
            <w:hideMark/>
          </w:tcPr>
          <w:p w14:paraId="5BC13115"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1,106.54 </w:t>
            </w:r>
          </w:p>
        </w:tc>
        <w:tc>
          <w:tcPr>
            <w:tcW w:w="3062" w:type="dxa"/>
            <w:gridSpan w:val="2"/>
            <w:tcBorders>
              <w:top w:val="nil"/>
              <w:left w:val="nil"/>
              <w:bottom w:val="nil"/>
              <w:right w:val="nil"/>
            </w:tcBorders>
            <w:noWrap/>
            <w:vAlign w:val="bottom"/>
            <w:hideMark/>
          </w:tcPr>
          <w:p w14:paraId="1D84C713" w14:textId="77777777" w:rsidR="00FD4D0C" w:rsidRPr="00131BA8" w:rsidRDefault="00FD4D0C" w:rsidP="005F1833">
            <w:pPr>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Monthly Payment</w:t>
            </w:r>
          </w:p>
        </w:tc>
        <w:tc>
          <w:tcPr>
            <w:tcW w:w="1438" w:type="dxa"/>
            <w:tcBorders>
              <w:top w:val="nil"/>
              <w:left w:val="nil"/>
              <w:bottom w:val="nil"/>
              <w:right w:val="nil"/>
            </w:tcBorders>
            <w:noWrap/>
            <w:vAlign w:val="bottom"/>
            <w:hideMark/>
          </w:tcPr>
          <w:p w14:paraId="09D5F295" w14:textId="77777777" w:rsidR="00FD4D0C" w:rsidRPr="00131BA8" w:rsidRDefault="00FD4D0C" w:rsidP="005F1833">
            <w:pPr>
              <w:ind w:firstLine="0"/>
              <w:jc w:val="center"/>
              <w:rPr>
                <w:rFonts w:eastAsia="Times New Roman" w:cs="Times New Roman"/>
                <w:color w:val="000000"/>
                <w:sz w:val="18"/>
                <w:szCs w:val="18"/>
                <w:lang w:bidi="ar-SA"/>
              </w:rPr>
            </w:pPr>
          </w:p>
        </w:tc>
      </w:tr>
      <w:tr w:rsidR="00FD4D0C" w:rsidRPr="00131BA8" w14:paraId="188558CA" w14:textId="77777777" w:rsidTr="00131E40">
        <w:trPr>
          <w:trHeight w:hRule="exact" w:val="173"/>
        </w:trPr>
        <w:tc>
          <w:tcPr>
            <w:tcW w:w="1440" w:type="dxa"/>
            <w:tcBorders>
              <w:top w:val="nil"/>
              <w:left w:val="nil"/>
              <w:bottom w:val="single" w:sz="4" w:space="0" w:color="auto"/>
              <w:right w:val="nil"/>
            </w:tcBorders>
            <w:noWrap/>
            <w:vAlign w:val="bottom"/>
            <w:hideMark/>
          </w:tcPr>
          <w:p w14:paraId="62F46B58" w14:textId="77777777" w:rsidR="00FD4D0C" w:rsidRPr="00131BA8" w:rsidRDefault="00FD4D0C" w:rsidP="005F1833">
            <w:pPr>
              <w:ind w:firstLine="0"/>
              <w:jc w:val="center"/>
              <w:rPr>
                <w:rFonts w:eastAsia="Times New Roman" w:cs="Times New Roman"/>
                <w:color w:val="000000"/>
                <w:sz w:val="18"/>
                <w:szCs w:val="18"/>
                <w:lang w:bidi="ar-SA"/>
              </w:rPr>
            </w:pPr>
          </w:p>
        </w:tc>
        <w:tc>
          <w:tcPr>
            <w:tcW w:w="1440" w:type="dxa"/>
            <w:tcBorders>
              <w:top w:val="nil"/>
              <w:left w:val="nil"/>
              <w:bottom w:val="single" w:sz="4" w:space="0" w:color="auto"/>
              <w:right w:val="nil"/>
            </w:tcBorders>
            <w:noWrap/>
            <w:vAlign w:val="bottom"/>
            <w:hideMark/>
          </w:tcPr>
          <w:p w14:paraId="55C6F219" w14:textId="77777777" w:rsidR="00FD4D0C" w:rsidRPr="00131BA8" w:rsidRDefault="00FD4D0C" w:rsidP="005F1833">
            <w:pPr>
              <w:ind w:firstLine="0"/>
              <w:jc w:val="center"/>
              <w:rPr>
                <w:rFonts w:eastAsia="Times New Roman" w:cs="Times New Roman"/>
                <w:color w:val="000000"/>
                <w:sz w:val="18"/>
                <w:szCs w:val="18"/>
                <w:lang w:bidi="ar-SA"/>
              </w:rPr>
            </w:pPr>
          </w:p>
        </w:tc>
        <w:tc>
          <w:tcPr>
            <w:tcW w:w="1622" w:type="dxa"/>
            <w:tcBorders>
              <w:top w:val="nil"/>
              <w:left w:val="nil"/>
              <w:bottom w:val="single" w:sz="4" w:space="0" w:color="auto"/>
              <w:right w:val="nil"/>
            </w:tcBorders>
            <w:noWrap/>
            <w:vAlign w:val="bottom"/>
            <w:hideMark/>
          </w:tcPr>
          <w:p w14:paraId="4C428ED6" w14:textId="77777777" w:rsidR="00FD4D0C" w:rsidRPr="00131BA8" w:rsidRDefault="00FD4D0C" w:rsidP="005F1833">
            <w:pPr>
              <w:ind w:firstLine="0"/>
              <w:jc w:val="center"/>
              <w:rPr>
                <w:rFonts w:eastAsia="Times New Roman" w:cs="Times New Roman"/>
                <w:color w:val="000000"/>
                <w:sz w:val="18"/>
                <w:szCs w:val="18"/>
                <w:lang w:bidi="ar-SA"/>
              </w:rPr>
            </w:pPr>
          </w:p>
        </w:tc>
        <w:tc>
          <w:tcPr>
            <w:tcW w:w="1438" w:type="dxa"/>
            <w:tcBorders>
              <w:top w:val="nil"/>
              <w:left w:val="nil"/>
              <w:bottom w:val="single" w:sz="4" w:space="0" w:color="auto"/>
              <w:right w:val="nil"/>
            </w:tcBorders>
            <w:noWrap/>
            <w:vAlign w:val="bottom"/>
            <w:hideMark/>
          </w:tcPr>
          <w:p w14:paraId="306E74D8" w14:textId="77777777" w:rsidR="00FD4D0C" w:rsidRPr="00131BA8" w:rsidRDefault="00FD4D0C" w:rsidP="005F1833">
            <w:pPr>
              <w:ind w:firstLine="0"/>
              <w:jc w:val="center"/>
              <w:rPr>
                <w:rFonts w:eastAsia="Times New Roman" w:cs="Times New Roman"/>
                <w:color w:val="000000"/>
                <w:sz w:val="18"/>
                <w:szCs w:val="18"/>
                <w:lang w:bidi="ar-SA"/>
              </w:rPr>
            </w:pPr>
          </w:p>
        </w:tc>
      </w:tr>
      <w:tr w:rsidR="00FD4D0C" w:rsidRPr="00131BA8" w14:paraId="0288258B" w14:textId="77777777" w:rsidTr="00131E40">
        <w:trPr>
          <w:trHeight w:hRule="exact" w:val="173"/>
        </w:trPr>
        <w:tc>
          <w:tcPr>
            <w:tcW w:w="1440" w:type="dxa"/>
            <w:tcBorders>
              <w:top w:val="single" w:sz="4" w:space="0" w:color="auto"/>
              <w:left w:val="nil"/>
              <w:bottom w:val="double" w:sz="6" w:space="0" w:color="auto"/>
              <w:right w:val="nil"/>
            </w:tcBorders>
            <w:noWrap/>
            <w:vAlign w:val="bottom"/>
            <w:hideMark/>
          </w:tcPr>
          <w:p w14:paraId="4EABFA73" w14:textId="77777777" w:rsidR="00FD4D0C" w:rsidRPr="00131BA8" w:rsidRDefault="00FD4D0C" w:rsidP="005F1833">
            <w:pPr>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Interest Rate</w:t>
            </w:r>
          </w:p>
        </w:tc>
        <w:tc>
          <w:tcPr>
            <w:tcW w:w="1440" w:type="dxa"/>
            <w:tcBorders>
              <w:top w:val="single" w:sz="4" w:space="0" w:color="auto"/>
              <w:left w:val="nil"/>
              <w:bottom w:val="double" w:sz="6" w:space="0" w:color="auto"/>
              <w:right w:val="nil"/>
            </w:tcBorders>
            <w:noWrap/>
            <w:vAlign w:val="bottom"/>
            <w:hideMark/>
          </w:tcPr>
          <w:p w14:paraId="36B3E90A" w14:textId="77777777" w:rsidR="00FD4D0C" w:rsidRPr="00131BA8" w:rsidRDefault="00FD4D0C" w:rsidP="005F1833">
            <w:pPr>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Loan Amount</w:t>
            </w:r>
          </w:p>
        </w:tc>
        <w:tc>
          <w:tcPr>
            <w:tcW w:w="1622" w:type="dxa"/>
            <w:tcBorders>
              <w:top w:val="single" w:sz="4" w:space="0" w:color="auto"/>
              <w:left w:val="nil"/>
              <w:bottom w:val="double" w:sz="6" w:space="0" w:color="auto"/>
              <w:right w:val="nil"/>
            </w:tcBorders>
            <w:noWrap/>
            <w:vAlign w:val="bottom"/>
            <w:hideMark/>
          </w:tcPr>
          <w:p w14:paraId="2F00079D" w14:textId="77777777" w:rsidR="00FD4D0C" w:rsidRPr="00131BA8" w:rsidRDefault="00FD4D0C" w:rsidP="005F1833">
            <w:pPr>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Value</w:t>
            </w:r>
          </w:p>
        </w:tc>
        <w:tc>
          <w:tcPr>
            <w:tcW w:w="1438" w:type="dxa"/>
            <w:tcBorders>
              <w:top w:val="single" w:sz="4" w:space="0" w:color="auto"/>
              <w:left w:val="nil"/>
              <w:bottom w:val="double" w:sz="6" w:space="0" w:color="auto"/>
              <w:right w:val="nil"/>
            </w:tcBorders>
            <w:noWrap/>
            <w:vAlign w:val="bottom"/>
            <w:hideMark/>
          </w:tcPr>
          <w:p w14:paraId="2F30E9DA" w14:textId="77777777" w:rsidR="00FD4D0C" w:rsidRPr="00131BA8" w:rsidRDefault="00FD4D0C" w:rsidP="005F1833">
            <w:pPr>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Value Change</w:t>
            </w:r>
          </w:p>
        </w:tc>
      </w:tr>
      <w:tr w:rsidR="00FD4D0C" w:rsidRPr="00131BA8" w14:paraId="55E0C962" w14:textId="77777777" w:rsidTr="00131E40">
        <w:trPr>
          <w:trHeight w:hRule="exact" w:val="288"/>
        </w:trPr>
        <w:tc>
          <w:tcPr>
            <w:tcW w:w="1440" w:type="dxa"/>
            <w:tcBorders>
              <w:top w:val="double" w:sz="6" w:space="0" w:color="auto"/>
              <w:left w:val="nil"/>
              <w:bottom w:val="nil"/>
              <w:right w:val="nil"/>
            </w:tcBorders>
            <w:noWrap/>
            <w:vAlign w:val="bottom"/>
            <w:hideMark/>
          </w:tcPr>
          <w:p w14:paraId="3C14F4B4"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4.5%</w:t>
            </w:r>
          </w:p>
        </w:tc>
        <w:tc>
          <w:tcPr>
            <w:tcW w:w="1440" w:type="dxa"/>
            <w:tcBorders>
              <w:top w:val="double" w:sz="6" w:space="0" w:color="auto"/>
              <w:left w:val="nil"/>
              <w:bottom w:val="nil"/>
              <w:right w:val="nil"/>
            </w:tcBorders>
            <w:noWrap/>
            <w:vAlign w:val="bottom"/>
            <w:hideMark/>
          </w:tcPr>
          <w:p w14:paraId="0AFC6182"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218,387 </w:t>
            </w:r>
          </w:p>
        </w:tc>
        <w:tc>
          <w:tcPr>
            <w:tcW w:w="1622" w:type="dxa"/>
            <w:tcBorders>
              <w:top w:val="double" w:sz="6" w:space="0" w:color="auto"/>
              <w:left w:val="nil"/>
              <w:bottom w:val="nil"/>
              <w:right w:val="nil"/>
            </w:tcBorders>
            <w:noWrap/>
            <w:vAlign w:val="bottom"/>
            <w:hideMark/>
          </w:tcPr>
          <w:p w14:paraId="0F35609E"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272,984 </w:t>
            </w:r>
          </w:p>
        </w:tc>
        <w:tc>
          <w:tcPr>
            <w:tcW w:w="1438" w:type="dxa"/>
            <w:tcBorders>
              <w:top w:val="double" w:sz="6" w:space="0" w:color="auto"/>
              <w:left w:val="nil"/>
              <w:bottom w:val="nil"/>
              <w:right w:val="nil"/>
            </w:tcBorders>
            <w:noWrap/>
            <w:vAlign w:val="bottom"/>
            <w:hideMark/>
          </w:tcPr>
          <w:p w14:paraId="0DC83D35"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145%</w:t>
            </w:r>
          </w:p>
        </w:tc>
      </w:tr>
      <w:tr w:rsidR="00FD4D0C" w:rsidRPr="00131BA8" w14:paraId="5E7E968D" w14:textId="77777777" w:rsidTr="005B15BB">
        <w:trPr>
          <w:trHeight w:hRule="exact" w:val="173"/>
        </w:trPr>
        <w:tc>
          <w:tcPr>
            <w:tcW w:w="1440" w:type="dxa"/>
            <w:tcBorders>
              <w:top w:val="nil"/>
              <w:left w:val="nil"/>
              <w:bottom w:val="nil"/>
              <w:right w:val="nil"/>
            </w:tcBorders>
            <w:noWrap/>
            <w:vAlign w:val="bottom"/>
            <w:hideMark/>
          </w:tcPr>
          <w:p w14:paraId="2B9A981C"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5.0%</w:t>
            </w:r>
          </w:p>
        </w:tc>
        <w:tc>
          <w:tcPr>
            <w:tcW w:w="1440" w:type="dxa"/>
            <w:tcBorders>
              <w:top w:val="nil"/>
              <w:left w:val="nil"/>
              <w:bottom w:val="nil"/>
              <w:right w:val="nil"/>
            </w:tcBorders>
            <w:noWrap/>
            <w:vAlign w:val="bottom"/>
            <w:hideMark/>
          </w:tcPr>
          <w:p w14:paraId="64CA260A"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206,127 </w:t>
            </w:r>
          </w:p>
        </w:tc>
        <w:tc>
          <w:tcPr>
            <w:tcW w:w="1622" w:type="dxa"/>
            <w:tcBorders>
              <w:top w:val="nil"/>
              <w:left w:val="nil"/>
              <w:bottom w:val="nil"/>
              <w:right w:val="nil"/>
            </w:tcBorders>
            <w:noWrap/>
            <w:vAlign w:val="bottom"/>
            <w:hideMark/>
          </w:tcPr>
          <w:p w14:paraId="3A222C7E"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257,659 </w:t>
            </w:r>
          </w:p>
        </w:tc>
        <w:tc>
          <w:tcPr>
            <w:tcW w:w="1438" w:type="dxa"/>
            <w:tcBorders>
              <w:top w:val="nil"/>
              <w:left w:val="nil"/>
              <w:bottom w:val="nil"/>
              <w:right w:val="nil"/>
            </w:tcBorders>
            <w:noWrap/>
            <w:vAlign w:val="bottom"/>
            <w:hideMark/>
          </w:tcPr>
          <w:p w14:paraId="4C11B5F7"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137%</w:t>
            </w:r>
          </w:p>
        </w:tc>
      </w:tr>
      <w:tr w:rsidR="00FD4D0C" w:rsidRPr="00131BA8" w14:paraId="6B86032D" w14:textId="77777777" w:rsidTr="005B15BB">
        <w:trPr>
          <w:trHeight w:hRule="exact" w:val="173"/>
        </w:trPr>
        <w:tc>
          <w:tcPr>
            <w:tcW w:w="1440" w:type="dxa"/>
            <w:tcBorders>
              <w:top w:val="nil"/>
              <w:left w:val="nil"/>
              <w:bottom w:val="nil"/>
              <w:right w:val="nil"/>
            </w:tcBorders>
            <w:noWrap/>
            <w:vAlign w:val="bottom"/>
            <w:hideMark/>
          </w:tcPr>
          <w:p w14:paraId="3962868D"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5.5%</w:t>
            </w:r>
          </w:p>
        </w:tc>
        <w:tc>
          <w:tcPr>
            <w:tcW w:w="1440" w:type="dxa"/>
            <w:tcBorders>
              <w:top w:val="nil"/>
              <w:left w:val="nil"/>
              <w:bottom w:val="nil"/>
              <w:right w:val="nil"/>
            </w:tcBorders>
            <w:noWrap/>
            <w:vAlign w:val="bottom"/>
            <w:hideMark/>
          </w:tcPr>
          <w:p w14:paraId="13D09535"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194,885 </w:t>
            </w:r>
          </w:p>
        </w:tc>
        <w:tc>
          <w:tcPr>
            <w:tcW w:w="1622" w:type="dxa"/>
            <w:tcBorders>
              <w:top w:val="nil"/>
              <w:left w:val="nil"/>
              <w:bottom w:val="nil"/>
              <w:right w:val="nil"/>
            </w:tcBorders>
            <w:noWrap/>
            <w:vAlign w:val="bottom"/>
            <w:hideMark/>
          </w:tcPr>
          <w:p w14:paraId="43F8DEC1"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243,606 </w:t>
            </w:r>
          </w:p>
        </w:tc>
        <w:tc>
          <w:tcPr>
            <w:tcW w:w="1438" w:type="dxa"/>
            <w:tcBorders>
              <w:top w:val="nil"/>
              <w:left w:val="nil"/>
              <w:bottom w:val="nil"/>
              <w:right w:val="nil"/>
            </w:tcBorders>
            <w:noWrap/>
            <w:vAlign w:val="bottom"/>
            <w:hideMark/>
          </w:tcPr>
          <w:p w14:paraId="3D867D69"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129%</w:t>
            </w:r>
          </w:p>
        </w:tc>
      </w:tr>
      <w:tr w:rsidR="00FD4D0C" w:rsidRPr="00131BA8" w14:paraId="7150B70F" w14:textId="77777777" w:rsidTr="005B15BB">
        <w:trPr>
          <w:trHeight w:hRule="exact" w:val="173"/>
        </w:trPr>
        <w:tc>
          <w:tcPr>
            <w:tcW w:w="1440" w:type="dxa"/>
            <w:tcBorders>
              <w:top w:val="nil"/>
              <w:left w:val="nil"/>
              <w:bottom w:val="nil"/>
              <w:right w:val="nil"/>
            </w:tcBorders>
            <w:shd w:val="clear" w:color="000000" w:fill="D8D8D8"/>
            <w:noWrap/>
            <w:vAlign w:val="bottom"/>
            <w:hideMark/>
          </w:tcPr>
          <w:p w14:paraId="0F34D3FB"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6.0%</w:t>
            </w:r>
          </w:p>
        </w:tc>
        <w:tc>
          <w:tcPr>
            <w:tcW w:w="1440" w:type="dxa"/>
            <w:tcBorders>
              <w:top w:val="nil"/>
              <w:left w:val="nil"/>
              <w:bottom w:val="nil"/>
              <w:right w:val="nil"/>
            </w:tcBorders>
            <w:shd w:val="clear" w:color="000000" w:fill="D8D8D8"/>
            <w:noWrap/>
            <w:vAlign w:val="bottom"/>
            <w:hideMark/>
          </w:tcPr>
          <w:p w14:paraId="78B4F69B"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184,561 </w:t>
            </w:r>
          </w:p>
        </w:tc>
        <w:tc>
          <w:tcPr>
            <w:tcW w:w="1622" w:type="dxa"/>
            <w:tcBorders>
              <w:top w:val="nil"/>
              <w:left w:val="nil"/>
              <w:bottom w:val="nil"/>
              <w:right w:val="nil"/>
            </w:tcBorders>
            <w:shd w:val="clear" w:color="000000" w:fill="D8D8D8"/>
            <w:noWrap/>
            <w:vAlign w:val="bottom"/>
            <w:hideMark/>
          </w:tcPr>
          <w:p w14:paraId="5165A1E0"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230,701 </w:t>
            </w:r>
          </w:p>
        </w:tc>
        <w:tc>
          <w:tcPr>
            <w:tcW w:w="1438" w:type="dxa"/>
            <w:tcBorders>
              <w:top w:val="nil"/>
              <w:left w:val="nil"/>
              <w:bottom w:val="nil"/>
              <w:right w:val="nil"/>
            </w:tcBorders>
            <w:shd w:val="clear" w:color="000000" w:fill="D8D8D8"/>
            <w:noWrap/>
            <w:vAlign w:val="bottom"/>
            <w:hideMark/>
          </w:tcPr>
          <w:p w14:paraId="42FFFB19"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122%</w:t>
            </w:r>
          </w:p>
        </w:tc>
      </w:tr>
      <w:tr w:rsidR="00FD4D0C" w:rsidRPr="00131BA8" w14:paraId="47C9DCBE" w14:textId="77777777" w:rsidTr="005B15BB">
        <w:trPr>
          <w:trHeight w:hRule="exact" w:val="173"/>
        </w:trPr>
        <w:tc>
          <w:tcPr>
            <w:tcW w:w="1440" w:type="dxa"/>
            <w:tcBorders>
              <w:top w:val="nil"/>
              <w:left w:val="nil"/>
              <w:bottom w:val="nil"/>
              <w:right w:val="nil"/>
            </w:tcBorders>
            <w:noWrap/>
            <w:vAlign w:val="bottom"/>
            <w:hideMark/>
          </w:tcPr>
          <w:p w14:paraId="408BB781"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6.4%</w:t>
            </w:r>
          </w:p>
        </w:tc>
        <w:tc>
          <w:tcPr>
            <w:tcW w:w="1440" w:type="dxa"/>
            <w:tcBorders>
              <w:top w:val="nil"/>
              <w:left w:val="nil"/>
              <w:bottom w:val="nil"/>
              <w:right w:val="nil"/>
            </w:tcBorders>
            <w:noWrap/>
            <w:vAlign w:val="bottom"/>
            <w:hideMark/>
          </w:tcPr>
          <w:p w14:paraId="4B0BAFD9"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177,046 </w:t>
            </w:r>
          </w:p>
        </w:tc>
        <w:tc>
          <w:tcPr>
            <w:tcW w:w="1622" w:type="dxa"/>
            <w:tcBorders>
              <w:top w:val="nil"/>
              <w:left w:val="nil"/>
              <w:bottom w:val="nil"/>
              <w:right w:val="nil"/>
            </w:tcBorders>
            <w:noWrap/>
            <w:vAlign w:val="bottom"/>
            <w:hideMark/>
          </w:tcPr>
          <w:p w14:paraId="1A65E576"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221,307 </w:t>
            </w:r>
          </w:p>
        </w:tc>
        <w:tc>
          <w:tcPr>
            <w:tcW w:w="1438" w:type="dxa"/>
            <w:tcBorders>
              <w:top w:val="nil"/>
              <w:left w:val="nil"/>
              <w:bottom w:val="nil"/>
              <w:right w:val="nil"/>
            </w:tcBorders>
            <w:noWrap/>
            <w:vAlign w:val="bottom"/>
            <w:hideMark/>
          </w:tcPr>
          <w:p w14:paraId="52209A3C"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117%</w:t>
            </w:r>
          </w:p>
        </w:tc>
      </w:tr>
      <w:tr w:rsidR="00FD4D0C" w:rsidRPr="00131BA8" w14:paraId="10E5FA0E" w14:textId="77777777" w:rsidTr="005B15BB">
        <w:trPr>
          <w:trHeight w:hRule="exact" w:val="173"/>
        </w:trPr>
        <w:tc>
          <w:tcPr>
            <w:tcW w:w="1440" w:type="dxa"/>
            <w:tcBorders>
              <w:top w:val="nil"/>
              <w:left w:val="nil"/>
              <w:bottom w:val="nil"/>
              <w:right w:val="nil"/>
            </w:tcBorders>
            <w:noWrap/>
            <w:vAlign w:val="bottom"/>
            <w:hideMark/>
          </w:tcPr>
          <w:p w14:paraId="262642E9"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7.0%</w:t>
            </w:r>
          </w:p>
        </w:tc>
        <w:tc>
          <w:tcPr>
            <w:tcW w:w="1440" w:type="dxa"/>
            <w:tcBorders>
              <w:top w:val="nil"/>
              <w:left w:val="nil"/>
              <w:bottom w:val="nil"/>
              <w:right w:val="nil"/>
            </w:tcBorders>
            <w:noWrap/>
            <w:vAlign w:val="bottom"/>
            <w:hideMark/>
          </w:tcPr>
          <w:p w14:paraId="24E1AEFA"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166,321 </w:t>
            </w:r>
          </w:p>
        </w:tc>
        <w:tc>
          <w:tcPr>
            <w:tcW w:w="1622" w:type="dxa"/>
            <w:tcBorders>
              <w:top w:val="nil"/>
              <w:left w:val="nil"/>
              <w:bottom w:val="nil"/>
              <w:right w:val="nil"/>
            </w:tcBorders>
            <w:noWrap/>
            <w:vAlign w:val="bottom"/>
            <w:hideMark/>
          </w:tcPr>
          <w:p w14:paraId="0102677E"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207,901 </w:t>
            </w:r>
          </w:p>
        </w:tc>
        <w:tc>
          <w:tcPr>
            <w:tcW w:w="1438" w:type="dxa"/>
            <w:tcBorders>
              <w:top w:val="nil"/>
              <w:left w:val="nil"/>
              <w:bottom w:val="nil"/>
              <w:right w:val="nil"/>
            </w:tcBorders>
            <w:noWrap/>
            <w:vAlign w:val="bottom"/>
            <w:hideMark/>
          </w:tcPr>
          <w:p w14:paraId="544908DD"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110%</w:t>
            </w:r>
          </w:p>
        </w:tc>
      </w:tr>
      <w:tr w:rsidR="00FD4D0C" w:rsidRPr="00131BA8" w14:paraId="18DB17B8" w14:textId="77777777" w:rsidTr="005B15BB">
        <w:trPr>
          <w:trHeight w:hRule="exact" w:val="173"/>
        </w:trPr>
        <w:tc>
          <w:tcPr>
            <w:tcW w:w="1440" w:type="dxa"/>
            <w:tcBorders>
              <w:top w:val="nil"/>
              <w:left w:val="nil"/>
              <w:bottom w:val="nil"/>
              <w:right w:val="nil"/>
            </w:tcBorders>
            <w:noWrap/>
            <w:vAlign w:val="bottom"/>
            <w:hideMark/>
          </w:tcPr>
          <w:p w14:paraId="61B69C03"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7.5%</w:t>
            </w:r>
          </w:p>
        </w:tc>
        <w:tc>
          <w:tcPr>
            <w:tcW w:w="1440" w:type="dxa"/>
            <w:tcBorders>
              <w:top w:val="nil"/>
              <w:left w:val="nil"/>
              <w:bottom w:val="nil"/>
              <w:right w:val="nil"/>
            </w:tcBorders>
            <w:noWrap/>
            <w:vAlign w:val="bottom"/>
            <w:hideMark/>
          </w:tcPr>
          <w:p w14:paraId="358C1062"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158,254 </w:t>
            </w:r>
          </w:p>
        </w:tc>
        <w:tc>
          <w:tcPr>
            <w:tcW w:w="1622" w:type="dxa"/>
            <w:tcBorders>
              <w:top w:val="nil"/>
              <w:left w:val="nil"/>
              <w:bottom w:val="nil"/>
              <w:right w:val="nil"/>
            </w:tcBorders>
            <w:noWrap/>
            <w:vAlign w:val="bottom"/>
            <w:hideMark/>
          </w:tcPr>
          <w:p w14:paraId="595D4BA7"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197,818 </w:t>
            </w:r>
          </w:p>
        </w:tc>
        <w:tc>
          <w:tcPr>
            <w:tcW w:w="1438" w:type="dxa"/>
            <w:tcBorders>
              <w:top w:val="nil"/>
              <w:left w:val="nil"/>
              <w:bottom w:val="nil"/>
              <w:right w:val="nil"/>
            </w:tcBorders>
            <w:noWrap/>
            <w:vAlign w:val="bottom"/>
            <w:hideMark/>
          </w:tcPr>
          <w:p w14:paraId="6B2C2D84"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105%</w:t>
            </w:r>
          </w:p>
        </w:tc>
      </w:tr>
      <w:tr w:rsidR="00FD4D0C" w:rsidRPr="00131BA8" w14:paraId="620EF031" w14:textId="77777777" w:rsidTr="005B15BB">
        <w:trPr>
          <w:trHeight w:hRule="exact" w:val="173"/>
        </w:trPr>
        <w:tc>
          <w:tcPr>
            <w:tcW w:w="1440" w:type="dxa"/>
            <w:tcBorders>
              <w:top w:val="nil"/>
              <w:left w:val="nil"/>
              <w:bottom w:val="nil"/>
              <w:right w:val="nil"/>
            </w:tcBorders>
            <w:shd w:val="clear" w:color="000000" w:fill="D8D8D8"/>
            <w:noWrap/>
            <w:vAlign w:val="bottom"/>
            <w:hideMark/>
          </w:tcPr>
          <w:p w14:paraId="28299D93"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8.0%</w:t>
            </w:r>
          </w:p>
        </w:tc>
        <w:tc>
          <w:tcPr>
            <w:tcW w:w="1440" w:type="dxa"/>
            <w:tcBorders>
              <w:top w:val="nil"/>
              <w:left w:val="nil"/>
              <w:bottom w:val="nil"/>
              <w:right w:val="nil"/>
            </w:tcBorders>
            <w:shd w:val="clear" w:color="000000" w:fill="D8D8D8"/>
            <w:noWrap/>
            <w:vAlign w:val="bottom"/>
            <w:hideMark/>
          </w:tcPr>
          <w:p w14:paraId="5F8EDEED"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150,803 </w:t>
            </w:r>
          </w:p>
        </w:tc>
        <w:tc>
          <w:tcPr>
            <w:tcW w:w="1622" w:type="dxa"/>
            <w:tcBorders>
              <w:top w:val="nil"/>
              <w:left w:val="nil"/>
              <w:bottom w:val="nil"/>
              <w:right w:val="nil"/>
            </w:tcBorders>
            <w:shd w:val="clear" w:color="000000" w:fill="D8D8D8"/>
            <w:noWrap/>
            <w:vAlign w:val="bottom"/>
            <w:hideMark/>
          </w:tcPr>
          <w:p w14:paraId="070B11BA"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188,503 </w:t>
            </w:r>
          </w:p>
        </w:tc>
        <w:tc>
          <w:tcPr>
            <w:tcW w:w="1438" w:type="dxa"/>
            <w:tcBorders>
              <w:top w:val="nil"/>
              <w:left w:val="nil"/>
              <w:bottom w:val="nil"/>
              <w:right w:val="nil"/>
            </w:tcBorders>
            <w:shd w:val="clear" w:color="000000" w:fill="D8D8D8"/>
            <w:noWrap/>
            <w:vAlign w:val="bottom"/>
            <w:hideMark/>
          </w:tcPr>
          <w:p w14:paraId="4EB3C810"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100%</w:t>
            </w:r>
          </w:p>
        </w:tc>
      </w:tr>
      <w:tr w:rsidR="00FD4D0C" w:rsidRPr="00131BA8" w14:paraId="1D9943D6" w14:textId="77777777" w:rsidTr="005B15BB">
        <w:trPr>
          <w:trHeight w:hRule="exact" w:val="173"/>
        </w:trPr>
        <w:tc>
          <w:tcPr>
            <w:tcW w:w="1440" w:type="dxa"/>
            <w:tcBorders>
              <w:top w:val="nil"/>
              <w:left w:val="nil"/>
              <w:bottom w:val="nil"/>
              <w:right w:val="nil"/>
            </w:tcBorders>
            <w:noWrap/>
            <w:vAlign w:val="bottom"/>
            <w:hideMark/>
          </w:tcPr>
          <w:p w14:paraId="72217498"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8.5%</w:t>
            </w:r>
          </w:p>
        </w:tc>
        <w:tc>
          <w:tcPr>
            <w:tcW w:w="1440" w:type="dxa"/>
            <w:tcBorders>
              <w:top w:val="nil"/>
              <w:left w:val="nil"/>
              <w:bottom w:val="nil"/>
              <w:right w:val="nil"/>
            </w:tcBorders>
            <w:noWrap/>
            <w:vAlign w:val="bottom"/>
            <w:hideMark/>
          </w:tcPr>
          <w:p w14:paraId="0882E189"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143,909 </w:t>
            </w:r>
          </w:p>
        </w:tc>
        <w:tc>
          <w:tcPr>
            <w:tcW w:w="1622" w:type="dxa"/>
            <w:tcBorders>
              <w:top w:val="nil"/>
              <w:left w:val="nil"/>
              <w:bottom w:val="nil"/>
              <w:right w:val="nil"/>
            </w:tcBorders>
            <w:noWrap/>
            <w:vAlign w:val="bottom"/>
            <w:hideMark/>
          </w:tcPr>
          <w:p w14:paraId="2012F10E"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179,886 </w:t>
            </w:r>
          </w:p>
        </w:tc>
        <w:tc>
          <w:tcPr>
            <w:tcW w:w="1438" w:type="dxa"/>
            <w:tcBorders>
              <w:top w:val="nil"/>
              <w:left w:val="nil"/>
              <w:bottom w:val="nil"/>
              <w:right w:val="nil"/>
            </w:tcBorders>
            <w:noWrap/>
            <w:vAlign w:val="bottom"/>
            <w:hideMark/>
          </w:tcPr>
          <w:p w14:paraId="11B666FA"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95%</w:t>
            </w:r>
          </w:p>
        </w:tc>
      </w:tr>
      <w:tr w:rsidR="00FD4D0C" w:rsidRPr="00131BA8" w14:paraId="66B922F4" w14:textId="77777777" w:rsidTr="005B15BB">
        <w:trPr>
          <w:trHeight w:hRule="exact" w:val="173"/>
        </w:trPr>
        <w:tc>
          <w:tcPr>
            <w:tcW w:w="1440" w:type="dxa"/>
            <w:tcBorders>
              <w:top w:val="nil"/>
              <w:left w:val="nil"/>
              <w:bottom w:val="nil"/>
              <w:right w:val="nil"/>
            </w:tcBorders>
            <w:noWrap/>
            <w:vAlign w:val="bottom"/>
            <w:hideMark/>
          </w:tcPr>
          <w:p w14:paraId="1BCC395E"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9.0%</w:t>
            </w:r>
          </w:p>
        </w:tc>
        <w:tc>
          <w:tcPr>
            <w:tcW w:w="1440" w:type="dxa"/>
            <w:tcBorders>
              <w:top w:val="nil"/>
              <w:left w:val="nil"/>
              <w:bottom w:val="nil"/>
              <w:right w:val="nil"/>
            </w:tcBorders>
            <w:noWrap/>
            <w:vAlign w:val="bottom"/>
            <w:hideMark/>
          </w:tcPr>
          <w:p w14:paraId="04C18FB6"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137,522 </w:t>
            </w:r>
          </w:p>
        </w:tc>
        <w:tc>
          <w:tcPr>
            <w:tcW w:w="1622" w:type="dxa"/>
            <w:tcBorders>
              <w:top w:val="nil"/>
              <w:left w:val="nil"/>
              <w:bottom w:val="nil"/>
              <w:right w:val="nil"/>
            </w:tcBorders>
            <w:noWrap/>
            <w:vAlign w:val="bottom"/>
            <w:hideMark/>
          </w:tcPr>
          <w:p w14:paraId="10B2F450"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171,903 </w:t>
            </w:r>
          </w:p>
        </w:tc>
        <w:tc>
          <w:tcPr>
            <w:tcW w:w="1438" w:type="dxa"/>
            <w:tcBorders>
              <w:top w:val="nil"/>
              <w:left w:val="nil"/>
              <w:bottom w:val="nil"/>
              <w:right w:val="nil"/>
            </w:tcBorders>
            <w:noWrap/>
            <w:vAlign w:val="bottom"/>
            <w:hideMark/>
          </w:tcPr>
          <w:p w14:paraId="3C536792"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91%</w:t>
            </w:r>
          </w:p>
        </w:tc>
      </w:tr>
      <w:tr w:rsidR="00FD4D0C" w:rsidRPr="00131BA8" w14:paraId="46EF10F4" w14:textId="77777777" w:rsidTr="005B15BB">
        <w:trPr>
          <w:trHeight w:hRule="exact" w:val="173"/>
        </w:trPr>
        <w:tc>
          <w:tcPr>
            <w:tcW w:w="1440" w:type="dxa"/>
            <w:tcBorders>
              <w:top w:val="nil"/>
              <w:left w:val="nil"/>
              <w:bottom w:val="nil"/>
              <w:right w:val="nil"/>
            </w:tcBorders>
            <w:noWrap/>
            <w:vAlign w:val="bottom"/>
            <w:hideMark/>
          </w:tcPr>
          <w:p w14:paraId="677EDF74"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9.5%</w:t>
            </w:r>
          </w:p>
        </w:tc>
        <w:tc>
          <w:tcPr>
            <w:tcW w:w="1440" w:type="dxa"/>
            <w:tcBorders>
              <w:top w:val="nil"/>
              <w:left w:val="nil"/>
              <w:bottom w:val="nil"/>
              <w:right w:val="nil"/>
            </w:tcBorders>
            <w:noWrap/>
            <w:vAlign w:val="bottom"/>
            <w:hideMark/>
          </w:tcPr>
          <w:p w14:paraId="094F45CD"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131,597 </w:t>
            </w:r>
          </w:p>
        </w:tc>
        <w:tc>
          <w:tcPr>
            <w:tcW w:w="1622" w:type="dxa"/>
            <w:tcBorders>
              <w:top w:val="nil"/>
              <w:left w:val="nil"/>
              <w:bottom w:val="nil"/>
              <w:right w:val="nil"/>
            </w:tcBorders>
            <w:noWrap/>
            <w:vAlign w:val="bottom"/>
            <w:hideMark/>
          </w:tcPr>
          <w:p w14:paraId="41358916"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164,496 </w:t>
            </w:r>
          </w:p>
        </w:tc>
        <w:tc>
          <w:tcPr>
            <w:tcW w:w="1438" w:type="dxa"/>
            <w:tcBorders>
              <w:top w:val="nil"/>
              <w:left w:val="nil"/>
              <w:bottom w:val="nil"/>
              <w:right w:val="nil"/>
            </w:tcBorders>
            <w:noWrap/>
            <w:vAlign w:val="bottom"/>
            <w:hideMark/>
          </w:tcPr>
          <w:p w14:paraId="3DD8F300"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87%</w:t>
            </w:r>
          </w:p>
        </w:tc>
      </w:tr>
      <w:tr w:rsidR="00FD4D0C" w:rsidRPr="00131BA8" w14:paraId="194DD7F6" w14:textId="77777777" w:rsidTr="005B15BB">
        <w:trPr>
          <w:trHeight w:hRule="exact" w:val="173"/>
        </w:trPr>
        <w:tc>
          <w:tcPr>
            <w:tcW w:w="1440" w:type="dxa"/>
            <w:tcBorders>
              <w:top w:val="nil"/>
              <w:left w:val="nil"/>
              <w:bottom w:val="nil"/>
              <w:right w:val="nil"/>
            </w:tcBorders>
            <w:noWrap/>
            <w:vAlign w:val="bottom"/>
            <w:hideMark/>
          </w:tcPr>
          <w:p w14:paraId="5C6A4531"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10.0%</w:t>
            </w:r>
          </w:p>
        </w:tc>
        <w:tc>
          <w:tcPr>
            <w:tcW w:w="1440" w:type="dxa"/>
            <w:tcBorders>
              <w:top w:val="nil"/>
              <w:left w:val="nil"/>
              <w:bottom w:val="nil"/>
              <w:right w:val="nil"/>
            </w:tcBorders>
            <w:noWrap/>
            <w:vAlign w:val="bottom"/>
            <w:hideMark/>
          </w:tcPr>
          <w:p w14:paraId="73ED5FDC"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126,091 </w:t>
            </w:r>
          </w:p>
        </w:tc>
        <w:tc>
          <w:tcPr>
            <w:tcW w:w="1622" w:type="dxa"/>
            <w:tcBorders>
              <w:top w:val="nil"/>
              <w:left w:val="nil"/>
              <w:bottom w:val="nil"/>
              <w:right w:val="nil"/>
            </w:tcBorders>
            <w:noWrap/>
            <w:vAlign w:val="bottom"/>
            <w:hideMark/>
          </w:tcPr>
          <w:p w14:paraId="74836CCF"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157,613 </w:t>
            </w:r>
          </w:p>
        </w:tc>
        <w:tc>
          <w:tcPr>
            <w:tcW w:w="1438" w:type="dxa"/>
            <w:tcBorders>
              <w:top w:val="nil"/>
              <w:left w:val="nil"/>
              <w:bottom w:val="nil"/>
              <w:right w:val="nil"/>
            </w:tcBorders>
            <w:noWrap/>
            <w:vAlign w:val="bottom"/>
            <w:hideMark/>
          </w:tcPr>
          <w:p w14:paraId="70F244FF" w14:textId="77777777" w:rsidR="00FD4D0C" w:rsidRPr="00131BA8" w:rsidRDefault="00FD4D0C" w:rsidP="005F1833">
            <w:pPr>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84%</w:t>
            </w:r>
          </w:p>
        </w:tc>
      </w:tr>
      <w:tr w:rsidR="00FD4D0C" w:rsidRPr="00131BA8" w14:paraId="167E4E1C" w14:textId="77777777" w:rsidTr="005B15BB">
        <w:trPr>
          <w:trHeight w:hRule="exact" w:val="432"/>
        </w:trPr>
        <w:tc>
          <w:tcPr>
            <w:tcW w:w="5940" w:type="dxa"/>
            <w:gridSpan w:val="4"/>
            <w:tcBorders>
              <w:top w:val="nil"/>
              <w:left w:val="nil"/>
              <w:bottom w:val="nil"/>
              <w:right w:val="nil"/>
            </w:tcBorders>
            <w:vAlign w:val="bottom"/>
            <w:hideMark/>
          </w:tcPr>
          <w:p w14:paraId="5A62AC71" w14:textId="77777777" w:rsidR="00FD4D0C" w:rsidRPr="00131BA8" w:rsidRDefault="00FD4D0C" w:rsidP="00BA74F6">
            <w:pPr>
              <w:spacing w:after="240"/>
              <w:ind w:firstLine="0"/>
              <w:rPr>
                <w:rFonts w:eastAsia="Times New Roman" w:cs="Times New Roman"/>
                <w:i/>
                <w:iCs/>
                <w:color w:val="000000"/>
                <w:sz w:val="18"/>
                <w:szCs w:val="18"/>
                <w:lang w:bidi="ar-SA"/>
              </w:rPr>
            </w:pPr>
            <w:r w:rsidRPr="00131BA8">
              <w:rPr>
                <w:rFonts w:eastAsia="Times New Roman" w:cs="Times New Roman"/>
                <w:i/>
                <w:iCs/>
                <w:color w:val="000000"/>
                <w:sz w:val="18"/>
                <w:szCs w:val="18"/>
                <w:lang w:bidi="ar-SA"/>
              </w:rPr>
              <w:t xml:space="preserve">Note: The decline in interest rates from 8.05% to 5.83% explains </w:t>
            </w:r>
            <w:r w:rsidR="00BA74F6" w:rsidRPr="00131BA8">
              <w:rPr>
                <w:rFonts w:eastAsia="Times New Roman" w:cs="Times New Roman"/>
                <w:i/>
                <w:iCs/>
                <w:color w:val="000000"/>
                <w:sz w:val="18"/>
                <w:szCs w:val="18"/>
                <w:lang w:bidi="ar-SA"/>
              </w:rPr>
              <w:t>about half</w:t>
            </w:r>
            <w:r w:rsidRPr="00131BA8">
              <w:rPr>
                <w:rFonts w:eastAsia="Times New Roman" w:cs="Times New Roman"/>
                <w:i/>
                <w:iCs/>
                <w:color w:val="000000"/>
                <w:sz w:val="18"/>
                <w:szCs w:val="18"/>
                <w:lang w:bidi="ar-SA"/>
              </w:rPr>
              <w:t xml:space="preserve"> of the national bubble.</w:t>
            </w:r>
          </w:p>
        </w:tc>
      </w:tr>
    </w:tbl>
    <w:p w14:paraId="06874099" w14:textId="77777777" w:rsidR="00534962" w:rsidRPr="00124B71" w:rsidRDefault="00534962" w:rsidP="00A55CE3">
      <w:pPr>
        <w:rPr>
          <w:rFonts w:cs="Times New Roman"/>
        </w:rPr>
      </w:pPr>
    </w:p>
    <w:p w14:paraId="0DC5D872" w14:textId="77777777" w:rsidR="0052722E" w:rsidRPr="00124B71" w:rsidRDefault="003B7D73" w:rsidP="00A55CE3">
      <w:pPr>
        <w:rPr>
          <w:rFonts w:cs="Times New Roman"/>
        </w:rPr>
      </w:pPr>
      <w:r w:rsidRPr="00124B71">
        <w:rPr>
          <w:rFonts w:cs="Times New Roman"/>
        </w:rPr>
        <w:lastRenderedPageBreak/>
        <w:t xml:space="preserve">Nationally, prices during the bubble rally increased by </w:t>
      </w:r>
      <w:r w:rsidR="00E3041C" w:rsidRPr="00124B71">
        <w:rPr>
          <w:rFonts w:cs="Times New Roman"/>
        </w:rPr>
        <w:t>45</w:t>
      </w:r>
      <w:r w:rsidRPr="00124B71">
        <w:rPr>
          <w:rFonts w:cs="Times New Roman"/>
        </w:rPr>
        <w:t>%</w:t>
      </w:r>
      <w:r w:rsidR="00186DEB" w:rsidRPr="00124B71">
        <w:rPr>
          <w:rFonts w:cs="Times New Roman"/>
        </w:rPr>
        <w:t xml:space="preserve">. About </w:t>
      </w:r>
      <w:r w:rsidR="00E3041C" w:rsidRPr="00124B71">
        <w:rPr>
          <w:rFonts w:cs="Times New Roman"/>
        </w:rPr>
        <w:t>half</w:t>
      </w:r>
      <w:r w:rsidR="00186DEB" w:rsidRPr="00124B71">
        <w:rPr>
          <w:rFonts w:cs="Times New Roman"/>
        </w:rPr>
        <w:t xml:space="preserve"> of this increase was</w:t>
      </w:r>
      <w:r w:rsidRPr="00124B71">
        <w:rPr>
          <w:rFonts w:cs="Times New Roman"/>
        </w:rPr>
        <w:t xml:space="preserve"> due to lower interest rates. However, in the </w:t>
      </w:r>
      <w:r w:rsidR="00186DEB" w:rsidRPr="00124B71">
        <w:rPr>
          <w:rFonts w:cs="Times New Roman"/>
        </w:rPr>
        <w:t>markets most prone to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00186DEB" w:rsidRPr="00124B71">
        <w:rPr>
          <w:rFonts w:cs="Times New Roman"/>
        </w:rPr>
        <w:t>, prices increased much more than the change in interest rates can ex</w:t>
      </w:r>
      <w:r w:rsidR="006457E9">
        <w:rPr>
          <w:rFonts w:cs="Times New Roman"/>
        </w:rPr>
        <w:t>plain. These markets also saw a large increase</w:t>
      </w:r>
      <w:r w:rsidR="00186DEB" w:rsidRPr="00124B71">
        <w:rPr>
          <w:rFonts w:cs="Times New Roman"/>
        </w:rPr>
        <w:t xml:space="preserve"> in the use of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00186DEB" w:rsidRPr="00124B71">
        <w:rPr>
          <w:rFonts w:cs="Times New Roman"/>
        </w:rPr>
        <w:t xml:space="preserve"> and major increases in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186DEB" w:rsidRPr="00124B71">
        <w:rPr>
          <w:rFonts w:cs="Times New Roman"/>
        </w:rPr>
        <w:t xml:space="preserve"> ratios utilized by many borrowers. </w:t>
      </w:r>
      <w:r w:rsidRPr="00124B71">
        <w:rPr>
          <w:rFonts w:cs="Times New Roman"/>
        </w:rPr>
        <w:t>For example, the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00985D4E" w:rsidRPr="00124B71">
        <w:rPr>
          <w:rFonts w:cs="Times New Roman"/>
        </w:rPr>
        <w:t xml:space="preserve"> household</w:t>
      </w:r>
      <w:r w:rsidRPr="00124B71">
        <w:rPr>
          <w:rFonts w:cs="Times New Roman"/>
        </w:rPr>
        <w:t xml:space="preserve"> income in Irvine in 2006 was $83,891. Applying a 28% DTI</w:t>
      </w:r>
      <w:r w:rsidR="001858B5">
        <w:rPr>
          <w:rFonts w:cs="Times New Roman"/>
        </w:rPr>
        <w:fldChar w:fldCharType="begin"/>
      </w:r>
      <w:r w:rsidR="003247C5">
        <w:instrText xml:space="preserve"> XE "</w:instrText>
      </w:r>
      <w:r w:rsidR="003247C5" w:rsidRPr="00DB5C51">
        <w:rPr>
          <w:rFonts w:cs="Times New Roman"/>
        </w:rPr>
        <w:instrText>DTI</w:instrText>
      </w:r>
      <w:r w:rsidR="003247C5">
        <w:instrText xml:space="preserve">" </w:instrText>
      </w:r>
      <w:r w:rsidR="001858B5">
        <w:rPr>
          <w:rFonts w:cs="Times New Roman"/>
        </w:rPr>
        <w:fldChar w:fldCharType="end"/>
      </w:r>
      <w:r w:rsidRPr="00124B71">
        <w:rPr>
          <w:rFonts w:cs="Times New Roman"/>
        </w:rPr>
        <w:t xml:space="preserve"> leaves a payment of $1,957. Interest rates at the time were about 6.</w:t>
      </w:r>
      <w:r w:rsidR="00BB0C9F" w:rsidRPr="00124B71">
        <w:rPr>
          <w:rFonts w:cs="Times New Roman"/>
        </w:rPr>
        <w:t>5</w:t>
      </w:r>
      <w:r w:rsidRPr="00124B71">
        <w:rPr>
          <w:rFonts w:cs="Times New Roman"/>
        </w:rPr>
        <w:t>%; a payment of $1,957 on a fixed-rate 30-year mortgage at 6.</w:t>
      </w:r>
      <w:r w:rsidR="00B0277F">
        <w:rPr>
          <w:rFonts w:cs="Times New Roman"/>
        </w:rPr>
        <w:t>5</w:t>
      </w:r>
      <w:r w:rsidRPr="00124B71">
        <w:rPr>
          <w:rFonts w:cs="Times New Roman"/>
        </w:rPr>
        <w:t>% would finance $3</w:t>
      </w:r>
      <w:r w:rsidR="00BB0C9F" w:rsidRPr="00124B71">
        <w:rPr>
          <w:rFonts w:cs="Times New Roman"/>
        </w:rPr>
        <w:t>09</w:t>
      </w:r>
      <w:r w:rsidRPr="00124B71">
        <w:rPr>
          <w:rFonts w:cs="Times New Roman"/>
        </w:rPr>
        <w:t>,</w:t>
      </w:r>
      <w:r w:rsidR="00BB0C9F" w:rsidRPr="00124B71">
        <w:rPr>
          <w:rFonts w:cs="Times New Roman"/>
        </w:rPr>
        <w:t>691</w:t>
      </w:r>
      <w:r w:rsidRPr="00124B71">
        <w:rPr>
          <w:rFonts w:cs="Times New Roman"/>
        </w:rPr>
        <w:t>.</w:t>
      </w:r>
      <w:r w:rsidR="00230C2C" w:rsidRPr="00124B71">
        <w:rPr>
          <w:rFonts w:cs="Times New Roman"/>
        </w:rPr>
        <w:t xml:space="preserve"> Short-term adjustable rate mortgages carry lower interest rates than long-term fixed rate mortgages because the lenders have less interest rate risk exposure. The</w:t>
      </w:r>
      <w:r w:rsidRPr="00124B71">
        <w:rPr>
          <w:rFonts w:cs="Times New Roman"/>
        </w:rPr>
        <w:t xml:space="preserve"> same $1,957 payment on a 5-year ARM at 5.</w:t>
      </w:r>
      <w:r w:rsidR="00BB0C9F" w:rsidRPr="00124B71">
        <w:rPr>
          <w:rFonts w:cs="Times New Roman"/>
        </w:rPr>
        <w:t>5</w:t>
      </w:r>
      <w:r w:rsidRPr="00124B71">
        <w:rPr>
          <w:rFonts w:cs="Times New Roman"/>
        </w:rPr>
        <w:t>% would finance $4</w:t>
      </w:r>
      <w:r w:rsidR="00BB0C9F" w:rsidRPr="00124B71">
        <w:rPr>
          <w:rFonts w:cs="Times New Roman"/>
        </w:rPr>
        <w:t>27</w:t>
      </w:r>
      <w:r w:rsidRPr="00124B71">
        <w:rPr>
          <w:rFonts w:cs="Times New Roman"/>
        </w:rPr>
        <w:t>,</w:t>
      </w:r>
      <w:r w:rsidR="00BB0C9F" w:rsidRPr="00124B71">
        <w:rPr>
          <w:rFonts w:cs="Times New Roman"/>
        </w:rPr>
        <w:t>081</w:t>
      </w:r>
      <w:r w:rsidRPr="00124B71">
        <w:rPr>
          <w:rFonts w:cs="Times New Roman"/>
        </w:rPr>
        <w:t xml:space="preserve">. </w:t>
      </w:r>
      <w:r w:rsidR="00BB0C9F" w:rsidRPr="00124B71">
        <w:rPr>
          <w:rFonts w:cs="Times New Roman"/>
        </w:rPr>
        <w:t>The</w:t>
      </w:r>
      <w:r w:rsidRPr="00124B71">
        <w:rPr>
          <w:rFonts w:cs="Times New Roman"/>
        </w:rPr>
        <w:t xml:space="preserve"> interest-only loan terms allows borrowers to increase their loans by 25% thus artificially increasing prices</w:t>
      </w:r>
      <w:r w:rsidR="00985D4E" w:rsidRPr="00124B71">
        <w:rPr>
          <w:rFonts w:cs="Times New Roman"/>
        </w:rPr>
        <w:t xml:space="preserve"> by</w:t>
      </w:r>
      <w:r w:rsidRPr="00124B71">
        <w:rPr>
          <w:rFonts w:cs="Times New Roman"/>
        </w:rPr>
        <w:t xml:space="preserve"> 25%.</w:t>
      </w:r>
    </w:p>
    <w:p w14:paraId="7A0D3CFE" w14:textId="7DC88B02" w:rsidR="003B7D73" w:rsidRPr="00EF0EDA" w:rsidRDefault="00DE0510" w:rsidP="00DE0510">
      <w:pPr>
        <w:pStyle w:val="Caption"/>
      </w:pPr>
      <w:bookmarkStart w:id="125" w:name="_Toc238867434"/>
      <w:r>
        <w:t xml:space="preserve">Table </w:t>
      </w:r>
      <w:fldSimple w:instr=" SEQ Table \* ARABIC ">
        <w:r w:rsidR="00493733">
          <w:rPr>
            <w:noProof/>
          </w:rPr>
          <w:t>8</w:t>
        </w:r>
      </w:fldSimple>
      <w:r w:rsidR="00317936">
        <w:t xml:space="preserve">: </w:t>
      </w:r>
      <w:r w:rsidR="00186DEB" w:rsidRPr="00EF0EDA">
        <w:t>Financing Terms and Conditions in Irvine, CA, 2006</w:t>
      </w:r>
      <w:bookmarkEnd w:id="125"/>
    </w:p>
    <w:tbl>
      <w:tblPr>
        <w:tblW w:w="0" w:type="auto"/>
        <w:tblInd w:w="108" w:type="dxa"/>
        <w:tblLook w:val="04A0" w:firstRow="1" w:lastRow="0" w:firstColumn="1" w:lastColumn="0" w:noHBand="0" w:noVBand="1"/>
      </w:tblPr>
      <w:tblGrid>
        <w:gridCol w:w="1298"/>
        <w:gridCol w:w="1015"/>
        <w:gridCol w:w="1356"/>
        <w:gridCol w:w="1299"/>
        <w:gridCol w:w="1367"/>
      </w:tblGrid>
      <w:tr w:rsidR="00186DEB" w:rsidRPr="00131BA8" w14:paraId="617AE0F2" w14:textId="77777777" w:rsidTr="009D1A2E">
        <w:trPr>
          <w:trHeight w:val="173"/>
        </w:trPr>
        <w:tc>
          <w:tcPr>
            <w:tcW w:w="0" w:type="auto"/>
            <w:tcBorders>
              <w:top w:val="nil"/>
              <w:left w:val="nil"/>
              <w:bottom w:val="nil"/>
              <w:right w:val="nil"/>
            </w:tcBorders>
            <w:shd w:val="clear" w:color="000000" w:fill="D8D8D8"/>
            <w:noWrap/>
            <w:vAlign w:val="bottom"/>
            <w:hideMark/>
          </w:tcPr>
          <w:p w14:paraId="68E9C339"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722,928 </w:t>
            </w:r>
          </w:p>
        </w:tc>
        <w:tc>
          <w:tcPr>
            <w:tcW w:w="0" w:type="auto"/>
            <w:gridSpan w:val="2"/>
            <w:tcBorders>
              <w:top w:val="nil"/>
              <w:left w:val="nil"/>
              <w:bottom w:val="nil"/>
              <w:right w:val="nil"/>
            </w:tcBorders>
            <w:noWrap/>
            <w:vAlign w:val="bottom"/>
            <w:hideMark/>
          </w:tcPr>
          <w:p w14:paraId="6AF35193" w14:textId="77777777" w:rsidR="00186DEB" w:rsidRPr="00131BA8" w:rsidRDefault="00186DEB" w:rsidP="00B94929">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Irvine Median Home Price</w:t>
            </w:r>
          </w:p>
        </w:tc>
        <w:tc>
          <w:tcPr>
            <w:tcW w:w="0" w:type="auto"/>
            <w:tcBorders>
              <w:top w:val="nil"/>
              <w:left w:val="nil"/>
              <w:bottom w:val="nil"/>
              <w:right w:val="nil"/>
            </w:tcBorders>
            <w:noWrap/>
            <w:vAlign w:val="bottom"/>
            <w:hideMark/>
          </w:tcPr>
          <w:p w14:paraId="138D5583"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301645A7"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r>
      <w:tr w:rsidR="00186DEB" w:rsidRPr="00131BA8" w14:paraId="0D9D4009" w14:textId="77777777" w:rsidTr="009D1A2E">
        <w:trPr>
          <w:trHeight w:val="173"/>
        </w:trPr>
        <w:tc>
          <w:tcPr>
            <w:tcW w:w="0" w:type="auto"/>
            <w:tcBorders>
              <w:top w:val="nil"/>
              <w:left w:val="nil"/>
              <w:bottom w:val="nil"/>
              <w:right w:val="nil"/>
            </w:tcBorders>
            <w:noWrap/>
            <w:vAlign w:val="bottom"/>
            <w:hideMark/>
          </w:tcPr>
          <w:p w14:paraId="4214967B"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83,891 </w:t>
            </w:r>
          </w:p>
        </w:tc>
        <w:tc>
          <w:tcPr>
            <w:tcW w:w="0" w:type="auto"/>
            <w:gridSpan w:val="2"/>
            <w:tcBorders>
              <w:top w:val="nil"/>
              <w:left w:val="nil"/>
              <w:bottom w:val="nil"/>
              <w:right w:val="nil"/>
            </w:tcBorders>
            <w:noWrap/>
            <w:vAlign w:val="bottom"/>
            <w:hideMark/>
          </w:tcPr>
          <w:p w14:paraId="2ADDBC1C" w14:textId="77777777" w:rsidR="00186DEB" w:rsidRPr="00131BA8" w:rsidRDefault="00186DEB" w:rsidP="00B94929">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Irvine Median Income</w:t>
            </w:r>
          </w:p>
        </w:tc>
        <w:tc>
          <w:tcPr>
            <w:tcW w:w="0" w:type="auto"/>
            <w:tcBorders>
              <w:top w:val="nil"/>
              <w:left w:val="nil"/>
              <w:bottom w:val="nil"/>
              <w:right w:val="nil"/>
            </w:tcBorders>
            <w:noWrap/>
            <w:vAlign w:val="bottom"/>
            <w:hideMark/>
          </w:tcPr>
          <w:p w14:paraId="17864655"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1544DB49"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r>
      <w:tr w:rsidR="00186DEB" w:rsidRPr="00131BA8" w14:paraId="072AE8CE" w14:textId="77777777" w:rsidTr="009D1A2E">
        <w:trPr>
          <w:trHeight w:val="173"/>
        </w:trPr>
        <w:tc>
          <w:tcPr>
            <w:tcW w:w="0" w:type="auto"/>
            <w:tcBorders>
              <w:top w:val="nil"/>
              <w:left w:val="nil"/>
              <w:bottom w:val="nil"/>
              <w:right w:val="nil"/>
            </w:tcBorders>
            <w:noWrap/>
            <w:vAlign w:val="bottom"/>
            <w:hideMark/>
          </w:tcPr>
          <w:p w14:paraId="64AE5BCE"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6,991 </w:t>
            </w:r>
          </w:p>
        </w:tc>
        <w:tc>
          <w:tcPr>
            <w:tcW w:w="0" w:type="auto"/>
            <w:gridSpan w:val="2"/>
            <w:tcBorders>
              <w:top w:val="nil"/>
              <w:left w:val="nil"/>
              <w:bottom w:val="nil"/>
              <w:right w:val="nil"/>
            </w:tcBorders>
            <w:noWrap/>
            <w:vAlign w:val="bottom"/>
            <w:hideMark/>
          </w:tcPr>
          <w:p w14:paraId="1004D311" w14:textId="77777777" w:rsidR="00186DEB" w:rsidRPr="00131BA8" w:rsidRDefault="00186DEB" w:rsidP="00B94929">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Monthly Median Income</w:t>
            </w:r>
          </w:p>
        </w:tc>
        <w:tc>
          <w:tcPr>
            <w:tcW w:w="0" w:type="auto"/>
            <w:tcBorders>
              <w:top w:val="nil"/>
              <w:left w:val="nil"/>
              <w:bottom w:val="nil"/>
              <w:right w:val="nil"/>
            </w:tcBorders>
            <w:noWrap/>
            <w:vAlign w:val="bottom"/>
            <w:hideMark/>
          </w:tcPr>
          <w:p w14:paraId="2421F5DD"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45E1EC16"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r>
      <w:tr w:rsidR="00186DEB" w:rsidRPr="00131BA8" w14:paraId="7CB2F468" w14:textId="77777777" w:rsidTr="009D1A2E">
        <w:trPr>
          <w:trHeight w:val="173"/>
        </w:trPr>
        <w:tc>
          <w:tcPr>
            <w:tcW w:w="0" w:type="auto"/>
            <w:tcBorders>
              <w:top w:val="nil"/>
              <w:left w:val="nil"/>
              <w:bottom w:val="nil"/>
              <w:right w:val="nil"/>
            </w:tcBorders>
            <w:noWrap/>
            <w:vAlign w:val="bottom"/>
            <w:hideMark/>
          </w:tcPr>
          <w:p w14:paraId="1431CE07"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55B995F1" w14:textId="77777777" w:rsidR="00186DEB" w:rsidRPr="00131BA8" w:rsidRDefault="00186DEB" w:rsidP="00B94929">
            <w:pPr>
              <w:keepNext/>
              <w:keepLines/>
              <w:ind w:firstLine="0"/>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4BBA2F9E"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40C19DE9"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5ED3C17E"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r>
      <w:tr w:rsidR="00186DEB" w:rsidRPr="00131BA8" w14:paraId="2BE839D7" w14:textId="77777777" w:rsidTr="009D1A2E">
        <w:trPr>
          <w:trHeight w:val="173"/>
        </w:trPr>
        <w:tc>
          <w:tcPr>
            <w:tcW w:w="0" w:type="auto"/>
            <w:tcBorders>
              <w:top w:val="nil"/>
              <w:left w:val="nil"/>
              <w:bottom w:val="nil"/>
              <w:right w:val="nil"/>
            </w:tcBorders>
            <w:noWrap/>
            <w:vAlign w:val="bottom"/>
            <w:hideMark/>
          </w:tcPr>
          <w:p w14:paraId="785740B9"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6.5%</w:t>
            </w:r>
          </w:p>
        </w:tc>
        <w:tc>
          <w:tcPr>
            <w:tcW w:w="0" w:type="auto"/>
            <w:gridSpan w:val="4"/>
            <w:tcBorders>
              <w:top w:val="nil"/>
              <w:left w:val="nil"/>
              <w:bottom w:val="nil"/>
              <w:right w:val="nil"/>
            </w:tcBorders>
            <w:noWrap/>
            <w:vAlign w:val="bottom"/>
            <w:hideMark/>
          </w:tcPr>
          <w:p w14:paraId="465AFEA7" w14:textId="77777777" w:rsidR="00186DEB" w:rsidRPr="00131BA8" w:rsidRDefault="00186DEB" w:rsidP="00B94929">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Interest Rate on 30-Year Fixed-Rate Mortgage</w:t>
            </w:r>
          </w:p>
        </w:tc>
      </w:tr>
      <w:tr w:rsidR="00186DEB" w:rsidRPr="00131BA8" w14:paraId="24FA8138" w14:textId="77777777" w:rsidTr="009D1A2E">
        <w:trPr>
          <w:trHeight w:val="173"/>
        </w:trPr>
        <w:tc>
          <w:tcPr>
            <w:tcW w:w="0" w:type="auto"/>
            <w:tcBorders>
              <w:top w:val="nil"/>
              <w:left w:val="nil"/>
              <w:bottom w:val="nil"/>
              <w:right w:val="nil"/>
            </w:tcBorders>
            <w:noWrap/>
            <w:vAlign w:val="bottom"/>
            <w:hideMark/>
          </w:tcPr>
          <w:p w14:paraId="06FFB989"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5.5%</w:t>
            </w:r>
          </w:p>
        </w:tc>
        <w:tc>
          <w:tcPr>
            <w:tcW w:w="0" w:type="auto"/>
            <w:gridSpan w:val="2"/>
            <w:tcBorders>
              <w:top w:val="nil"/>
              <w:left w:val="nil"/>
              <w:bottom w:val="nil"/>
              <w:right w:val="nil"/>
            </w:tcBorders>
            <w:noWrap/>
            <w:vAlign w:val="bottom"/>
            <w:hideMark/>
          </w:tcPr>
          <w:p w14:paraId="1B7D7ABD" w14:textId="77777777" w:rsidR="00186DEB" w:rsidRPr="00131BA8" w:rsidRDefault="00186DEB" w:rsidP="00B94929">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Interest Rate on 5-Year ARM</w:t>
            </w:r>
          </w:p>
        </w:tc>
        <w:tc>
          <w:tcPr>
            <w:tcW w:w="0" w:type="auto"/>
            <w:tcBorders>
              <w:top w:val="nil"/>
              <w:left w:val="nil"/>
              <w:bottom w:val="nil"/>
              <w:right w:val="nil"/>
            </w:tcBorders>
            <w:noWrap/>
            <w:vAlign w:val="bottom"/>
            <w:hideMark/>
          </w:tcPr>
          <w:p w14:paraId="37DA6074"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4FB31A08"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r>
      <w:tr w:rsidR="00186DEB" w:rsidRPr="00131BA8" w14:paraId="13F064D0" w14:textId="77777777" w:rsidTr="009D1A2E">
        <w:trPr>
          <w:trHeight w:val="173"/>
        </w:trPr>
        <w:tc>
          <w:tcPr>
            <w:tcW w:w="0" w:type="auto"/>
            <w:tcBorders>
              <w:top w:val="nil"/>
              <w:left w:val="nil"/>
              <w:bottom w:val="nil"/>
              <w:right w:val="nil"/>
            </w:tcBorders>
            <w:noWrap/>
            <w:vAlign w:val="bottom"/>
            <w:hideMark/>
          </w:tcPr>
          <w:p w14:paraId="393C12CB"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3.8%</w:t>
            </w:r>
          </w:p>
        </w:tc>
        <w:tc>
          <w:tcPr>
            <w:tcW w:w="0" w:type="auto"/>
            <w:gridSpan w:val="3"/>
            <w:tcBorders>
              <w:top w:val="nil"/>
              <w:left w:val="nil"/>
              <w:bottom w:val="nil"/>
              <w:right w:val="nil"/>
            </w:tcBorders>
            <w:noWrap/>
            <w:vAlign w:val="bottom"/>
            <w:hideMark/>
          </w:tcPr>
          <w:p w14:paraId="50A9BA3B" w14:textId="77777777" w:rsidR="00186DEB" w:rsidRPr="00131BA8" w:rsidRDefault="00186DEB" w:rsidP="00B94929">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Payment Rate on Option ARM</w:t>
            </w:r>
            <w:r w:rsidR="001858B5" w:rsidRPr="00131BA8">
              <w:rPr>
                <w:rFonts w:eastAsia="Times New Roman" w:cs="Times New Roman"/>
                <w:color w:val="000000"/>
                <w:sz w:val="18"/>
                <w:szCs w:val="18"/>
                <w:lang w:bidi="ar-SA"/>
              </w:rPr>
              <w:fldChar w:fldCharType="begin"/>
            </w:r>
            <w:r w:rsidR="00C12412" w:rsidRPr="00131BA8">
              <w:rPr>
                <w:sz w:val="18"/>
              </w:rPr>
              <w:instrText xml:space="preserve"> XE "</w:instrText>
            </w:r>
            <w:r w:rsidR="00C12412" w:rsidRPr="00131BA8">
              <w:rPr>
                <w:rFonts w:cs="Times New Roman"/>
                <w:sz w:val="18"/>
              </w:rPr>
              <w:instrText>Option ARM</w:instrText>
            </w:r>
            <w:r w:rsidR="00C12412" w:rsidRPr="00131BA8">
              <w:rPr>
                <w:sz w:val="18"/>
              </w:rPr>
              <w:instrText xml:space="preserve">" </w:instrText>
            </w:r>
            <w:r w:rsidR="001858B5" w:rsidRPr="00131BA8">
              <w:rPr>
                <w:rFonts w:eastAsia="Times New Roman" w:cs="Times New Roman"/>
                <w:color w:val="000000"/>
                <w:sz w:val="18"/>
                <w:szCs w:val="18"/>
                <w:lang w:bidi="ar-SA"/>
              </w:rPr>
              <w:fldChar w:fldCharType="end"/>
            </w:r>
          </w:p>
        </w:tc>
        <w:tc>
          <w:tcPr>
            <w:tcW w:w="0" w:type="auto"/>
            <w:tcBorders>
              <w:top w:val="nil"/>
              <w:left w:val="nil"/>
              <w:bottom w:val="nil"/>
              <w:right w:val="nil"/>
            </w:tcBorders>
            <w:noWrap/>
            <w:vAlign w:val="bottom"/>
            <w:hideMark/>
          </w:tcPr>
          <w:p w14:paraId="1A5A4406"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r>
      <w:tr w:rsidR="00186DEB" w:rsidRPr="00131BA8" w14:paraId="25B70D62" w14:textId="77777777" w:rsidTr="00131E40">
        <w:trPr>
          <w:trHeight w:val="173"/>
        </w:trPr>
        <w:tc>
          <w:tcPr>
            <w:tcW w:w="0" w:type="auto"/>
            <w:tcBorders>
              <w:top w:val="nil"/>
              <w:left w:val="nil"/>
              <w:bottom w:val="single" w:sz="4" w:space="0" w:color="auto"/>
              <w:right w:val="nil"/>
            </w:tcBorders>
            <w:noWrap/>
            <w:vAlign w:val="bottom"/>
            <w:hideMark/>
          </w:tcPr>
          <w:p w14:paraId="08582FBF"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c>
          <w:tcPr>
            <w:tcW w:w="0" w:type="auto"/>
            <w:tcBorders>
              <w:top w:val="nil"/>
              <w:left w:val="nil"/>
              <w:bottom w:val="single" w:sz="4" w:space="0" w:color="auto"/>
              <w:right w:val="nil"/>
            </w:tcBorders>
            <w:noWrap/>
            <w:vAlign w:val="bottom"/>
            <w:hideMark/>
          </w:tcPr>
          <w:p w14:paraId="3A2C5DFF"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c>
          <w:tcPr>
            <w:tcW w:w="0" w:type="auto"/>
            <w:tcBorders>
              <w:top w:val="nil"/>
              <w:left w:val="nil"/>
              <w:bottom w:val="single" w:sz="4" w:space="0" w:color="auto"/>
              <w:right w:val="nil"/>
            </w:tcBorders>
            <w:noWrap/>
            <w:vAlign w:val="bottom"/>
            <w:hideMark/>
          </w:tcPr>
          <w:p w14:paraId="531ECE89"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c>
          <w:tcPr>
            <w:tcW w:w="0" w:type="auto"/>
            <w:tcBorders>
              <w:top w:val="nil"/>
              <w:left w:val="nil"/>
              <w:bottom w:val="single" w:sz="4" w:space="0" w:color="auto"/>
              <w:right w:val="nil"/>
            </w:tcBorders>
            <w:noWrap/>
            <w:vAlign w:val="bottom"/>
            <w:hideMark/>
          </w:tcPr>
          <w:p w14:paraId="5FE641DF"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c>
          <w:tcPr>
            <w:tcW w:w="0" w:type="auto"/>
            <w:tcBorders>
              <w:top w:val="nil"/>
              <w:left w:val="nil"/>
              <w:bottom w:val="single" w:sz="4" w:space="0" w:color="auto"/>
              <w:right w:val="nil"/>
            </w:tcBorders>
            <w:noWrap/>
            <w:vAlign w:val="bottom"/>
            <w:hideMark/>
          </w:tcPr>
          <w:p w14:paraId="1F79FBA1" w14:textId="77777777" w:rsidR="00186DEB" w:rsidRPr="00131BA8" w:rsidRDefault="00186DEB" w:rsidP="00B94929">
            <w:pPr>
              <w:keepNext/>
              <w:keepLines/>
              <w:ind w:firstLine="0"/>
              <w:jc w:val="center"/>
              <w:rPr>
                <w:rFonts w:eastAsia="Times New Roman" w:cs="Times New Roman"/>
                <w:color w:val="000000"/>
                <w:sz w:val="18"/>
                <w:szCs w:val="18"/>
                <w:lang w:bidi="ar-SA"/>
              </w:rPr>
            </w:pPr>
          </w:p>
        </w:tc>
      </w:tr>
      <w:tr w:rsidR="00186DEB" w:rsidRPr="00131BA8" w14:paraId="2DF8C1BA" w14:textId="77777777" w:rsidTr="00131E40">
        <w:trPr>
          <w:trHeight w:val="173"/>
        </w:trPr>
        <w:tc>
          <w:tcPr>
            <w:tcW w:w="0" w:type="auto"/>
            <w:tcBorders>
              <w:top w:val="single" w:sz="4" w:space="0" w:color="auto"/>
              <w:left w:val="nil"/>
              <w:bottom w:val="double" w:sz="6" w:space="0" w:color="auto"/>
              <w:right w:val="nil"/>
            </w:tcBorders>
            <w:noWrap/>
            <w:vAlign w:val="bottom"/>
            <w:hideMark/>
          </w:tcPr>
          <w:p w14:paraId="7A891D6C" w14:textId="77777777" w:rsidR="00186DEB" w:rsidRPr="00131BA8" w:rsidRDefault="00186DEB" w:rsidP="00B94929">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Payment</w:t>
            </w:r>
          </w:p>
        </w:tc>
        <w:tc>
          <w:tcPr>
            <w:tcW w:w="0" w:type="auto"/>
            <w:tcBorders>
              <w:top w:val="single" w:sz="4" w:space="0" w:color="auto"/>
              <w:left w:val="nil"/>
              <w:bottom w:val="double" w:sz="6" w:space="0" w:color="auto"/>
              <w:right w:val="nil"/>
            </w:tcBorders>
            <w:noWrap/>
            <w:vAlign w:val="bottom"/>
            <w:hideMark/>
          </w:tcPr>
          <w:p w14:paraId="793ABA9B" w14:textId="77777777" w:rsidR="00186DEB" w:rsidRPr="00131BA8" w:rsidRDefault="00186DEB" w:rsidP="00B94929">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DTI</w:t>
            </w:r>
            <w:r w:rsidR="001858B5" w:rsidRPr="00131BA8">
              <w:rPr>
                <w:rFonts w:eastAsia="Times New Roman" w:cs="Times New Roman"/>
                <w:b/>
                <w:bCs/>
                <w:color w:val="000000"/>
                <w:sz w:val="18"/>
                <w:szCs w:val="18"/>
                <w:lang w:bidi="ar-SA"/>
              </w:rPr>
              <w:fldChar w:fldCharType="begin"/>
            </w:r>
            <w:r w:rsidR="003247C5" w:rsidRPr="00131BA8">
              <w:rPr>
                <w:sz w:val="18"/>
              </w:rPr>
              <w:instrText xml:space="preserve"> XE "</w:instrText>
            </w:r>
            <w:r w:rsidR="003247C5" w:rsidRPr="00131BA8">
              <w:rPr>
                <w:rFonts w:cs="Times New Roman"/>
                <w:sz w:val="18"/>
              </w:rPr>
              <w:instrText>DTI</w:instrText>
            </w:r>
            <w:r w:rsidR="003247C5" w:rsidRPr="00131BA8">
              <w:rPr>
                <w:sz w:val="18"/>
              </w:rPr>
              <w:instrText xml:space="preserve">" </w:instrText>
            </w:r>
            <w:r w:rsidR="001858B5" w:rsidRPr="00131BA8">
              <w:rPr>
                <w:rFonts w:eastAsia="Times New Roman" w:cs="Times New Roman"/>
                <w:b/>
                <w:bCs/>
                <w:color w:val="000000"/>
                <w:sz w:val="18"/>
                <w:szCs w:val="18"/>
                <w:lang w:bidi="ar-SA"/>
              </w:rPr>
              <w:fldChar w:fldCharType="end"/>
            </w:r>
            <w:r w:rsidRPr="00131BA8">
              <w:rPr>
                <w:rFonts w:eastAsia="Times New Roman" w:cs="Times New Roman"/>
                <w:b/>
                <w:bCs/>
                <w:color w:val="000000"/>
                <w:sz w:val="18"/>
                <w:szCs w:val="18"/>
                <w:lang w:bidi="ar-SA"/>
              </w:rPr>
              <w:t xml:space="preserve"> Ratio</w:t>
            </w:r>
          </w:p>
        </w:tc>
        <w:tc>
          <w:tcPr>
            <w:tcW w:w="0" w:type="auto"/>
            <w:tcBorders>
              <w:top w:val="single" w:sz="4" w:space="0" w:color="auto"/>
              <w:left w:val="nil"/>
              <w:bottom w:val="double" w:sz="6" w:space="0" w:color="auto"/>
              <w:right w:val="nil"/>
            </w:tcBorders>
            <w:noWrap/>
            <w:vAlign w:val="bottom"/>
            <w:hideMark/>
          </w:tcPr>
          <w:p w14:paraId="5D15CE9C" w14:textId="77777777" w:rsidR="00186DEB" w:rsidRPr="00131BA8" w:rsidRDefault="00186DEB" w:rsidP="00B94929">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30-Year Fixed</w:t>
            </w:r>
          </w:p>
        </w:tc>
        <w:tc>
          <w:tcPr>
            <w:tcW w:w="0" w:type="auto"/>
            <w:tcBorders>
              <w:top w:val="single" w:sz="4" w:space="0" w:color="auto"/>
              <w:left w:val="nil"/>
              <w:bottom w:val="double" w:sz="6" w:space="0" w:color="auto"/>
              <w:right w:val="nil"/>
            </w:tcBorders>
            <w:noWrap/>
            <w:vAlign w:val="bottom"/>
            <w:hideMark/>
          </w:tcPr>
          <w:p w14:paraId="28A40BB8" w14:textId="77777777" w:rsidR="00186DEB" w:rsidRPr="00131BA8" w:rsidRDefault="00186DEB" w:rsidP="00B94929">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Interest Only</w:t>
            </w:r>
          </w:p>
        </w:tc>
        <w:tc>
          <w:tcPr>
            <w:tcW w:w="0" w:type="auto"/>
            <w:tcBorders>
              <w:top w:val="single" w:sz="4" w:space="0" w:color="auto"/>
              <w:left w:val="nil"/>
              <w:bottom w:val="double" w:sz="6" w:space="0" w:color="auto"/>
              <w:right w:val="nil"/>
            </w:tcBorders>
            <w:noWrap/>
            <w:vAlign w:val="bottom"/>
            <w:hideMark/>
          </w:tcPr>
          <w:p w14:paraId="38624B8A" w14:textId="77777777" w:rsidR="00186DEB" w:rsidRPr="00131BA8" w:rsidRDefault="00B94929" w:rsidP="00B94929">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Negative Am.*</w:t>
            </w:r>
          </w:p>
        </w:tc>
      </w:tr>
      <w:tr w:rsidR="00186DEB" w:rsidRPr="00131BA8" w14:paraId="6E793BBF" w14:textId="77777777" w:rsidTr="00131E40">
        <w:trPr>
          <w:trHeight w:val="173"/>
        </w:trPr>
        <w:tc>
          <w:tcPr>
            <w:tcW w:w="0" w:type="auto"/>
            <w:tcBorders>
              <w:top w:val="double" w:sz="6" w:space="0" w:color="auto"/>
              <w:left w:val="nil"/>
              <w:bottom w:val="nil"/>
              <w:right w:val="nil"/>
            </w:tcBorders>
            <w:noWrap/>
            <w:vAlign w:val="bottom"/>
            <w:hideMark/>
          </w:tcPr>
          <w:p w14:paraId="3B2CD92F"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1,678 </w:t>
            </w:r>
          </w:p>
        </w:tc>
        <w:tc>
          <w:tcPr>
            <w:tcW w:w="0" w:type="auto"/>
            <w:tcBorders>
              <w:top w:val="double" w:sz="6" w:space="0" w:color="auto"/>
              <w:left w:val="nil"/>
              <w:bottom w:val="nil"/>
              <w:right w:val="nil"/>
            </w:tcBorders>
            <w:noWrap/>
            <w:vAlign w:val="bottom"/>
            <w:hideMark/>
          </w:tcPr>
          <w:p w14:paraId="4294A708"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24.0%</w:t>
            </w:r>
          </w:p>
        </w:tc>
        <w:tc>
          <w:tcPr>
            <w:tcW w:w="0" w:type="auto"/>
            <w:tcBorders>
              <w:top w:val="double" w:sz="6" w:space="0" w:color="auto"/>
              <w:left w:val="nil"/>
              <w:bottom w:val="nil"/>
              <w:right w:val="nil"/>
            </w:tcBorders>
            <w:noWrap/>
            <w:vAlign w:val="bottom"/>
            <w:hideMark/>
          </w:tcPr>
          <w:p w14:paraId="5BD8B845"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265,449 </w:t>
            </w:r>
          </w:p>
        </w:tc>
        <w:tc>
          <w:tcPr>
            <w:tcW w:w="0" w:type="auto"/>
            <w:tcBorders>
              <w:top w:val="double" w:sz="6" w:space="0" w:color="auto"/>
              <w:left w:val="nil"/>
              <w:bottom w:val="nil"/>
              <w:right w:val="nil"/>
            </w:tcBorders>
            <w:noWrap/>
            <w:vAlign w:val="bottom"/>
            <w:hideMark/>
          </w:tcPr>
          <w:p w14:paraId="24220B28"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366,070 </w:t>
            </w:r>
          </w:p>
        </w:tc>
        <w:tc>
          <w:tcPr>
            <w:tcW w:w="0" w:type="auto"/>
            <w:tcBorders>
              <w:top w:val="double" w:sz="6" w:space="0" w:color="auto"/>
              <w:left w:val="nil"/>
              <w:bottom w:val="nil"/>
              <w:right w:val="nil"/>
            </w:tcBorders>
            <w:noWrap/>
            <w:vAlign w:val="bottom"/>
            <w:hideMark/>
          </w:tcPr>
          <w:p w14:paraId="4912BA13"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529,838 </w:t>
            </w:r>
          </w:p>
        </w:tc>
      </w:tr>
      <w:tr w:rsidR="00186DEB" w:rsidRPr="00131BA8" w14:paraId="6A810C43" w14:textId="77777777" w:rsidTr="009D1A2E">
        <w:trPr>
          <w:trHeight w:val="173"/>
        </w:trPr>
        <w:tc>
          <w:tcPr>
            <w:tcW w:w="0" w:type="auto"/>
            <w:tcBorders>
              <w:top w:val="nil"/>
              <w:left w:val="nil"/>
              <w:bottom w:val="nil"/>
              <w:right w:val="nil"/>
            </w:tcBorders>
            <w:noWrap/>
            <w:vAlign w:val="bottom"/>
            <w:hideMark/>
          </w:tcPr>
          <w:p w14:paraId="3BF60E37"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1,957 </w:t>
            </w:r>
          </w:p>
        </w:tc>
        <w:tc>
          <w:tcPr>
            <w:tcW w:w="0" w:type="auto"/>
            <w:tcBorders>
              <w:top w:val="nil"/>
              <w:left w:val="nil"/>
              <w:bottom w:val="nil"/>
              <w:right w:val="nil"/>
            </w:tcBorders>
            <w:noWrap/>
            <w:vAlign w:val="bottom"/>
            <w:hideMark/>
          </w:tcPr>
          <w:p w14:paraId="698C292C"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28.0%</w:t>
            </w:r>
          </w:p>
        </w:tc>
        <w:tc>
          <w:tcPr>
            <w:tcW w:w="0" w:type="auto"/>
            <w:tcBorders>
              <w:top w:val="nil"/>
              <w:left w:val="nil"/>
              <w:bottom w:val="nil"/>
              <w:right w:val="nil"/>
            </w:tcBorders>
            <w:noWrap/>
            <w:vAlign w:val="bottom"/>
            <w:hideMark/>
          </w:tcPr>
          <w:p w14:paraId="41146AFB"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309,691 </w:t>
            </w:r>
          </w:p>
        </w:tc>
        <w:tc>
          <w:tcPr>
            <w:tcW w:w="0" w:type="auto"/>
            <w:tcBorders>
              <w:top w:val="nil"/>
              <w:left w:val="nil"/>
              <w:bottom w:val="nil"/>
              <w:right w:val="nil"/>
            </w:tcBorders>
            <w:noWrap/>
            <w:vAlign w:val="bottom"/>
            <w:hideMark/>
          </w:tcPr>
          <w:p w14:paraId="4758EB89"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427,081 </w:t>
            </w:r>
          </w:p>
        </w:tc>
        <w:tc>
          <w:tcPr>
            <w:tcW w:w="0" w:type="auto"/>
            <w:tcBorders>
              <w:top w:val="nil"/>
              <w:left w:val="nil"/>
              <w:bottom w:val="nil"/>
              <w:right w:val="nil"/>
            </w:tcBorders>
            <w:noWrap/>
            <w:vAlign w:val="bottom"/>
            <w:hideMark/>
          </w:tcPr>
          <w:p w14:paraId="3950C422"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618,144 </w:t>
            </w:r>
          </w:p>
        </w:tc>
      </w:tr>
      <w:tr w:rsidR="00186DEB" w:rsidRPr="00131BA8" w14:paraId="0E2D2DCB" w14:textId="77777777" w:rsidTr="009D1A2E">
        <w:trPr>
          <w:trHeight w:val="173"/>
        </w:trPr>
        <w:tc>
          <w:tcPr>
            <w:tcW w:w="0" w:type="auto"/>
            <w:tcBorders>
              <w:top w:val="nil"/>
              <w:left w:val="nil"/>
              <w:bottom w:val="nil"/>
              <w:right w:val="nil"/>
            </w:tcBorders>
            <w:noWrap/>
            <w:vAlign w:val="bottom"/>
            <w:hideMark/>
          </w:tcPr>
          <w:p w14:paraId="73C06437"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2,237 </w:t>
            </w:r>
          </w:p>
        </w:tc>
        <w:tc>
          <w:tcPr>
            <w:tcW w:w="0" w:type="auto"/>
            <w:tcBorders>
              <w:top w:val="nil"/>
              <w:left w:val="nil"/>
              <w:bottom w:val="nil"/>
              <w:right w:val="nil"/>
            </w:tcBorders>
            <w:noWrap/>
            <w:vAlign w:val="bottom"/>
            <w:hideMark/>
          </w:tcPr>
          <w:p w14:paraId="36D1982E"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32.0%</w:t>
            </w:r>
          </w:p>
        </w:tc>
        <w:tc>
          <w:tcPr>
            <w:tcW w:w="0" w:type="auto"/>
            <w:tcBorders>
              <w:top w:val="nil"/>
              <w:left w:val="nil"/>
              <w:bottom w:val="nil"/>
              <w:right w:val="nil"/>
            </w:tcBorders>
            <w:noWrap/>
            <w:vAlign w:val="bottom"/>
            <w:hideMark/>
          </w:tcPr>
          <w:p w14:paraId="21C7DC7A"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353,932 </w:t>
            </w:r>
          </w:p>
        </w:tc>
        <w:tc>
          <w:tcPr>
            <w:tcW w:w="0" w:type="auto"/>
            <w:tcBorders>
              <w:top w:val="nil"/>
              <w:left w:val="nil"/>
              <w:bottom w:val="nil"/>
              <w:right w:val="nil"/>
            </w:tcBorders>
            <w:noWrap/>
            <w:vAlign w:val="bottom"/>
            <w:hideMark/>
          </w:tcPr>
          <w:p w14:paraId="0B61FDE7"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488,093 </w:t>
            </w:r>
          </w:p>
        </w:tc>
        <w:tc>
          <w:tcPr>
            <w:tcW w:w="0" w:type="auto"/>
            <w:tcBorders>
              <w:top w:val="nil"/>
              <w:left w:val="nil"/>
              <w:bottom w:val="nil"/>
              <w:right w:val="nil"/>
            </w:tcBorders>
            <w:shd w:val="clear" w:color="000000" w:fill="D8D8D8"/>
            <w:noWrap/>
            <w:vAlign w:val="bottom"/>
            <w:hideMark/>
          </w:tcPr>
          <w:p w14:paraId="495648A1"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706,451 </w:t>
            </w:r>
          </w:p>
        </w:tc>
      </w:tr>
      <w:tr w:rsidR="00186DEB" w:rsidRPr="00131BA8" w14:paraId="7D70E3F8" w14:textId="77777777" w:rsidTr="009D1A2E">
        <w:trPr>
          <w:trHeight w:val="173"/>
        </w:trPr>
        <w:tc>
          <w:tcPr>
            <w:tcW w:w="0" w:type="auto"/>
            <w:tcBorders>
              <w:top w:val="nil"/>
              <w:left w:val="nil"/>
              <w:bottom w:val="nil"/>
              <w:right w:val="nil"/>
            </w:tcBorders>
            <w:noWrap/>
            <w:vAlign w:val="bottom"/>
            <w:hideMark/>
          </w:tcPr>
          <w:p w14:paraId="76428E66"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2,517 </w:t>
            </w:r>
          </w:p>
        </w:tc>
        <w:tc>
          <w:tcPr>
            <w:tcW w:w="0" w:type="auto"/>
            <w:tcBorders>
              <w:top w:val="nil"/>
              <w:left w:val="nil"/>
              <w:bottom w:val="nil"/>
              <w:right w:val="nil"/>
            </w:tcBorders>
            <w:noWrap/>
            <w:vAlign w:val="bottom"/>
            <w:hideMark/>
          </w:tcPr>
          <w:p w14:paraId="725DCE18"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36.0%</w:t>
            </w:r>
          </w:p>
        </w:tc>
        <w:tc>
          <w:tcPr>
            <w:tcW w:w="0" w:type="auto"/>
            <w:tcBorders>
              <w:top w:val="nil"/>
              <w:left w:val="nil"/>
              <w:bottom w:val="nil"/>
              <w:right w:val="nil"/>
            </w:tcBorders>
            <w:noWrap/>
            <w:vAlign w:val="bottom"/>
            <w:hideMark/>
          </w:tcPr>
          <w:p w14:paraId="13B87644"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398,174 </w:t>
            </w:r>
          </w:p>
        </w:tc>
        <w:tc>
          <w:tcPr>
            <w:tcW w:w="0" w:type="auto"/>
            <w:tcBorders>
              <w:top w:val="nil"/>
              <w:left w:val="nil"/>
              <w:bottom w:val="nil"/>
              <w:right w:val="nil"/>
            </w:tcBorders>
            <w:noWrap/>
            <w:vAlign w:val="bottom"/>
            <w:hideMark/>
          </w:tcPr>
          <w:p w14:paraId="269DD8CF"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549,105 </w:t>
            </w:r>
          </w:p>
        </w:tc>
        <w:tc>
          <w:tcPr>
            <w:tcW w:w="0" w:type="auto"/>
            <w:tcBorders>
              <w:top w:val="nil"/>
              <w:left w:val="nil"/>
              <w:bottom w:val="nil"/>
              <w:right w:val="nil"/>
            </w:tcBorders>
            <w:noWrap/>
            <w:vAlign w:val="bottom"/>
            <w:hideMark/>
          </w:tcPr>
          <w:p w14:paraId="10934954"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794,757 </w:t>
            </w:r>
          </w:p>
        </w:tc>
      </w:tr>
      <w:tr w:rsidR="00186DEB" w:rsidRPr="00131BA8" w14:paraId="27FA1A81" w14:textId="77777777" w:rsidTr="009D1A2E">
        <w:trPr>
          <w:trHeight w:val="173"/>
        </w:trPr>
        <w:tc>
          <w:tcPr>
            <w:tcW w:w="0" w:type="auto"/>
            <w:tcBorders>
              <w:top w:val="nil"/>
              <w:left w:val="nil"/>
              <w:bottom w:val="nil"/>
              <w:right w:val="nil"/>
            </w:tcBorders>
            <w:noWrap/>
            <w:vAlign w:val="bottom"/>
            <w:hideMark/>
          </w:tcPr>
          <w:p w14:paraId="6EE693BB"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2,796 </w:t>
            </w:r>
          </w:p>
        </w:tc>
        <w:tc>
          <w:tcPr>
            <w:tcW w:w="0" w:type="auto"/>
            <w:tcBorders>
              <w:top w:val="nil"/>
              <w:left w:val="nil"/>
              <w:bottom w:val="nil"/>
              <w:right w:val="nil"/>
            </w:tcBorders>
            <w:noWrap/>
            <w:vAlign w:val="bottom"/>
            <w:hideMark/>
          </w:tcPr>
          <w:p w14:paraId="1EBE69B1"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40.0%</w:t>
            </w:r>
          </w:p>
        </w:tc>
        <w:tc>
          <w:tcPr>
            <w:tcW w:w="0" w:type="auto"/>
            <w:tcBorders>
              <w:top w:val="nil"/>
              <w:left w:val="nil"/>
              <w:bottom w:val="nil"/>
              <w:right w:val="nil"/>
            </w:tcBorders>
            <w:noWrap/>
            <w:vAlign w:val="bottom"/>
            <w:hideMark/>
          </w:tcPr>
          <w:p w14:paraId="09E96F6A"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442,415 </w:t>
            </w:r>
          </w:p>
        </w:tc>
        <w:tc>
          <w:tcPr>
            <w:tcW w:w="0" w:type="auto"/>
            <w:tcBorders>
              <w:top w:val="nil"/>
              <w:left w:val="nil"/>
              <w:bottom w:val="nil"/>
              <w:right w:val="nil"/>
            </w:tcBorders>
            <w:noWrap/>
            <w:vAlign w:val="bottom"/>
            <w:hideMark/>
          </w:tcPr>
          <w:p w14:paraId="5B63ED41"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610,116 </w:t>
            </w:r>
          </w:p>
        </w:tc>
        <w:tc>
          <w:tcPr>
            <w:tcW w:w="0" w:type="auto"/>
            <w:tcBorders>
              <w:top w:val="nil"/>
              <w:left w:val="nil"/>
              <w:bottom w:val="nil"/>
              <w:right w:val="nil"/>
            </w:tcBorders>
            <w:noWrap/>
            <w:vAlign w:val="bottom"/>
            <w:hideMark/>
          </w:tcPr>
          <w:p w14:paraId="2391B5D9"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883,063 </w:t>
            </w:r>
          </w:p>
        </w:tc>
      </w:tr>
      <w:tr w:rsidR="00186DEB" w:rsidRPr="00131BA8" w14:paraId="24C01563" w14:textId="77777777" w:rsidTr="009D1A2E">
        <w:trPr>
          <w:trHeight w:val="173"/>
        </w:trPr>
        <w:tc>
          <w:tcPr>
            <w:tcW w:w="0" w:type="auto"/>
            <w:tcBorders>
              <w:top w:val="nil"/>
              <w:left w:val="nil"/>
              <w:bottom w:val="nil"/>
              <w:right w:val="nil"/>
            </w:tcBorders>
            <w:noWrap/>
            <w:vAlign w:val="bottom"/>
            <w:hideMark/>
          </w:tcPr>
          <w:p w14:paraId="40D78414"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3,076 </w:t>
            </w:r>
          </w:p>
        </w:tc>
        <w:tc>
          <w:tcPr>
            <w:tcW w:w="0" w:type="auto"/>
            <w:tcBorders>
              <w:top w:val="nil"/>
              <w:left w:val="nil"/>
              <w:bottom w:val="nil"/>
              <w:right w:val="nil"/>
            </w:tcBorders>
            <w:noWrap/>
            <w:vAlign w:val="bottom"/>
            <w:hideMark/>
          </w:tcPr>
          <w:p w14:paraId="26F2DC78"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44.0%</w:t>
            </w:r>
          </w:p>
        </w:tc>
        <w:tc>
          <w:tcPr>
            <w:tcW w:w="0" w:type="auto"/>
            <w:tcBorders>
              <w:top w:val="nil"/>
              <w:left w:val="nil"/>
              <w:bottom w:val="nil"/>
              <w:right w:val="nil"/>
            </w:tcBorders>
            <w:noWrap/>
            <w:vAlign w:val="bottom"/>
            <w:hideMark/>
          </w:tcPr>
          <w:p w14:paraId="4E009BF8"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486,657 </w:t>
            </w:r>
          </w:p>
        </w:tc>
        <w:tc>
          <w:tcPr>
            <w:tcW w:w="0" w:type="auto"/>
            <w:tcBorders>
              <w:top w:val="nil"/>
              <w:left w:val="nil"/>
              <w:bottom w:val="nil"/>
              <w:right w:val="nil"/>
            </w:tcBorders>
            <w:noWrap/>
            <w:vAlign w:val="bottom"/>
            <w:hideMark/>
          </w:tcPr>
          <w:p w14:paraId="086C51AA"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671,128 </w:t>
            </w:r>
          </w:p>
        </w:tc>
        <w:tc>
          <w:tcPr>
            <w:tcW w:w="0" w:type="auto"/>
            <w:tcBorders>
              <w:top w:val="nil"/>
              <w:left w:val="nil"/>
              <w:bottom w:val="nil"/>
              <w:right w:val="nil"/>
            </w:tcBorders>
            <w:noWrap/>
            <w:vAlign w:val="bottom"/>
            <w:hideMark/>
          </w:tcPr>
          <w:p w14:paraId="3E858EB2"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971,369 </w:t>
            </w:r>
          </w:p>
        </w:tc>
      </w:tr>
      <w:tr w:rsidR="00186DEB" w:rsidRPr="00131BA8" w14:paraId="4810522B" w14:textId="77777777" w:rsidTr="009D1A2E">
        <w:trPr>
          <w:trHeight w:val="173"/>
        </w:trPr>
        <w:tc>
          <w:tcPr>
            <w:tcW w:w="0" w:type="auto"/>
            <w:tcBorders>
              <w:top w:val="nil"/>
              <w:left w:val="nil"/>
              <w:bottom w:val="nil"/>
              <w:right w:val="nil"/>
            </w:tcBorders>
            <w:noWrap/>
            <w:vAlign w:val="bottom"/>
            <w:hideMark/>
          </w:tcPr>
          <w:p w14:paraId="78013ED1"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3,356 </w:t>
            </w:r>
          </w:p>
        </w:tc>
        <w:tc>
          <w:tcPr>
            <w:tcW w:w="0" w:type="auto"/>
            <w:tcBorders>
              <w:top w:val="nil"/>
              <w:left w:val="nil"/>
              <w:bottom w:val="nil"/>
              <w:right w:val="nil"/>
            </w:tcBorders>
            <w:noWrap/>
            <w:vAlign w:val="bottom"/>
            <w:hideMark/>
          </w:tcPr>
          <w:p w14:paraId="62D3DF8B"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48.0%</w:t>
            </w:r>
          </w:p>
        </w:tc>
        <w:tc>
          <w:tcPr>
            <w:tcW w:w="0" w:type="auto"/>
            <w:tcBorders>
              <w:top w:val="nil"/>
              <w:left w:val="nil"/>
              <w:bottom w:val="nil"/>
              <w:right w:val="nil"/>
            </w:tcBorders>
            <w:noWrap/>
            <w:vAlign w:val="bottom"/>
            <w:hideMark/>
          </w:tcPr>
          <w:p w14:paraId="7533CEDB"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530,899 </w:t>
            </w:r>
          </w:p>
        </w:tc>
        <w:tc>
          <w:tcPr>
            <w:tcW w:w="0" w:type="auto"/>
            <w:tcBorders>
              <w:top w:val="nil"/>
              <w:left w:val="nil"/>
              <w:bottom w:val="nil"/>
              <w:right w:val="nil"/>
            </w:tcBorders>
            <w:shd w:val="clear" w:color="000000" w:fill="D8D8D8"/>
            <w:noWrap/>
            <w:vAlign w:val="bottom"/>
            <w:hideMark/>
          </w:tcPr>
          <w:p w14:paraId="5F938EF5"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732,140 </w:t>
            </w:r>
          </w:p>
        </w:tc>
        <w:tc>
          <w:tcPr>
            <w:tcW w:w="0" w:type="auto"/>
            <w:tcBorders>
              <w:top w:val="nil"/>
              <w:left w:val="nil"/>
              <w:bottom w:val="nil"/>
              <w:right w:val="nil"/>
            </w:tcBorders>
            <w:noWrap/>
            <w:vAlign w:val="bottom"/>
            <w:hideMark/>
          </w:tcPr>
          <w:p w14:paraId="3AE04052"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1,059,676 </w:t>
            </w:r>
          </w:p>
        </w:tc>
      </w:tr>
      <w:tr w:rsidR="00186DEB" w:rsidRPr="00131BA8" w14:paraId="0F21AEFC" w14:textId="77777777" w:rsidTr="009D1A2E">
        <w:trPr>
          <w:trHeight w:val="173"/>
        </w:trPr>
        <w:tc>
          <w:tcPr>
            <w:tcW w:w="0" w:type="auto"/>
            <w:tcBorders>
              <w:top w:val="nil"/>
              <w:left w:val="nil"/>
              <w:bottom w:val="nil"/>
              <w:right w:val="nil"/>
            </w:tcBorders>
            <w:noWrap/>
            <w:vAlign w:val="bottom"/>
            <w:hideMark/>
          </w:tcPr>
          <w:p w14:paraId="352D274B"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3,635 </w:t>
            </w:r>
          </w:p>
        </w:tc>
        <w:tc>
          <w:tcPr>
            <w:tcW w:w="0" w:type="auto"/>
            <w:tcBorders>
              <w:top w:val="nil"/>
              <w:left w:val="nil"/>
              <w:bottom w:val="nil"/>
              <w:right w:val="nil"/>
            </w:tcBorders>
            <w:noWrap/>
            <w:vAlign w:val="bottom"/>
            <w:hideMark/>
          </w:tcPr>
          <w:p w14:paraId="204942C3"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52.0%</w:t>
            </w:r>
          </w:p>
        </w:tc>
        <w:tc>
          <w:tcPr>
            <w:tcW w:w="0" w:type="auto"/>
            <w:tcBorders>
              <w:top w:val="nil"/>
              <w:left w:val="nil"/>
              <w:bottom w:val="nil"/>
              <w:right w:val="nil"/>
            </w:tcBorders>
            <w:noWrap/>
            <w:vAlign w:val="bottom"/>
            <w:hideMark/>
          </w:tcPr>
          <w:p w14:paraId="3592F680"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575,140 </w:t>
            </w:r>
          </w:p>
        </w:tc>
        <w:tc>
          <w:tcPr>
            <w:tcW w:w="0" w:type="auto"/>
            <w:tcBorders>
              <w:top w:val="nil"/>
              <w:left w:val="nil"/>
              <w:bottom w:val="nil"/>
              <w:right w:val="nil"/>
            </w:tcBorders>
            <w:noWrap/>
            <w:vAlign w:val="bottom"/>
            <w:hideMark/>
          </w:tcPr>
          <w:p w14:paraId="62076729"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793,151 </w:t>
            </w:r>
          </w:p>
        </w:tc>
        <w:tc>
          <w:tcPr>
            <w:tcW w:w="0" w:type="auto"/>
            <w:tcBorders>
              <w:top w:val="nil"/>
              <w:left w:val="nil"/>
              <w:bottom w:val="nil"/>
              <w:right w:val="nil"/>
            </w:tcBorders>
            <w:noWrap/>
            <w:vAlign w:val="bottom"/>
            <w:hideMark/>
          </w:tcPr>
          <w:p w14:paraId="510D87DB"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1,147,982 </w:t>
            </w:r>
          </w:p>
        </w:tc>
      </w:tr>
      <w:tr w:rsidR="00186DEB" w:rsidRPr="00131BA8" w14:paraId="7C4868E9" w14:textId="77777777" w:rsidTr="009D1A2E">
        <w:trPr>
          <w:trHeight w:val="173"/>
        </w:trPr>
        <w:tc>
          <w:tcPr>
            <w:tcW w:w="0" w:type="auto"/>
            <w:tcBorders>
              <w:top w:val="nil"/>
              <w:left w:val="nil"/>
              <w:bottom w:val="nil"/>
              <w:right w:val="nil"/>
            </w:tcBorders>
            <w:noWrap/>
            <w:vAlign w:val="bottom"/>
            <w:hideMark/>
          </w:tcPr>
          <w:p w14:paraId="1A42A588"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3,915 </w:t>
            </w:r>
          </w:p>
        </w:tc>
        <w:tc>
          <w:tcPr>
            <w:tcW w:w="0" w:type="auto"/>
            <w:tcBorders>
              <w:top w:val="nil"/>
              <w:left w:val="nil"/>
              <w:bottom w:val="nil"/>
              <w:right w:val="nil"/>
            </w:tcBorders>
            <w:noWrap/>
            <w:vAlign w:val="bottom"/>
            <w:hideMark/>
          </w:tcPr>
          <w:p w14:paraId="09D51DCA"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56.0%</w:t>
            </w:r>
          </w:p>
        </w:tc>
        <w:tc>
          <w:tcPr>
            <w:tcW w:w="0" w:type="auto"/>
            <w:tcBorders>
              <w:top w:val="nil"/>
              <w:left w:val="nil"/>
              <w:bottom w:val="nil"/>
              <w:right w:val="nil"/>
            </w:tcBorders>
            <w:noWrap/>
            <w:vAlign w:val="bottom"/>
            <w:hideMark/>
          </w:tcPr>
          <w:p w14:paraId="4FE47785"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619,382 </w:t>
            </w:r>
          </w:p>
        </w:tc>
        <w:tc>
          <w:tcPr>
            <w:tcW w:w="0" w:type="auto"/>
            <w:tcBorders>
              <w:top w:val="nil"/>
              <w:left w:val="nil"/>
              <w:bottom w:val="nil"/>
              <w:right w:val="nil"/>
            </w:tcBorders>
            <w:noWrap/>
            <w:vAlign w:val="bottom"/>
            <w:hideMark/>
          </w:tcPr>
          <w:p w14:paraId="0AC9F872"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854,163 </w:t>
            </w:r>
          </w:p>
        </w:tc>
        <w:tc>
          <w:tcPr>
            <w:tcW w:w="0" w:type="auto"/>
            <w:tcBorders>
              <w:top w:val="nil"/>
              <w:left w:val="nil"/>
              <w:bottom w:val="nil"/>
              <w:right w:val="nil"/>
            </w:tcBorders>
            <w:noWrap/>
            <w:vAlign w:val="bottom"/>
            <w:hideMark/>
          </w:tcPr>
          <w:p w14:paraId="014CD9B3"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1,236,288 </w:t>
            </w:r>
          </w:p>
        </w:tc>
      </w:tr>
      <w:tr w:rsidR="00186DEB" w:rsidRPr="00131BA8" w14:paraId="5CFA2438" w14:textId="77777777" w:rsidTr="009D1A2E">
        <w:trPr>
          <w:trHeight w:val="173"/>
        </w:trPr>
        <w:tc>
          <w:tcPr>
            <w:tcW w:w="0" w:type="auto"/>
            <w:tcBorders>
              <w:top w:val="nil"/>
              <w:left w:val="nil"/>
              <w:bottom w:val="nil"/>
              <w:right w:val="nil"/>
            </w:tcBorders>
            <w:noWrap/>
            <w:vAlign w:val="bottom"/>
            <w:hideMark/>
          </w:tcPr>
          <w:p w14:paraId="00EDBE64"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4,195 </w:t>
            </w:r>
          </w:p>
        </w:tc>
        <w:tc>
          <w:tcPr>
            <w:tcW w:w="0" w:type="auto"/>
            <w:tcBorders>
              <w:top w:val="nil"/>
              <w:left w:val="nil"/>
              <w:bottom w:val="nil"/>
              <w:right w:val="nil"/>
            </w:tcBorders>
            <w:noWrap/>
            <w:vAlign w:val="bottom"/>
            <w:hideMark/>
          </w:tcPr>
          <w:p w14:paraId="3BADB80D"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60.0%</w:t>
            </w:r>
          </w:p>
        </w:tc>
        <w:tc>
          <w:tcPr>
            <w:tcW w:w="0" w:type="auto"/>
            <w:tcBorders>
              <w:top w:val="nil"/>
              <w:left w:val="nil"/>
              <w:bottom w:val="nil"/>
              <w:right w:val="nil"/>
            </w:tcBorders>
            <w:noWrap/>
            <w:vAlign w:val="bottom"/>
            <w:hideMark/>
          </w:tcPr>
          <w:p w14:paraId="127AADA2"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663,623 </w:t>
            </w:r>
          </w:p>
        </w:tc>
        <w:tc>
          <w:tcPr>
            <w:tcW w:w="0" w:type="auto"/>
            <w:tcBorders>
              <w:top w:val="nil"/>
              <w:left w:val="nil"/>
              <w:bottom w:val="nil"/>
              <w:right w:val="nil"/>
            </w:tcBorders>
            <w:noWrap/>
            <w:vAlign w:val="bottom"/>
            <w:hideMark/>
          </w:tcPr>
          <w:p w14:paraId="0763D5CE"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915,175 </w:t>
            </w:r>
          </w:p>
        </w:tc>
        <w:tc>
          <w:tcPr>
            <w:tcW w:w="0" w:type="auto"/>
            <w:tcBorders>
              <w:top w:val="nil"/>
              <w:left w:val="nil"/>
              <w:bottom w:val="nil"/>
              <w:right w:val="nil"/>
            </w:tcBorders>
            <w:noWrap/>
            <w:vAlign w:val="bottom"/>
            <w:hideMark/>
          </w:tcPr>
          <w:p w14:paraId="1C0DEAEC"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1,324,595 </w:t>
            </w:r>
          </w:p>
        </w:tc>
      </w:tr>
      <w:tr w:rsidR="00186DEB" w:rsidRPr="00131BA8" w14:paraId="54C02803" w14:textId="77777777" w:rsidTr="009D1A2E">
        <w:trPr>
          <w:trHeight w:val="173"/>
        </w:trPr>
        <w:tc>
          <w:tcPr>
            <w:tcW w:w="0" w:type="auto"/>
            <w:tcBorders>
              <w:top w:val="nil"/>
              <w:left w:val="nil"/>
              <w:bottom w:val="nil"/>
              <w:right w:val="nil"/>
            </w:tcBorders>
            <w:noWrap/>
            <w:vAlign w:val="bottom"/>
            <w:hideMark/>
          </w:tcPr>
          <w:p w14:paraId="034C52F0"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4,474 </w:t>
            </w:r>
          </w:p>
        </w:tc>
        <w:tc>
          <w:tcPr>
            <w:tcW w:w="0" w:type="auto"/>
            <w:tcBorders>
              <w:top w:val="nil"/>
              <w:left w:val="nil"/>
              <w:bottom w:val="nil"/>
              <w:right w:val="nil"/>
            </w:tcBorders>
            <w:noWrap/>
            <w:vAlign w:val="bottom"/>
            <w:hideMark/>
          </w:tcPr>
          <w:p w14:paraId="22166574"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64.0%</w:t>
            </w:r>
          </w:p>
        </w:tc>
        <w:tc>
          <w:tcPr>
            <w:tcW w:w="0" w:type="auto"/>
            <w:tcBorders>
              <w:top w:val="nil"/>
              <w:left w:val="nil"/>
              <w:bottom w:val="nil"/>
              <w:right w:val="nil"/>
            </w:tcBorders>
            <w:shd w:val="clear" w:color="000000" w:fill="D8D8D8"/>
            <w:noWrap/>
            <w:vAlign w:val="bottom"/>
            <w:hideMark/>
          </w:tcPr>
          <w:p w14:paraId="503EE9AF"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707,865 </w:t>
            </w:r>
          </w:p>
        </w:tc>
        <w:tc>
          <w:tcPr>
            <w:tcW w:w="0" w:type="auto"/>
            <w:tcBorders>
              <w:top w:val="nil"/>
              <w:left w:val="nil"/>
              <w:bottom w:val="nil"/>
              <w:right w:val="nil"/>
            </w:tcBorders>
            <w:noWrap/>
            <w:vAlign w:val="bottom"/>
            <w:hideMark/>
          </w:tcPr>
          <w:p w14:paraId="1897C78D"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976,186 </w:t>
            </w:r>
          </w:p>
        </w:tc>
        <w:tc>
          <w:tcPr>
            <w:tcW w:w="0" w:type="auto"/>
            <w:tcBorders>
              <w:top w:val="nil"/>
              <w:left w:val="nil"/>
              <w:bottom w:val="nil"/>
              <w:right w:val="nil"/>
            </w:tcBorders>
            <w:noWrap/>
            <w:vAlign w:val="bottom"/>
            <w:hideMark/>
          </w:tcPr>
          <w:p w14:paraId="11CF320F" w14:textId="77777777" w:rsidR="00186DEB" w:rsidRPr="00131BA8" w:rsidRDefault="00186DEB" w:rsidP="00B94929">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1,412,901 </w:t>
            </w:r>
          </w:p>
        </w:tc>
      </w:tr>
      <w:tr w:rsidR="00186DEB" w:rsidRPr="00131BA8" w14:paraId="6FFC5250" w14:textId="77777777" w:rsidTr="009D1A2E">
        <w:trPr>
          <w:trHeight w:val="173"/>
        </w:trPr>
        <w:tc>
          <w:tcPr>
            <w:tcW w:w="0" w:type="auto"/>
            <w:gridSpan w:val="4"/>
            <w:tcBorders>
              <w:top w:val="nil"/>
              <w:left w:val="nil"/>
              <w:bottom w:val="nil"/>
              <w:right w:val="nil"/>
            </w:tcBorders>
            <w:noWrap/>
            <w:vAlign w:val="bottom"/>
            <w:hideMark/>
          </w:tcPr>
          <w:p w14:paraId="6ACBEEA1" w14:textId="77777777" w:rsidR="00186DEB" w:rsidRPr="00131BA8" w:rsidRDefault="00186DEB" w:rsidP="00186DEB">
            <w:pPr>
              <w:ind w:firstLine="0"/>
              <w:rPr>
                <w:rFonts w:eastAsia="Times New Roman" w:cs="Times New Roman"/>
                <w:i/>
                <w:color w:val="000000"/>
                <w:sz w:val="18"/>
                <w:szCs w:val="18"/>
                <w:lang w:bidi="ar-SA"/>
              </w:rPr>
            </w:pPr>
            <w:r w:rsidRPr="00131BA8">
              <w:rPr>
                <w:rFonts w:eastAsia="Times New Roman" w:cs="Times New Roman"/>
                <w:i/>
                <w:color w:val="000000"/>
                <w:sz w:val="18"/>
                <w:szCs w:val="18"/>
                <w:lang w:bidi="ar-SA"/>
              </w:rPr>
              <w:t>* Negative Amortization loans (AKA Option ARM</w:t>
            </w:r>
            <w:r w:rsidR="001858B5" w:rsidRPr="00131BA8">
              <w:rPr>
                <w:rFonts w:eastAsia="Times New Roman" w:cs="Times New Roman"/>
                <w:i/>
                <w:color w:val="000000"/>
                <w:sz w:val="18"/>
                <w:szCs w:val="18"/>
                <w:lang w:bidi="ar-SA"/>
              </w:rPr>
              <w:fldChar w:fldCharType="begin"/>
            </w:r>
            <w:r w:rsidR="00C12412" w:rsidRPr="00131BA8">
              <w:rPr>
                <w:sz w:val="18"/>
              </w:rPr>
              <w:instrText xml:space="preserve"> XE "</w:instrText>
            </w:r>
            <w:r w:rsidR="00C12412" w:rsidRPr="00131BA8">
              <w:rPr>
                <w:rFonts w:cs="Times New Roman"/>
                <w:sz w:val="18"/>
              </w:rPr>
              <w:instrText>Option ARM</w:instrText>
            </w:r>
            <w:r w:rsidR="00C12412" w:rsidRPr="00131BA8">
              <w:rPr>
                <w:sz w:val="18"/>
              </w:rPr>
              <w:instrText xml:space="preserve">" </w:instrText>
            </w:r>
            <w:r w:rsidR="001858B5" w:rsidRPr="00131BA8">
              <w:rPr>
                <w:rFonts w:eastAsia="Times New Roman" w:cs="Times New Roman"/>
                <w:i/>
                <w:color w:val="000000"/>
                <w:sz w:val="18"/>
                <w:szCs w:val="18"/>
                <w:lang w:bidi="ar-SA"/>
              </w:rPr>
              <w:fldChar w:fldCharType="end"/>
            </w:r>
            <w:r w:rsidRPr="00131BA8">
              <w:rPr>
                <w:rFonts w:eastAsia="Times New Roman" w:cs="Times New Roman"/>
                <w:i/>
                <w:color w:val="000000"/>
                <w:sz w:val="18"/>
                <w:szCs w:val="18"/>
                <w:lang w:bidi="ar-SA"/>
              </w:rPr>
              <w:t xml:space="preserve">) </w:t>
            </w:r>
          </w:p>
        </w:tc>
        <w:tc>
          <w:tcPr>
            <w:tcW w:w="0" w:type="auto"/>
            <w:tcBorders>
              <w:top w:val="nil"/>
              <w:left w:val="nil"/>
              <w:bottom w:val="nil"/>
              <w:right w:val="nil"/>
            </w:tcBorders>
            <w:noWrap/>
            <w:vAlign w:val="bottom"/>
            <w:hideMark/>
          </w:tcPr>
          <w:p w14:paraId="2C8E73C7" w14:textId="77777777" w:rsidR="00186DEB" w:rsidRPr="00131BA8" w:rsidRDefault="00186DEB" w:rsidP="00186DEB">
            <w:pPr>
              <w:ind w:firstLine="0"/>
              <w:rPr>
                <w:rFonts w:eastAsia="Times New Roman" w:cs="Times New Roman"/>
                <w:color w:val="000000"/>
                <w:sz w:val="18"/>
                <w:szCs w:val="18"/>
                <w:lang w:bidi="ar-SA"/>
              </w:rPr>
            </w:pPr>
          </w:p>
        </w:tc>
      </w:tr>
      <w:tr w:rsidR="00B94929" w:rsidRPr="00131BA8" w14:paraId="1882D275" w14:textId="77777777" w:rsidTr="009D1A2E">
        <w:trPr>
          <w:trHeight w:val="173"/>
        </w:trPr>
        <w:tc>
          <w:tcPr>
            <w:tcW w:w="0" w:type="auto"/>
            <w:gridSpan w:val="4"/>
            <w:tcBorders>
              <w:top w:val="nil"/>
              <w:left w:val="nil"/>
              <w:bottom w:val="nil"/>
              <w:right w:val="nil"/>
            </w:tcBorders>
            <w:noWrap/>
            <w:vAlign w:val="bottom"/>
            <w:hideMark/>
          </w:tcPr>
          <w:p w14:paraId="3DEEA9AB" w14:textId="77777777" w:rsidR="00B94929" w:rsidRPr="00131BA8" w:rsidRDefault="00B94929" w:rsidP="00186DEB">
            <w:pPr>
              <w:ind w:firstLine="0"/>
              <w:rPr>
                <w:rFonts w:eastAsia="Times New Roman" w:cs="Times New Roman"/>
                <w:i/>
                <w:color w:val="000000"/>
                <w:sz w:val="18"/>
                <w:szCs w:val="18"/>
                <w:lang w:bidi="ar-SA"/>
              </w:rPr>
            </w:pPr>
          </w:p>
        </w:tc>
        <w:tc>
          <w:tcPr>
            <w:tcW w:w="0" w:type="auto"/>
            <w:tcBorders>
              <w:top w:val="nil"/>
              <w:left w:val="nil"/>
              <w:bottom w:val="nil"/>
              <w:right w:val="nil"/>
            </w:tcBorders>
            <w:noWrap/>
            <w:vAlign w:val="bottom"/>
            <w:hideMark/>
          </w:tcPr>
          <w:p w14:paraId="07EFE076" w14:textId="77777777" w:rsidR="00B94929" w:rsidRPr="00131BA8" w:rsidRDefault="00B94929" w:rsidP="00186DEB">
            <w:pPr>
              <w:ind w:firstLine="0"/>
              <w:rPr>
                <w:rFonts w:eastAsia="Times New Roman" w:cs="Times New Roman"/>
                <w:color w:val="000000"/>
                <w:sz w:val="18"/>
                <w:szCs w:val="18"/>
                <w:lang w:bidi="ar-SA"/>
              </w:rPr>
            </w:pPr>
          </w:p>
        </w:tc>
      </w:tr>
    </w:tbl>
    <w:p w14:paraId="6DD07FD5" w14:textId="77777777" w:rsidR="00F44089" w:rsidRPr="00124B71" w:rsidRDefault="00753785" w:rsidP="00F44089">
      <w:pPr>
        <w:rPr>
          <w:rFonts w:cs="Times New Roman"/>
        </w:rPr>
      </w:pPr>
      <w:r w:rsidRPr="00124B71">
        <w:rPr>
          <w:rFonts w:cs="Times New Roman"/>
        </w:rPr>
        <w:t>The most important single factor in the expansion of credit was the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 also known as the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Pr="00124B71">
        <w:rPr>
          <w:rFonts w:cs="Times New Roman"/>
        </w:rPr>
        <w:t xml:space="preserve">. The payment rates on </w:t>
      </w:r>
      <w:r w:rsidR="00F44089" w:rsidRPr="00124B71">
        <w:rPr>
          <w:rFonts w:cs="Times New Roman"/>
        </w:rPr>
        <w:t>Option ARMs differ widely, but for the sake of this calculation, assume a 3.8% teaser rate (</w:t>
      </w:r>
      <w:r w:rsidR="00985D4E" w:rsidRPr="00124B71">
        <w:rPr>
          <w:rFonts w:cs="Times New Roman"/>
        </w:rPr>
        <w:t>they</w:t>
      </w:r>
      <w:r w:rsidR="00F44089" w:rsidRPr="00124B71">
        <w:rPr>
          <w:rFonts w:cs="Times New Roman"/>
        </w:rPr>
        <w:t xml:space="preserve"> </w:t>
      </w:r>
      <w:r w:rsidR="00B94929" w:rsidRPr="00124B71">
        <w:rPr>
          <w:rFonts w:cs="Times New Roman"/>
        </w:rPr>
        <w:t>were</w:t>
      </w:r>
      <w:r w:rsidR="00F44089" w:rsidRPr="00124B71">
        <w:rPr>
          <w:rFonts w:cs="Times New Roman"/>
        </w:rPr>
        <w:t xml:space="preserve"> as low as 1 %</w:t>
      </w:r>
      <w:r w:rsidR="00A40CA5" w:rsidRPr="00124B71">
        <w:rPr>
          <w:rFonts w:cs="Times New Roman"/>
        </w:rPr>
        <w:t>).</w:t>
      </w:r>
      <w:r w:rsidR="00F44089" w:rsidRPr="00124B71">
        <w:rPr>
          <w:rFonts w:cs="Times New Roman"/>
        </w:rPr>
        <w:t xml:space="preserve"> The $1,957 payment finances $309,691 with a </w:t>
      </w:r>
      <w:r w:rsidR="00985D4E" w:rsidRPr="00124B71">
        <w:rPr>
          <w:rFonts w:cs="Times New Roman"/>
        </w:rPr>
        <w:t>C</w:t>
      </w:r>
      <w:r w:rsidR="00F44089" w:rsidRPr="00124B71">
        <w:rPr>
          <w:rFonts w:cs="Times New Roman"/>
        </w:rPr>
        <w:t>onventional mortgage</w:t>
      </w:r>
      <w:r w:rsidR="001858B5">
        <w:rPr>
          <w:rFonts w:cs="Times New Roman"/>
        </w:rPr>
        <w:fldChar w:fldCharType="begin"/>
      </w:r>
      <w:r w:rsidR="00E84A0F">
        <w:instrText xml:space="preserve"> XE "</w:instrText>
      </w:r>
      <w:r w:rsidR="00E84A0F" w:rsidRPr="00802046">
        <w:rPr>
          <w:rFonts w:cs="Times New Roman"/>
        </w:rPr>
        <w:instrText>Conventional mortgage</w:instrText>
      </w:r>
      <w:r w:rsidR="00E84A0F">
        <w:instrText xml:space="preserve">" </w:instrText>
      </w:r>
      <w:r w:rsidR="001858B5">
        <w:rPr>
          <w:rFonts w:cs="Times New Roman"/>
        </w:rPr>
        <w:fldChar w:fldCharType="end"/>
      </w:r>
      <w:r w:rsidR="00F44089" w:rsidRPr="00124B71">
        <w:rPr>
          <w:rFonts w:cs="Times New Roman"/>
        </w:rPr>
        <w:t xml:space="preserve">, $427,081 with an </w:t>
      </w:r>
      <w:r w:rsidR="00985D4E" w:rsidRPr="00124B71">
        <w:rPr>
          <w:rFonts w:cs="Times New Roman"/>
        </w:rPr>
        <w:t xml:space="preserve">Interest-Only </w:t>
      </w:r>
      <w:r w:rsidR="00F44089" w:rsidRPr="00124B71">
        <w:rPr>
          <w:rFonts w:cs="Times New Roman"/>
        </w:rPr>
        <w:t xml:space="preserve">mortgage, and a whopping </w:t>
      </w:r>
      <w:r w:rsidR="00F44089" w:rsidRPr="00124B71">
        <w:rPr>
          <w:rFonts w:cs="Times New Roman"/>
          <w:bCs/>
        </w:rPr>
        <w:t>$618,144</w:t>
      </w:r>
      <w:r w:rsidR="00F44089" w:rsidRPr="00124B71">
        <w:rPr>
          <w:rFonts w:cs="Times New Roman"/>
        </w:rPr>
        <w:t xml:space="preserve"> with </w:t>
      </w:r>
      <w:r w:rsidR="00985D4E" w:rsidRPr="00124B71">
        <w:rPr>
          <w:rFonts w:cs="Times New Roman"/>
        </w:rPr>
        <w:t>Negative Amortization</w:t>
      </w:r>
      <w:r w:rsidR="00F44089" w:rsidRPr="00124B71">
        <w:rPr>
          <w:rFonts w:cs="Times New Roman"/>
        </w:rPr>
        <w:t>. Stop for a moment and ponder the math:</w:t>
      </w:r>
      <w:r w:rsidR="00F44089" w:rsidRPr="00124B71">
        <w:rPr>
          <w:rFonts w:cs="Times New Roman"/>
          <w:iCs/>
        </w:rPr>
        <w:t xml:space="preserve"> the same payment now finances 100% more money</w:t>
      </w:r>
      <w:r w:rsidR="00F44089" w:rsidRPr="00124B71">
        <w:rPr>
          <w:rFonts w:cs="Times New Roman"/>
        </w:rPr>
        <w:t xml:space="preserve">. Is it any wonder the real estate in bubble markets like Irvine, California, were 100% overvalued at the top? People purchasing with Option ARMs </w:t>
      </w:r>
      <w:r w:rsidR="00F44089" w:rsidRPr="00124B71">
        <w:rPr>
          <w:rFonts w:cs="Times New Roman"/>
          <w:iCs/>
        </w:rPr>
        <w:t>were</w:t>
      </w:r>
      <w:r w:rsidR="00F44089" w:rsidRPr="00124B71">
        <w:rPr>
          <w:rFonts w:cs="Times New Roman"/>
          <w:i/>
          <w:iCs/>
        </w:rPr>
        <w:t xml:space="preserve"> </w:t>
      </w:r>
      <w:r w:rsidR="00F44089" w:rsidRPr="00124B71">
        <w:rPr>
          <w:rFonts w:cs="Times New Roman"/>
        </w:rPr>
        <w:t>buyin</w:t>
      </w:r>
      <w:r w:rsidR="00E859EB" w:rsidRPr="00124B71">
        <w:rPr>
          <w:rFonts w:cs="Times New Roman"/>
        </w:rPr>
        <w:t>g at the rental equivalent monthly cashflow</w:t>
      </w:r>
      <w:r w:rsidR="007C469A">
        <w:rPr>
          <w:rFonts w:cs="Times New Roman"/>
        </w:rPr>
        <w:t>–</w:t>
      </w:r>
      <w:r w:rsidR="00E859EB" w:rsidRPr="00124B71">
        <w:rPr>
          <w:rFonts w:cs="Times New Roman"/>
        </w:rPr>
        <w:t>at least for a while</w:t>
      </w:r>
      <w:r w:rsidR="00F44089" w:rsidRPr="00124B71">
        <w:rPr>
          <w:rFonts w:cs="Times New Roman"/>
        </w:rPr>
        <w:t xml:space="preserve">. From a financing perspective, the market was </w:t>
      </w:r>
      <w:r w:rsidR="00F44089" w:rsidRPr="00124B71">
        <w:rPr>
          <w:rFonts w:cs="Times New Roman"/>
          <w:iCs/>
        </w:rPr>
        <w:t>not</w:t>
      </w:r>
      <w:r w:rsidR="00F44089" w:rsidRPr="00124B71">
        <w:rPr>
          <w:rFonts w:cs="Times New Roman"/>
          <w:i/>
          <w:iCs/>
        </w:rPr>
        <w:t xml:space="preserve"> </w:t>
      </w:r>
      <w:r w:rsidR="00F44089" w:rsidRPr="00124B71">
        <w:rPr>
          <w:rFonts w:cs="Times New Roman"/>
        </w:rPr>
        <w:t xml:space="preserve">overvalued. People were paying exactly what </w:t>
      </w:r>
      <w:r w:rsidR="00F44089" w:rsidRPr="00124B71">
        <w:rPr>
          <w:rFonts w:cs="Times New Roman"/>
        </w:rPr>
        <w:lastRenderedPageBreak/>
        <w:t>they should have been paying. They were just doing it with loan terms which were going to destroy them</w:t>
      </w:r>
      <w:r w:rsidR="007C469A">
        <w:rPr>
          <w:rFonts w:cs="Times New Roman"/>
        </w:rPr>
        <w:t>–</w:t>
      </w:r>
      <w:r w:rsidR="00F44089" w:rsidRPr="00124B71">
        <w:rPr>
          <w:rFonts w:cs="Times New Roman"/>
        </w:rPr>
        <w:t>hence the term</w:t>
      </w:r>
      <w:r w:rsidR="009F3245" w:rsidRPr="00124B71">
        <w:rPr>
          <w:rFonts w:cs="Times New Roman"/>
        </w:rPr>
        <w:t>s</w:t>
      </w:r>
      <w:r w:rsidR="00F44089" w:rsidRPr="00124B71">
        <w:rPr>
          <w:rFonts w:cs="Times New Roman"/>
        </w:rPr>
        <w:t xml:space="preserve"> </w:t>
      </w:r>
      <w:r w:rsidR="009F3245" w:rsidRPr="00124B71">
        <w:rPr>
          <w:rFonts w:cs="Times New Roman"/>
        </w:rPr>
        <w:t>“toxic financing</w:t>
      </w:r>
      <w:r w:rsidR="001858B5">
        <w:rPr>
          <w:rFonts w:cs="Times New Roman"/>
        </w:rPr>
        <w:fldChar w:fldCharType="begin"/>
      </w:r>
      <w:r w:rsidR="00AE7D38">
        <w:instrText xml:space="preserve"> XE "</w:instrText>
      </w:r>
      <w:r w:rsidR="00AE7D38" w:rsidRPr="002736E7">
        <w:rPr>
          <w:rFonts w:cs="Times New Roman"/>
        </w:rPr>
        <w:instrText>toxic financing</w:instrText>
      </w:r>
      <w:r w:rsidR="00AE7D38">
        <w:instrText xml:space="preserve">" </w:instrText>
      </w:r>
      <w:r w:rsidR="001858B5">
        <w:rPr>
          <w:rFonts w:cs="Times New Roman"/>
        </w:rPr>
        <w:fldChar w:fldCharType="end"/>
      </w:r>
      <w:r w:rsidR="009F3245" w:rsidRPr="00124B71">
        <w:rPr>
          <w:rFonts w:cs="Times New Roman"/>
        </w:rPr>
        <w:t xml:space="preserve">” and </w:t>
      </w:r>
      <w:r w:rsidR="00F44089" w:rsidRPr="00124B71">
        <w:rPr>
          <w:rFonts w:cs="Times New Roman"/>
        </w:rPr>
        <w:t>“suicide loan</w:t>
      </w:r>
      <w:r w:rsidR="001858B5">
        <w:rPr>
          <w:rFonts w:cs="Times New Roman"/>
        </w:rPr>
        <w:fldChar w:fldCharType="begin"/>
      </w:r>
      <w:r w:rsidR="00AE7D38">
        <w:instrText xml:space="preserve"> XE "</w:instrText>
      </w:r>
      <w:r w:rsidR="00AE7D38" w:rsidRPr="00C1719D">
        <w:rPr>
          <w:rFonts w:cs="Times New Roman"/>
        </w:rPr>
        <w:instrText>suicide loan</w:instrText>
      </w:r>
      <w:r w:rsidR="00AE7D38">
        <w:instrText xml:space="preserve">" </w:instrText>
      </w:r>
      <w:r w:rsidR="001858B5">
        <w:rPr>
          <w:rFonts w:cs="Times New Roman"/>
        </w:rPr>
        <w:fldChar w:fldCharType="end"/>
      </w:r>
      <w:r w:rsidR="00F44089" w:rsidRPr="00124B71">
        <w:rPr>
          <w:rFonts w:cs="Times New Roman"/>
        </w:rPr>
        <w:t>.” This point cannot be overemphasized</w:t>
      </w:r>
      <w:r w:rsidR="007C469A">
        <w:rPr>
          <w:rFonts w:cs="Times New Roman"/>
        </w:rPr>
        <w:t>–</w:t>
      </w:r>
      <w:r w:rsidR="00F44089" w:rsidRPr="00124B71">
        <w:rPr>
          <w:rFonts w:cs="Times New Roman"/>
        </w:rPr>
        <w:t xml:space="preserve">Negative </w:t>
      </w:r>
      <w:r w:rsidR="00985D4E" w:rsidRPr="00124B71">
        <w:rPr>
          <w:rFonts w:cs="Times New Roman"/>
        </w:rPr>
        <w:t>A</w:t>
      </w:r>
      <w:r w:rsidR="00F44089" w:rsidRPr="00124B71">
        <w:rPr>
          <w:rFonts w:cs="Times New Roman"/>
        </w:rPr>
        <w:t xml:space="preserve">mortization loans </w:t>
      </w:r>
      <w:r w:rsidR="000C6734" w:rsidRPr="00124B71">
        <w:rPr>
          <w:rFonts w:cs="Times New Roman"/>
        </w:rPr>
        <w:t>inflated</w:t>
      </w:r>
      <w:r w:rsidR="00F44089" w:rsidRPr="00124B71">
        <w:rPr>
          <w:rFonts w:cs="Times New Roman"/>
        </w:rPr>
        <w:t xml:space="preserve"> the </w:t>
      </w:r>
      <w:r w:rsidR="00985D4E" w:rsidRPr="00124B71">
        <w:rPr>
          <w:rFonts w:cs="Times New Roman"/>
        </w:rPr>
        <w:t>Great Housing Bubble</w:t>
      </w:r>
      <w:r w:rsidR="00F44089" w:rsidRPr="00124B71">
        <w:rPr>
          <w:rFonts w:cs="Times New Roman"/>
        </w:rPr>
        <w:t xml:space="preserve">. If this loan product had not been offered and aggressively pushed by lenders, the bubble would not have inflated to the degree </w:t>
      </w:r>
      <w:r w:rsidR="00985D4E" w:rsidRPr="00124B71">
        <w:rPr>
          <w:rFonts w:cs="Times New Roman"/>
        </w:rPr>
        <w:t>that it did</w:t>
      </w:r>
      <w:r w:rsidR="00F44089" w:rsidRPr="00124B71">
        <w:rPr>
          <w:rFonts w:cs="Times New Roman"/>
        </w:rPr>
        <w:t>.</w:t>
      </w:r>
    </w:p>
    <w:p w14:paraId="72C50A75" w14:textId="4AE61725" w:rsidR="000C6734" w:rsidRPr="00EF0EDA" w:rsidRDefault="00CF05FE" w:rsidP="000C6734">
      <w:pPr>
        <w:pStyle w:val="Caption"/>
      </w:pPr>
      <w:bookmarkStart w:id="126" w:name="_Toc238867465"/>
      <w:r>
        <w:t>Figure</w:t>
      </w:r>
      <w:r w:rsidR="000C6734" w:rsidRPr="00EF0EDA">
        <w:t xml:space="preserve"> </w:t>
      </w:r>
      <w:fldSimple w:instr=" SEQ Figure \* ARABIC ">
        <w:r w:rsidR="00493733">
          <w:rPr>
            <w:noProof/>
          </w:rPr>
          <w:t>24</w:t>
        </w:r>
      </w:fldSimple>
      <w:r w:rsidR="00317936">
        <w:t xml:space="preserve">: </w:t>
      </w:r>
      <w:r w:rsidR="000C6734" w:rsidRPr="00EF0EDA">
        <w:t>Market Rally Supply and Demand</w:t>
      </w:r>
      <w:bookmarkEnd w:id="126"/>
    </w:p>
    <w:p w14:paraId="0C2F22EB" w14:textId="77777777" w:rsidR="000C6734" w:rsidRPr="00EF0EDA" w:rsidRDefault="009266EA" w:rsidP="005B15BB">
      <w:pPr>
        <w:pStyle w:val="Graphics"/>
      </w:pPr>
      <w:r>
        <w:drawing>
          <wp:inline distT="0" distB="0" distL="0" distR="0" wp14:anchorId="453E6A6A" wp14:editId="06853369">
            <wp:extent cx="3657600" cy="3764280"/>
            <wp:effectExtent l="19050" t="0" r="0" b="0"/>
            <wp:docPr id="89" name="Picture 88" descr="Market Rally Supply and Dem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et Rally Supply and Demand.jpg"/>
                    <pic:cNvPicPr/>
                  </pic:nvPicPr>
                  <pic:blipFill>
                    <a:blip r:embed="rId58"/>
                    <a:stretch>
                      <a:fillRect/>
                    </a:stretch>
                  </pic:blipFill>
                  <pic:spPr>
                    <a:xfrm>
                      <a:off x="0" y="0"/>
                      <a:ext cx="3657600" cy="3764280"/>
                    </a:xfrm>
                    <a:prstGeom prst="rect">
                      <a:avLst/>
                    </a:prstGeom>
                  </pic:spPr>
                </pic:pic>
              </a:graphicData>
            </a:graphic>
          </wp:inline>
        </w:drawing>
      </w:r>
    </w:p>
    <w:p w14:paraId="075B40F4" w14:textId="77777777" w:rsidR="0056372B" w:rsidRPr="00124B71" w:rsidRDefault="0056372B" w:rsidP="00A55CE3">
      <w:pPr>
        <w:rPr>
          <w:rFonts w:cs="Times New Roman"/>
        </w:rPr>
      </w:pPr>
      <w:r w:rsidRPr="00124B71">
        <w:rPr>
          <w:rFonts w:cs="Times New Roman"/>
        </w:rPr>
        <w:t>The supply curve</w:t>
      </w:r>
      <w:r w:rsidR="001858B5">
        <w:rPr>
          <w:rFonts w:cs="Times New Roman"/>
        </w:rPr>
        <w:fldChar w:fldCharType="begin"/>
      </w:r>
      <w:r w:rsidR="00AE7D38">
        <w:instrText xml:space="preserve"> XE "</w:instrText>
      </w:r>
      <w:r w:rsidR="00AE7D38" w:rsidRPr="00992360">
        <w:rPr>
          <w:rFonts w:cs="Times New Roman"/>
        </w:rPr>
        <w:instrText>supply curve</w:instrText>
      </w:r>
      <w:r w:rsidR="00AE7D38">
        <w:instrText xml:space="preserve">" </w:instrText>
      </w:r>
      <w:r w:rsidR="001858B5">
        <w:rPr>
          <w:rFonts w:cs="Times New Roman"/>
        </w:rPr>
        <w:fldChar w:fldCharType="end"/>
      </w:r>
      <w:r w:rsidRPr="00124B71">
        <w:rPr>
          <w:rFonts w:cs="Times New Roman"/>
        </w:rPr>
        <w:t xml:space="preserve"> is the opposite of the demand curve</w:t>
      </w:r>
      <w:r w:rsidR="001858B5">
        <w:rPr>
          <w:rFonts w:cs="Times New Roman"/>
        </w:rPr>
        <w:fldChar w:fldCharType="begin"/>
      </w:r>
      <w:r w:rsidR="00AE7D38">
        <w:instrText xml:space="preserve"> XE "</w:instrText>
      </w:r>
      <w:r w:rsidR="00AE7D38" w:rsidRPr="00743100">
        <w:rPr>
          <w:rFonts w:cs="Times New Roman"/>
        </w:rPr>
        <w:instrText>demand curve</w:instrText>
      </w:r>
      <w:r w:rsidR="00AE7D38">
        <w:instrText xml:space="preserve">" </w:instrText>
      </w:r>
      <w:r w:rsidR="001858B5">
        <w:rPr>
          <w:rFonts w:cs="Times New Roman"/>
        </w:rPr>
        <w:fldChar w:fldCharType="end"/>
      </w:r>
      <w:r w:rsidRPr="00124B71">
        <w:rPr>
          <w:rFonts w:cs="Times New Roman"/>
        </w:rPr>
        <w:t>: sellers will make very few units available at low prices, and sellers will make a great many available at higher prices. Wherever these two curves meet is where supply and demand</w:t>
      </w:r>
      <w:r w:rsidR="001858B5">
        <w:rPr>
          <w:rFonts w:cs="Times New Roman"/>
        </w:rPr>
        <w:fldChar w:fldCharType="begin"/>
      </w:r>
      <w:r w:rsidR="002321D5">
        <w:instrText xml:space="preserve"> XE "</w:instrText>
      </w:r>
      <w:r w:rsidR="002321D5" w:rsidRPr="00112EC2">
        <w:rPr>
          <w:rFonts w:cs="Times New Roman"/>
        </w:rPr>
        <w:instrText>supply and demand</w:instrText>
      </w:r>
      <w:r w:rsidR="002321D5">
        <w:instrText xml:space="preserve">" </w:instrText>
      </w:r>
      <w:r w:rsidR="001858B5">
        <w:rPr>
          <w:rFonts w:cs="Times New Roman"/>
        </w:rPr>
        <w:fldChar w:fldCharType="end"/>
      </w:r>
      <w:r w:rsidRPr="00124B71">
        <w:rPr>
          <w:rFonts w:cs="Times New Roman"/>
        </w:rPr>
        <w:t xml:space="preserve"> are in balance and market transactions are taking place. In the initial stages of a market rally both transaction volumes and prices are increasing rapidly.</w:t>
      </w:r>
      <w:r w:rsidR="00E859EB" w:rsidRPr="00124B71">
        <w:rPr>
          <w:rFonts w:cs="Times New Roman"/>
        </w:rPr>
        <w:t xml:space="preserve"> In states with a cumbersome entitlement process</w:t>
      </w:r>
      <w:r w:rsidR="001858B5">
        <w:rPr>
          <w:rFonts w:cs="Times New Roman"/>
        </w:rPr>
        <w:fldChar w:fldCharType="begin"/>
      </w:r>
      <w:r w:rsidR="002321D5">
        <w:instrText xml:space="preserve"> XE "</w:instrText>
      </w:r>
      <w:r w:rsidR="002321D5" w:rsidRPr="00D5024D">
        <w:rPr>
          <w:rFonts w:cs="Times New Roman"/>
        </w:rPr>
        <w:instrText>entitlement process</w:instrText>
      </w:r>
      <w:r w:rsidR="002321D5">
        <w:instrText xml:space="preserve">" </w:instrText>
      </w:r>
      <w:r w:rsidR="001858B5">
        <w:rPr>
          <w:rFonts w:cs="Times New Roman"/>
        </w:rPr>
        <w:fldChar w:fldCharType="end"/>
      </w:r>
      <w:r w:rsidR="00E859EB" w:rsidRPr="00124B71">
        <w:rPr>
          <w:rFonts w:cs="Times New Roman"/>
        </w:rPr>
        <w:t xml:space="preserve"> like California or in the Northeastern part of the country, delays in bringing supply to the market exacerbates the initial price increase and ignites the speculative frenzy.</w:t>
      </w:r>
      <w:r w:rsidRPr="00124B71">
        <w:rPr>
          <w:rFonts w:cs="Times New Roman"/>
        </w:rPr>
        <w:t xml:space="preserve"> </w:t>
      </w:r>
      <w:r w:rsidR="00985D4E" w:rsidRPr="00124B71">
        <w:rPr>
          <w:rFonts w:cs="Times New Roman"/>
        </w:rPr>
        <w:t>During</w:t>
      </w:r>
      <w:r w:rsidRPr="00124B71">
        <w:rPr>
          <w:rFonts w:cs="Times New Roman"/>
        </w:rPr>
        <w:t xml:space="preserve"> the Great Housing Bubble, </w:t>
      </w:r>
      <w:r w:rsidR="00E859EB" w:rsidRPr="00124B71">
        <w:rPr>
          <w:rFonts w:cs="Times New Roman"/>
        </w:rPr>
        <w:t>an increase in demand</w:t>
      </w:r>
      <w:r w:rsidRPr="00124B71">
        <w:rPr>
          <w:rFonts w:cs="Times New Roman"/>
        </w:rPr>
        <w:t xml:space="preserve"> was caused by a dramatic expansion of lending and credit. As a price rally matures sellers become reluctant to sell because the asset they own is </w:t>
      </w:r>
      <w:r w:rsidR="00985D4E" w:rsidRPr="00124B71">
        <w:rPr>
          <w:rFonts w:cs="Times New Roman"/>
        </w:rPr>
        <w:t>appreciating rapidly</w:t>
      </w:r>
      <w:r w:rsidRPr="00124B71">
        <w:rPr>
          <w:rFonts w:cs="Times New Roman"/>
        </w:rPr>
        <w:t>, and they do</w:t>
      </w:r>
      <w:r w:rsidR="000C6734" w:rsidRPr="00124B71">
        <w:rPr>
          <w:rFonts w:cs="Times New Roman"/>
        </w:rPr>
        <w:t xml:space="preserve"> </w:t>
      </w:r>
      <w:r w:rsidRPr="00124B71">
        <w:rPr>
          <w:rFonts w:cs="Times New Roman"/>
        </w:rPr>
        <w:t>n</w:t>
      </w:r>
      <w:r w:rsidR="000C6734" w:rsidRPr="00124B71">
        <w:rPr>
          <w:rFonts w:cs="Times New Roman"/>
        </w:rPr>
        <w:t>o</w:t>
      </w:r>
      <w:r w:rsidRPr="00124B71">
        <w:rPr>
          <w:rFonts w:cs="Times New Roman"/>
        </w:rPr>
        <w:t>t want to miss the opportunity to profit</w:t>
      </w:r>
      <w:r w:rsidR="00985D4E" w:rsidRPr="00124B71">
        <w:rPr>
          <w:rFonts w:cs="Times New Roman"/>
        </w:rPr>
        <w:t xml:space="preserve"> further</w:t>
      </w:r>
      <w:r w:rsidRPr="00124B71">
        <w:rPr>
          <w:rFonts w:cs="Times New Roman"/>
        </w:rPr>
        <w:t xml:space="preserve">. This limits the supply on the </w:t>
      </w:r>
      <w:r w:rsidRPr="00124B71">
        <w:rPr>
          <w:rFonts w:cs="Times New Roman"/>
        </w:rPr>
        <w:lastRenderedPageBreak/>
        <w:t>market. In terms of the supply and demand diagram, this shifts the supply curve to the left which pushes the balance between supply and demand to a higher price point. The demand curve shift</w:t>
      </w:r>
      <w:r w:rsidR="00985D4E" w:rsidRPr="00124B71">
        <w:rPr>
          <w:rFonts w:cs="Times New Roman"/>
        </w:rPr>
        <w:t>s</w:t>
      </w:r>
      <w:r w:rsidRPr="00124B71">
        <w:rPr>
          <w:rFonts w:cs="Times New Roman"/>
        </w:rPr>
        <w:t xml:space="preserve"> to the right from the increased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Pr="00124B71">
        <w:rPr>
          <w:rFonts w:cs="Times New Roman"/>
        </w:rPr>
        <w:t xml:space="preserve"> of the lending environment </w:t>
      </w:r>
      <w:r w:rsidR="00985D4E" w:rsidRPr="00124B71">
        <w:rPr>
          <w:rFonts w:cs="Times New Roman"/>
        </w:rPr>
        <w:t>and</w:t>
      </w:r>
      <w:r w:rsidRPr="00124B71">
        <w:rPr>
          <w:rFonts w:cs="Times New Roman"/>
        </w:rPr>
        <w:t xml:space="preserve"> the supply curve shift</w:t>
      </w:r>
      <w:r w:rsidR="00985D4E" w:rsidRPr="00124B71">
        <w:rPr>
          <w:rFonts w:cs="Times New Roman"/>
        </w:rPr>
        <w:t>s</w:t>
      </w:r>
      <w:r w:rsidRPr="00124B71">
        <w:rPr>
          <w:rFonts w:cs="Times New Roman"/>
        </w:rPr>
        <w:t xml:space="preserve"> to the left because of seller reluctance</w:t>
      </w:r>
      <w:r w:rsidR="00985D4E" w:rsidRPr="00124B71">
        <w:rPr>
          <w:rFonts w:cs="Times New Roman"/>
        </w:rPr>
        <w:t>;</w:t>
      </w:r>
      <w:r w:rsidRPr="00124B71">
        <w:rPr>
          <w:rFonts w:cs="Times New Roman"/>
        </w:rPr>
        <w:t xml:space="preserve"> the intersection of these two lines moves prices </w:t>
      </w:r>
      <w:r w:rsidR="009F3245" w:rsidRPr="00124B71">
        <w:rPr>
          <w:rFonts w:cs="Times New Roman"/>
        </w:rPr>
        <w:t>markedly</w:t>
      </w:r>
      <w:r w:rsidRPr="00124B71">
        <w:rPr>
          <w:rFonts w:cs="Times New Roman"/>
        </w:rPr>
        <w:t xml:space="preserve"> higher. However, once these two forces come into balance, their intersection is at a point of low transaction volume. There are fewer buyers who can afford the higher prices, so transaction volumes fall</w:t>
      </w:r>
      <w:r w:rsidR="00483CE0" w:rsidRPr="00124B71">
        <w:rPr>
          <w:rFonts w:cs="Times New Roman"/>
        </w:rPr>
        <w:t>.</w:t>
      </w:r>
      <w:r w:rsidR="00635AA0" w:rsidRPr="00124B71">
        <w:rPr>
          <w:rFonts w:cs="Times New Roman"/>
        </w:rPr>
        <w:t xml:space="preserve"> </w:t>
      </w:r>
      <w:r w:rsidR="00F83931" w:rsidRPr="00124B71">
        <w:rPr>
          <w:rStyle w:val="EndnoteReference"/>
          <w:rFonts w:cs="Times New Roman"/>
        </w:rPr>
        <w:endnoteReference w:id="82"/>
      </w:r>
    </w:p>
    <w:p w14:paraId="52D7913A" w14:textId="77777777" w:rsidR="0056372B" w:rsidRPr="00124B71" w:rsidRDefault="0056372B" w:rsidP="00A55CE3">
      <w:pPr>
        <w:rPr>
          <w:rFonts w:cs="Times New Roman"/>
        </w:rPr>
      </w:pPr>
      <w:r w:rsidRPr="00124B71">
        <w:rPr>
          <w:rFonts w:cs="Times New Roman"/>
        </w:rPr>
        <w:t>The first sign of a troubled real estate market is a dramatic reduction in volume known as buyer exhaustion</w:t>
      </w:r>
      <w:r w:rsidR="001858B5">
        <w:rPr>
          <w:rFonts w:cs="Times New Roman"/>
        </w:rPr>
        <w:fldChar w:fldCharType="begin"/>
      </w:r>
      <w:r w:rsidR="00AE7D38">
        <w:instrText xml:space="preserve"> XE "</w:instrText>
      </w:r>
      <w:r w:rsidR="00AE7D38" w:rsidRPr="00FE7CC2">
        <w:rPr>
          <w:rFonts w:cs="Times New Roman"/>
        </w:rPr>
        <w:instrText>buyer exhaustion</w:instrText>
      </w:r>
      <w:r w:rsidR="00AE7D38">
        <w:instrText xml:space="preserve">" </w:instrText>
      </w:r>
      <w:r w:rsidR="001858B5">
        <w:rPr>
          <w:rFonts w:cs="Times New Roman"/>
        </w:rPr>
        <w:fldChar w:fldCharType="end"/>
      </w:r>
      <w:r w:rsidRPr="00124B71">
        <w:rPr>
          <w:rFonts w:cs="Times New Roman"/>
        </w:rPr>
        <w:t>. There are simply not enough buyers able or willing to push prices any higher even at the lower transaction volumes. In a residential real estate market, this phenomenon is particularly pronounced at the entry level. The imbalance between supply and demand</w:t>
      </w:r>
      <w:r w:rsidR="001858B5">
        <w:rPr>
          <w:rFonts w:cs="Times New Roman"/>
        </w:rPr>
        <w:fldChar w:fldCharType="begin"/>
      </w:r>
      <w:r w:rsidR="002321D5">
        <w:instrText xml:space="preserve"> XE "</w:instrText>
      </w:r>
      <w:r w:rsidR="002321D5" w:rsidRPr="00112EC2">
        <w:rPr>
          <w:rFonts w:cs="Times New Roman"/>
        </w:rPr>
        <w:instrText>supply and demand</w:instrText>
      </w:r>
      <w:r w:rsidR="002321D5">
        <w:instrText xml:space="preserve">" </w:instrText>
      </w:r>
      <w:r w:rsidR="001858B5">
        <w:rPr>
          <w:rFonts w:cs="Times New Roman"/>
        </w:rPr>
        <w:fldChar w:fldCharType="end"/>
      </w:r>
      <w:r w:rsidRPr="00124B71">
        <w:rPr>
          <w:rFonts w:cs="Times New Roman"/>
        </w:rPr>
        <w:t xml:space="preserve"> first becomes apparent at the bottom of the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Pr="00124B71">
        <w:rPr>
          <w:rFonts w:cs="Times New Roman"/>
        </w:rPr>
        <w:t xml:space="preserve"> scale with entry-level buyers</w:t>
      </w:r>
      <w:r w:rsidR="001858B5">
        <w:rPr>
          <w:rFonts w:cs="Times New Roman"/>
        </w:rPr>
        <w:fldChar w:fldCharType="begin"/>
      </w:r>
      <w:r w:rsidR="00BA6735">
        <w:instrText xml:space="preserve"> XE "</w:instrText>
      </w:r>
      <w:r w:rsidR="00BA6735" w:rsidRPr="00C743EC">
        <w:rPr>
          <w:rFonts w:cs="Times New Roman"/>
        </w:rPr>
        <w:instrText>entry-level buyers</w:instrText>
      </w:r>
      <w:r w:rsidR="00BA6735">
        <w:instrText xml:space="preserve">" </w:instrText>
      </w:r>
      <w:r w:rsidR="001858B5">
        <w:rPr>
          <w:rFonts w:cs="Times New Roman"/>
        </w:rPr>
        <w:fldChar w:fldCharType="end"/>
      </w:r>
      <w:r w:rsidRPr="00124B71">
        <w:rPr>
          <w:rFonts w:cs="Times New Roman"/>
        </w:rPr>
        <w:t xml:space="preserve"> because these buyers are not bringing the profits from a previous sale with them to the next property. Affordability is less of a problem for existing homeowners in the move-up</w:t>
      </w:r>
      <w:r w:rsidR="001858B5">
        <w:rPr>
          <w:rFonts w:cs="Times New Roman"/>
        </w:rPr>
        <w:fldChar w:fldCharType="begin"/>
      </w:r>
      <w:r w:rsidR="00FA2AEF">
        <w:instrText xml:space="preserve"> XE "</w:instrText>
      </w:r>
      <w:r w:rsidR="00FA2AEF" w:rsidRPr="003772E0">
        <w:rPr>
          <w:rFonts w:cs="Times New Roman"/>
        </w:rPr>
        <w:instrText>move-up</w:instrText>
      </w:r>
      <w:r w:rsidR="00FA2AEF">
        <w:instrText xml:space="preserve">" </w:instrText>
      </w:r>
      <w:r w:rsidR="001858B5">
        <w:rPr>
          <w:rFonts w:cs="Times New Roman"/>
        </w:rPr>
        <w:fldChar w:fldCharType="end"/>
      </w:r>
      <w:r w:rsidRPr="00124B71">
        <w:rPr>
          <w:rFonts w:cs="Times New Roman"/>
        </w:rPr>
        <w:t xml:space="preserve"> market due to this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transfer.</w:t>
      </w:r>
    </w:p>
    <w:p w14:paraId="32EB4DF0" w14:textId="62B7043B" w:rsidR="00FA63D2" w:rsidRPr="00EF0EDA" w:rsidRDefault="00CF05FE" w:rsidP="00FA63D2">
      <w:pPr>
        <w:pStyle w:val="Caption"/>
      </w:pPr>
      <w:bookmarkStart w:id="127" w:name="_Toc238867466"/>
      <w:r>
        <w:t>Figure</w:t>
      </w:r>
      <w:r w:rsidR="00FA63D2" w:rsidRPr="00EF0EDA">
        <w:t xml:space="preserve"> </w:t>
      </w:r>
      <w:fldSimple w:instr=" SEQ Figure \* ARABIC ">
        <w:r w:rsidR="00493733">
          <w:rPr>
            <w:noProof/>
          </w:rPr>
          <w:t>25</w:t>
        </w:r>
      </w:fldSimple>
      <w:r w:rsidR="00317936">
        <w:t xml:space="preserve">: </w:t>
      </w:r>
      <w:r w:rsidR="00FA63D2" w:rsidRPr="00EF0EDA">
        <w:t>The Housing Market Pyramid</w:t>
      </w:r>
      <w:bookmarkEnd w:id="127"/>
    </w:p>
    <w:p w14:paraId="0819D14C" w14:textId="77777777" w:rsidR="00FA63D2" w:rsidRPr="00EF0EDA" w:rsidRDefault="002703E4" w:rsidP="005B15BB">
      <w:pPr>
        <w:pStyle w:val="Graphics"/>
      </w:pPr>
      <w:r>
        <w:drawing>
          <wp:inline distT="0" distB="0" distL="0" distR="0" wp14:anchorId="3F1200E3" wp14:editId="30B8D1B8">
            <wp:extent cx="3657600" cy="2743200"/>
            <wp:effectExtent l="19050" t="0" r="0" b="0"/>
            <wp:docPr id="90" name="Picture 89" descr="The Housing Market Pyram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Housing Market Pyramid.jpg"/>
                    <pic:cNvPicPr/>
                  </pic:nvPicPr>
                  <pic:blipFill>
                    <a:blip r:embed="rId59"/>
                    <a:stretch>
                      <a:fillRect/>
                    </a:stretch>
                  </pic:blipFill>
                  <pic:spPr>
                    <a:xfrm>
                      <a:off x="0" y="0"/>
                      <a:ext cx="3657600" cy="2743200"/>
                    </a:xfrm>
                    <a:prstGeom prst="rect">
                      <a:avLst/>
                    </a:prstGeom>
                  </pic:spPr>
                </pic:pic>
              </a:graphicData>
            </a:graphic>
          </wp:inline>
        </w:drawing>
      </w:r>
    </w:p>
    <w:p w14:paraId="617F13AB" w14:textId="77777777" w:rsidR="0056372B" w:rsidRPr="00124B71" w:rsidRDefault="0056372B" w:rsidP="00A55CE3">
      <w:pPr>
        <w:rPr>
          <w:rFonts w:cs="Times New Roman"/>
        </w:rPr>
      </w:pPr>
      <w:r w:rsidRPr="00124B71">
        <w:rPr>
          <w:rFonts w:cs="Times New Roman"/>
        </w:rPr>
        <w:t>The real estate market can be visualized as a massive pyramid. There are very few multi-million dollar properties at the top of the pyramid, and a large number of relatively inexpensive entry-level properties forming the base. Like any structure, if the foundation is weakened, the structure may collapse. In the same way, housing markets collapse from the bottom up due to problems with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Pr="00124B71">
        <w:rPr>
          <w:rFonts w:cs="Times New Roman"/>
        </w:rPr>
        <w:t>. The foundation of a residential real estate market is the entry-level buyer. Entry-level buyers are generally young people starting to form new households. When homeowner</w:t>
      </w:r>
      <w:r w:rsidR="004E50DB" w:rsidRPr="00124B71">
        <w:rPr>
          <w:rFonts w:cs="Times New Roman"/>
        </w:rPr>
        <w:t>s</w:t>
      </w:r>
      <w:r w:rsidRPr="00124B71">
        <w:rPr>
          <w:rFonts w:cs="Times New Roman"/>
        </w:rPr>
        <w:t xml:space="preserve"> want to sell their house and move up to a nicer </w:t>
      </w:r>
      <w:r w:rsidRPr="00124B71">
        <w:rPr>
          <w:rFonts w:cs="Times New Roman"/>
        </w:rPr>
        <w:lastRenderedPageBreak/>
        <w:t>one, someone needs to buy their house. If you follow this chain of move-ups backward, eventually you come to an entry level buyer. If there are no entry level buyers pushing the sequence of move ups, the entire real estate market ceases to function. The entry level market was initially boosted the moment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became available because many more people were enabled to purchase; however, it was imperiled at the same time because of the change in savings incentives. This market was subsequently destroyed the moment 100% financing was eliminated because few entry-level buyers</w:t>
      </w:r>
      <w:r w:rsidR="001858B5">
        <w:rPr>
          <w:rFonts w:cs="Times New Roman"/>
        </w:rPr>
        <w:fldChar w:fldCharType="begin"/>
      </w:r>
      <w:r w:rsidR="00BA6735">
        <w:instrText xml:space="preserve"> XE "</w:instrText>
      </w:r>
      <w:r w:rsidR="00BA6735" w:rsidRPr="00C743EC">
        <w:rPr>
          <w:rFonts w:cs="Times New Roman"/>
        </w:rPr>
        <w:instrText>entry-level buyers</w:instrText>
      </w:r>
      <w:r w:rsidR="00BA6735">
        <w:instrText xml:space="preserve">" </w:instrText>
      </w:r>
      <w:r w:rsidR="001858B5">
        <w:rPr>
          <w:rFonts w:cs="Times New Roman"/>
        </w:rPr>
        <w:fldChar w:fldCharType="end"/>
      </w:r>
      <w:r w:rsidRPr="00124B71">
        <w:rPr>
          <w:rFonts w:cs="Times New Roman"/>
        </w:rPr>
        <w:t xml:space="preserve"> had a downpayment and very few people were in the process of saving to get one. In the past, people would rent and save money until they had the requisite downpayment to acquire a house. The barrier to home ownership was not the ability to make payments; it was having the necessary downpayment money. When downpayment requirements go up, the number of people capable of buying a house declines </w:t>
      </w:r>
      <w:r w:rsidR="009F3245" w:rsidRPr="00124B71">
        <w:rPr>
          <w:rFonts w:cs="Times New Roman"/>
        </w:rPr>
        <w:t>considerably</w:t>
      </w:r>
      <w:r w:rsidRPr="00124B71">
        <w:rPr>
          <w:rFonts w:cs="Times New Roman"/>
        </w:rPr>
        <w:t>, particularly for entry-level buyers who must save this money rather than transfer it from a previous sale. Since few potential entry-level buyers were saving money during the rally, sales volumes suffered dramatically in the wake of the bursting real estate bubble.</w:t>
      </w:r>
    </w:p>
    <w:p w14:paraId="632276C3" w14:textId="63F0DD44" w:rsidR="006D1080" w:rsidRPr="00EF0EDA" w:rsidRDefault="00CF05FE" w:rsidP="00CC0F42">
      <w:pPr>
        <w:pStyle w:val="Caption"/>
      </w:pPr>
      <w:bookmarkStart w:id="128" w:name="_Toc238867467"/>
      <w:r>
        <w:t>Figure</w:t>
      </w:r>
      <w:r w:rsidR="00CC0F42" w:rsidRPr="00EF0EDA">
        <w:t xml:space="preserve"> </w:t>
      </w:r>
      <w:fldSimple w:instr=" SEQ Figure \* ARABIC ">
        <w:r w:rsidR="00493733">
          <w:rPr>
            <w:noProof/>
          </w:rPr>
          <w:t>26</w:t>
        </w:r>
      </w:fldSimple>
      <w:r w:rsidR="00317936">
        <w:t xml:space="preserve">: </w:t>
      </w:r>
      <w:r w:rsidR="00CC0F42" w:rsidRPr="00EF0EDA">
        <w:t>Affordability Limit</w:t>
      </w:r>
      <w:bookmarkEnd w:id="128"/>
    </w:p>
    <w:p w14:paraId="3C330968" w14:textId="77777777" w:rsidR="00CC0F42" w:rsidRPr="00EF0EDA" w:rsidRDefault="002703E4" w:rsidP="005B15BB">
      <w:pPr>
        <w:pStyle w:val="Graphics"/>
      </w:pPr>
      <w:r>
        <w:drawing>
          <wp:inline distT="0" distB="0" distL="0" distR="0" wp14:anchorId="3D523DBC" wp14:editId="1717307D">
            <wp:extent cx="3657600" cy="3108960"/>
            <wp:effectExtent l="19050" t="0" r="0" b="0"/>
            <wp:docPr id="91" name="Picture 90" descr="Affordability Lim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fordability Limit.jpg"/>
                    <pic:cNvPicPr/>
                  </pic:nvPicPr>
                  <pic:blipFill>
                    <a:blip r:embed="rId60"/>
                    <a:stretch>
                      <a:fillRect/>
                    </a:stretch>
                  </pic:blipFill>
                  <pic:spPr>
                    <a:xfrm>
                      <a:off x="0" y="0"/>
                      <a:ext cx="3657600" cy="3108960"/>
                    </a:xfrm>
                    <a:prstGeom prst="rect">
                      <a:avLst/>
                    </a:prstGeom>
                  </pic:spPr>
                </pic:pic>
              </a:graphicData>
            </a:graphic>
          </wp:inline>
        </w:drawing>
      </w:r>
    </w:p>
    <w:p w14:paraId="0CFCAA35" w14:textId="77777777" w:rsidR="00DA6589" w:rsidRPr="00124B71" w:rsidRDefault="00D032E4" w:rsidP="00F60875">
      <w:pPr>
        <w:rPr>
          <w:rFonts w:cs="Times New Roman"/>
        </w:rPr>
      </w:pPr>
      <w:r w:rsidRPr="00124B71">
        <w:rPr>
          <w:rFonts w:cs="Times New Roman"/>
        </w:rPr>
        <w:t>Affordability is the ultimate limit of any asset bubble. If prices are so high that no buyer can afford them, there are no transactions and thereby no market. The fear of many buyers in a financial mania is that prices will remain elevated to the absolute limit of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Pr="00124B71">
        <w:rPr>
          <w:rFonts w:cs="Times New Roman"/>
        </w:rPr>
        <w:t xml:space="preserve"> permanently. People who have this fear will put every available resource into getting a house before this happens. This becomes a self-fulfilling prophecy as prices get bid higher and </w:t>
      </w:r>
      <w:r w:rsidRPr="00124B71">
        <w:rPr>
          <w:rFonts w:cs="Times New Roman"/>
        </w:rPr>
        <w:lastRenderedPageBreak/>
        <w:t>higher by fearful buyers. If prices were to remain at the upper limit of affordability for a long period of time, the rate of price increase would slow dramatically until it only matched the rate of wage growth and inflation</w:t>
      </w:r>
      <w:r w:rsidR="00DA6589" w:rsidRPr="00124B71">
        <w:rPr>
          <w:rFonts w:cs="Times New Roman"/>
        </w:rPr>
        <w:t xml:space="preserve"> because p</w:t>
      </w:r>
      <w:r w:rsidR="00CC0F42" w:rsidRPr="00124B71">
        <w:rPr>
          <w:rFonts w:cs="Times New Roman"/>
        </w:rPr>
        <w:t>rices could only rise if people had income gains they could use to bid prices up further.</w:t>
      </w:r>
      <w:r w:rsidR="00DA6589" w:rsidRPr="00124B71">
        <w:rPr>
          <w:rFonts w:cs="Times New Roman"/>
        </w:rPr>
        <w:t xml:space="preserve"> </w:t>
      </w:r>
      <w:r w:rsidR="00CC0F42" w:rsidRPr="00124B71">
        <w:rPr>
          <w:rFonts w:cs="Times New Roman"/>
        </w:rPr>
        <w:t>If the rate of house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CC0F42" w:rsidRPr="00124B71">
        <w:rPr>
          <w:rFonts w:cs="Times New Roman"/>
        </w:rPr>
        <w:t xml:space="preserve"> slows down to where it only matches inflation, it fails to have significant investment value</w:t>
      </w:r>
      <w:r w:rsidR="001858B5">
        <w:rPr>
          <w:rFonts w:cs="Times New Roman"/>
        </w:rPr>
        <w:fldChar w:fldCharType="begin"/>
      </w:r>
      <w:r w:rsidR="00FF74AC">
        <w:instrText xml:space="preserve"> XE "</w:instrText>
      </w:r>
      <w:r w:rsidR="00FF74AC" w:rsidRPr="000E370D">
        <w:rPr>
          <w:rFonts w:cs="Times New Roman"/>
        </w:rPr>
        <w:instrText>investment value</w:instrText>
      </w:r>
      <w:r w:rsidR="00FF74AC">
        <w:instrText xml:space="preserve">" </w:instrText>
      </w:r>
      <w:r w:rsidR="001858B5">
        <w:rPr>
          <w:rFonts w:cs="Times New Roman"/>
        </w:rPr>
        <w:fldChar w:fldCharType="end"/>
      </w:r>
      <w:r w:rsidR="00CC0F42" w:rsidRPr="00124B71">
        <w:rPr>
          <w:rFonts w:cs="Times New Roman"/>
        </w:rPr>
        <w:t>. Money would generate much greater returns if invested in other asset classes. During the Great Housing Bubble, certain of the most inflated markets saw prices more than double their rental equivalent value</w:t>
      </w:r>
      <w:r w:rsidR="001858B5">
        <w:rPr>
          <w:rFonts w:cs="Times New Roman"/>
        </w:rPr>
        <w:fldChar w:fldCharType="begin"/>
      </w:r>
      <w:r w:rsidR="00FF74AC">
        <w:instrText xml:space="preserve"> XE "</w:instrText>
      </w:r>
      <w:r w:rsidR="00FF74AC" w:rsidRPr="002A5D8B">
        <w:rPr>
          <w:rFonts w:cs="Times New Roman"/>
        </w:rPr>
        <w:instrText>rental equivalent value</w:instrText>
      </w:r>
      <w:r w:rsidR="00FF74AC">
        <w:instrText xml:space="preserve">" </w:instrText>
      </w:r>
      <w:r w:rsidR="001858B5">
        <w:rPr>
          <w:rFonts w:cs="Times New Roman"/>
        </w:rPr>
        <w:fldChar w:fldCharType="end"/>
      </w:r>
      <w:r w:rsidR="00CC0F42" w:rsidRPr="00124B71">
        <w:rPr>
          <w:rFonts w:cs="Times New Roman"/>
        </w:rPr>
        <w:t>. This significant additional monthly cost provides an economic return while prices are increasing rapidly, but once the rate of price increase slows, the additional “investment” is not providing sufficient returns to justify the use of capital. If price increases do not provide an investment return, many who bought in anticipation of that investment return will decide to sell the asset in order to put their money toward more productive uses. This selling slows the rate of appreciation even further.</w:t>
      </w:r>
      <w:r w:rsidR="00DA6589" w:rsidRPr="00124B71">
        <w:rPr>
          <w:rFonts w:cs="Times New Roman"/>
        </w:rPr>
        <w:t xml:space="preserve"> Also, i</w:t>
      </w:r>
      <w:r w:rsidRPr="00124B71">
        <w:rPr>
          <w:rFonts w:cs="Times New Roman"/>
        </w:rPr>
        <w:t>f prices are not rising in excess of inflation, there is little financial incentive to buy because when affordability is very low, it is much less expensive to rent. If there is no financial incentive to pay more than the cost of rent, people stop buying</w:t>
      </w:r>
      <w:r w:rsidR="00DA6589" w:rsidRPr="00124B71">
        <w:rPr>
          <w:rFonts w:cs="Times New Roman"/>
        </w:rPr>
        <w:t xml:space="preserve">. The additional selling pressure from those no longer obtaining a return on their investment combined with the diminished buying enthusiasm for the same reason plus the presence of a low-cost </w:t>
      </w:r>
      <w:r w:rsidR="00674EAB" w:rsidRPr="00124B71">
        <w:rPr>
          <w:rFonts w:cs="Times New Roman"/>
        </w:rPr>
        <w:t xml:space="preserve">substitute (rental,) stops prices from rising and eventually causes a price decline. Once prices start declining, the incentives are even more negative, </w:t>
      </w:r>
      <w:r w:rsidRPr="00124B71">
        <w:rPr>
          <w:rFonts w:cs="Times New Roman"/>
        </w:rPr>
        <w:t>and prices fall back to levels where they are affordable again.</w:t>
      </w:r>
      <w:r w:rsidR="00DA6589" w:rsidRPr="00124B71">
        <w:rPr>
          <w:rFonts w:cs="Times New Roman"/>
        </w:rPr>
        <w:t xml:space="preserve"> </w:t>
      </w:r>
    </w:p>
    <w:p w14:paraId="541A7B69" w14:textId="77777777" w:rsidR="0056372B" w:rsidRPr="00124B71" w:rsidRDefault="00483CE0" w:rsidP="00230C2C">
      <w:pPr>
        <w:rPr>
          <w:rFonts w:cs="Times New Roman"/>
        </w:rPr>
      </w:pPr>
      <w:r w:rsidRPr="00124B71">
        <w:rPr>
          <w:rFonts w:cs="Times New Roman"/>
        </w:rPr>
        <w:t>As</w:t>
      </w:r>
      <w:r w:rsidR="00674EAB" w:rsidRPr="00124B71">
        <w:rPr>
          <w:rFonts w:cs="Times New Roman"/>
        </w:rPr>
        <w:t xml:space="preserve"> prices begin to fall, </w:t>
      </w:r>
      <w:r w:rsidR="00A624FB" w:rsidRPr="00124B71">
        <w:rPr>
          <w:rFonts w:cs="Times New Roman"/>
        </w:rPr>
        <w:t>lenders become more conservative. They</w:t>
      </w:r>
      <w:r w:rsidR="0056372B" w:rsidRPr="00124B71">
        <w:rPr>
          <w:rFonts w:cs="Times New Roman"/>
        </w:rPr>
        <w:t xml:space="preserve"> </w:t>
      </w:r>
      <w:r w:rsidR="00674EAB" w:rsidRPr="00124B71">
        <w:rPr>
          <w:rFonts w:cs="Times New Roman"/>
        </w:rPr>
        <w:t>do</w:t>
      </w:r>
      <w:r w:rsidR="0056372B" w:rsidRPr="00124B71">
        <w:rPr>
          <w:rFonts w:cs="Times New Roman"/>
        </w:rPr>
        <w:t xml:space="preserve"> not loan large percentages of the value </w:t>
      </w:r>
      <w:r w:rsidR="00A624FB" w:rsidRPr="00124B71">
        <w:rPr>
          <w:rFonts w:cs="Times New Roman"/>
        </w:rPr>
        <w:t>on</w:t>
      </w:r>
      <w:r w:rsidR="0056372B" w:rsidRPr="00124B71">
        <w:rPr>
          <w:rFonts w:cs="Times New Roman"/>
        </w:rPr>
        <w:t xml:space="preserve"> a depreciating asset</w:t>
      </w:r>
      <w:r w:rsidR="00A624FB" w:rsidRPr="00124B71">
        <w:rPr>
          <w:rFonts w:cs="Times New Roman"/>
        </w:rPr>
        <w:t xml:space="preserve"> because they do not want to have the loan balance exceed the </w:t>
      </w:r>
      <w:r w:rsidR="00CF37E3" w:rsidRPr="00124B71">
        <w:rPr>
          <w:rFonts w:cs="Times New Roman"/>
        </w:rPr>
        <w:t xml:space="preserve">resale </w:t>
      </w:r>
      <w:r w:rsidR="00A624FB" w:rsidRPr="00124B71">
        <w:rPr>
          <w:rFonts w:cs="Times New Roman"/>
        </w:rPr>
        <w:t xml:space="preserve">value of the </w:t>
      </w:r>
      <w:r w:rsidR="00CF37E3" w:rsidRPr="00124B71">
        <w:rPr>
          <w:rFonts w:cs="Times New Roman"/>
        </w:rPr>
        <w:t xml:space="preserve">house </w:t>
      </w:r>
      <w:r w:rsidR="004E50DB" w:rsidRPr="00124B71">
        <w:rPr>
          <w:rFonts w:cs="Times New Roman"/>
        </w:rPr>
        <w:t>since</w:t>
      </w:r>
      <w:r w:rsidR="00CF37E3" w:rsidRPr="00124B71">
        <w:rPr>
          <w:rFonts w:cs="Times New Roman"/>
        </w:rPr>
        <w:t xml:space="preserve"> t</w:t>
      </w:r>
      <w:r w:rsidR="00674EAB" w:rsidRPr="00124B71">
        <w:rPr>
          <w:rFonts w:cs="Times New Roman"/>
        </w:rPr>
        <w:t xml:space="preserve">he only assurance banks have for getting their money back is the </w:t>
      </w:r>
      <w:r w:rsidR="00CF37E3" w:rsidRPr="00124B71">
        <w:rPr>
          <w:rFonts w:cs="Times New Roman"/>
        </w:rPr>
        <w:t>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00CF37E3" w:rsidRPr="00124B71">
        <w:rPr>
          <w:rFonts w:cs="Times New Roman"/>
        </w:rPr>
        <w:t xml:space="preserve"> value. </w:t>
      </w:r>
      <w:r w:rsidR="00674EAB" w:rsidRPr="00124B71">
        <w:rPr>
          <w:rFonts w:cs="Times New Roman"/>
        </w:rPr>
        <w:t>Prior to the Great Housing Bubble, lenders demanded 20% down payments to give them a cushion if values declined and they limited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674EAB" w:rsidRPr="00124B71">
        <w:rPr>
          <w:rFonts w:cs="Times New Roman"/>
        </w:rPr>
        <w:t xml:space="preserve"> ratios to 28% to make sure the borrowers could afford to pay them back. When house values start declining, lenders require more cushion to protect their investment</w:t>
      </w:r>
      <w:r w:rsidR="004E50DB" w:rsidRPr="00124B71">
        <w:rPr>
          <w:rFonts w:cs="Times New Roman"/>
        </w:rPr>
        <w:t>s</w:t>
      </w:r>
      <w:r w:rsidR="00674EAB" w:rsidRPr="00124B71">
        <w:rPr>
          <w:rFonts w:cs="Times New Roman"/>
        </w:rPr>
        <w:t>. The demand from lenders for larger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00674EAB" w:rsidRPr="00124B71">
        <w:rPr>
          <w:rFonts w:cs="Times New Roman"/>
        </w:rPr>
        <w:t xml:space="preserve"> to protect themselves reduces the number of buyers in the market because less people meet the more stringent requirement. Fewer buyers </w:t>
      </w:r>
      <w:r w:rsidR="00022CA3" w:rsidRPr="00124B71">
        <w:rPr>
          <w:rFonts w:cs="Times New Roman"/>
        </w:rPr>
        <w:t>causes even</w:t>
      </w:r>
      <w:r w:rsidR="00674EAB" w:rsidRPr="00124B71">
        <w:rPr>
          <w:rFonts w:cs="Times New Roman"/>
        </w:rPr>
        <w:t xml:space="preserve"> lower prices and a downward spiral</w:t>
      </w:r>
      <w:r w:rsidR="001858B5">
        <w:rPr>
          <w:rFonts w:cs="Times New Roman"/>
        </w:rPr>
        <w:fldChar w:fldCharType="begin"/>
      </w:r>
      <w:r w:rsidR="001A53F8">
        <w:instrText xml:space="preserve"> XE "</w:instrText>
      </w:r>
      <w:r w:rsidR="001A53F8" w:rsidRPr="00346079">
        <w:rPr>
          <w:rFonts w:cs="Times New Roman"/>
        </w:rPr>
        <w:instrText>downward spiral</w:instrText>
      </w:r>
      <w:r w:rsidR="001A53F8">
        <w:instrText xml:space="preserve">" </w:instrText>
      </w:r>
      <w:r w:rsidR="001858B5">
        <w:rPr>
          <w:rFonts w:cs="Times New Roman"/>
        </w:rPr>
        <w:fldChar w:fldCharType="end"/>
      </w:r>
      <w:r w:rsidR="00674EAB" w:rsidRPr="00124B71">
        <w:rPr>
          <w:rFonts w:cs="Times New Roman"/>
        </w:rPr>
        <w:t xml:space="preserve"> of tightening credit. This continues unabated until 20% down payments are the norm, and debt-to-income ratios fall back to their historically “safe” levels for banks </w:t>
      </w:r>
      <w:r w:rsidR="000D44E4" w:rsidRPr="00124B71">
        <w:rPr>
          <w:rFonts w:cs="Times New Roman"/>
        </w:rPr>
        <w:t>(</w:t>
      </w:r>
      <w:r w:rsidR="00674EAB" w:rsidRPr="00124B71">
        <w:rPr>
          <w:rFonts w:cs="Times New Roman"/>
        </w:rPr>
        <w:t>28%</w:t>
      </w:r>
      <w:r w:rsidR="00A40CA5" w:rsidRPr="00124B71">
        <w:rPr>
          <w:rFonts w:cs="Times New Roman"/>
        </w:rPr>
        <w:t>).</w:t>
      </w:r>
    </w:p>
    <w:p w14:paraId="16FD41EA" w14:textId="77777777" w:rsidR="00C409D3" w:rsidRPr="00EF0EDA" w:rsidRDefault="00C409D3" w:rsidP="00D032E4">
      <w:pPr>
        <w:pStyle w:val="Heading2"/>
      </w:pPr>
      <w:bookmarkStart w:id="129" w:name="_Toc238867341"/>
      <w:r w:rsidRPr="00EF0EDA">
        <w:t xml:space="preserve">The Bubble </w:t>
      </w:r>
      <w:r w:rsidR="00652DA3" w:rsidRPr="00EF0EDA">
        <w:t>Bursts</w:t>
      </w:r>
      <w:bookmarkEnd w:id="129"/>
    </w:p>
    <w:p w14:paraId="0CD66E86" w14:textId="77777777" w:rsidR="005734DF" w:rsidRPr="00124B71" w:rsidRDefault="005734DF" w:rsidP="005734DF">
      <w:pPr>
        <w:rPr>
          <w:rFonts w:cs="Times New Roman"/>
        </w:rPr>
      </w:pPr>
      <w:r w:rsidRPr="00124B71">
        <w:rPr>
          <w:rFonts w:cs="Times New Roman"/>
        </w:rPr>
        <w:t xml:space="preserve">When a bubble in a financial market pops, it </w:t>
      </w:r>
      <w:r w:rsidR="00161565" w:rsidRPr="00124B71">
        <w:rPr>
          <w:rFonts w:cs="Times New Roman"/>
        </w:rPr>
        <w:t>does not</w:t>
      </w:r>
      <w:r w:rsidRPr="00124B71">
        <w:rPr>
          <w:rFonts w:cs="Times New Roman"/>
        </w:rPr>
        <w:t xml:space="preserve"> explode in spectacular fashion like a soap bubble</w:t>
      </w:r>
      <w:r w:rsidR="000D44E4" w:rsidRPr="00124B71">
        <w:rPr>
          <w:rFonts w:cs="Times New Roman"/>
        </w:rPr>
        <w:t>;</w:t>
      </w:r>
      <w:r w:rsidRPr="00124B71">
        <w:rPr>
          <w:rFonts w:cs="Times New Roman"/>
        </w:rPr>
        <w:t xml:space="preserve"> it is more comparable to a breached levee which releases water slowly at first</w:t>
      </w:r>
      <w:r w:rsidR="00635AA0" w:rsidRPr="00124B71">
        <w:rPr>
          <w:rFonts w:cs="Times New Roman"/>
        </w:rPr>
        <w:t xml:space="preserve">. </w:t>
      </w:r>
      <w:r w:rsidR="0059145C" w:rsidRPr="00124B71">
        <w:rPr>
          <w:rStyle w:val="EndnoteReference"/>
          <w:rFonts w:cs="Times New Roman"/>
        </w:rPr>
        <w:endnoteReference w:id="83"/>
      </w:r>
      <w:r w:rsidRPr="00124B71">
        <w:rPr>
          <w:rFonts w:cs="Times New Roman"/>
        </w:rPr>
        <w:t xml:space="preserve"> Once the financial levee is ruptured, the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reservoir loses money at increasing rates. It washes away the imagined wealth of homeowners </w:t>
      </w:r>
      <w:r w:rsidR="00946CED" w:rsidRPr="00124B71">
        <w:rPr>
          <w:rFonts w:cs="Times New Roman"/>
        </w:rPr>
        <w:t>who bought late in the rally or used home equity lines of credit</w:t>
      </w:r>
      <w:r w:rsidR="001858B5">
        <w:rPr>
          <w:rFonts w:cs="Times New Roman"/>
        </w:rPr>
        <w:fldChar w:fldCharType="begin"/>
      </w:r>
      <w:r w:rsidR="00FA2AEF">
        <w:instrText xml:space="preserve"> XE "</w:instrText>
      </w:r>
      <w:r w:rsidR="00FA2AEF" w:rsidRPr="006C558D">
        <w:rPr>
          <w:rFonts w:cs="Times New Roman"/>
        </w:rPr>
        <w:instrText>home equity lines of credit</w:instrText>
      </w:r>
      <w:r w:rsidR="00FA2AEF">
        <w:instrText xml:space="preserve">" </w:instrText>
      </w:r>
      <w:r w:rsidR="001858B5">
        <w:rPr>
          <w:rFonts w:cs="Times New Roman"/>
        </w:rPr>
        <w:fldChar w:fldCharType="end"/>
      </w:r>
      <w:r w:rsidR="00946CED" w:rsidRPr="00124B71">
        <w:rPr>
          <w:rFonts w:cs="Times New Roman"/>
        </w:rPr>
        <w:t xml:space="preserve"> </w:t>
      </w:r>
      <w:r w:rsidR="00946CED" w:rsidRPr="00124B71">
        <w:rPr>
          <w:rFonts w:cs="Times New Roman"/>
        </w:rPr>
        <w:lastRenderedPageBreak/>
        <w:t>to fuel consumer spending</w:t>
      </w:r>
      <w:r w:rsidRPr="00124B71">
        <w:rPr>
          <w:rFonts w:cs="Times New Roman"/>
        </w:rPr>
        <w:t xml:space="preserve"> until the reservoir is nearly empty and the torrent turns to a trickle. Ultimately, the causes of failure are examined, the financial levee is repaired, and the reservoir again holds value, but not until the dreams and equity of </w:t>
      </w:r>
      <w:r w:rsidR="000D44E4" w:rsidRPr="00124B71">
        <w:rPr>
          <w:rFonts w:cs="Times New Roman"/>
        </w:rPr>
        <w:t xml:space="preserve">many </w:t>
      </w:r>
      <w:r w:rsidRPr="00124B71">
        <w:rPr>
          <w:rFonts w:cs="Times New Roman"/>
        </w:rPr>
        <w:t>homeowners are washed away.</w:t>
      </w:r>
    </w:p>
    <w:p w14:paraId="195ACD38" w14:textId="77777777" w:rsidR="001767A9" w:rsidRPr="00124B71" w:rsidRDefault="001767A9" w:rsidP="008560E2">
      <w:pPr>
        <w:rPr>
          <w:rFonts w:cs="Times New Roman"/>
        </w:rPr>
      </w:pPr>
      <w:r w:rsidRPr="00124B71">
        <w:rPr>
          <w:rFonts w:cs="Times New Roman"/>
        </w:rPr>
        <w:t xml:space="preserve">Denial runs deep in the financial markets. The vast majority of participants either wants or needs prices to steadily increase. Any facts or opinions that run counter to the idea of ever increasing prices must be quelled in order to prevent a catastrophic collapse of prices due to panic selling. One of the more glaring examples of this phenomenon </w:t>
      </w:r>
      <w:r w:rsidR="00182F8D" w:rsidRPr="00124B71">
        <w:rPr>
          <w:rFonts w:cs="Times New Roman"/>
        </w:rPr>
        <w:t>was</w:t>
      </w:r>
      <w:r w:rsidRPr="00124B71">
        <w:rPr>
          <w:rFonts w:cs="Times New Roman"/>
        </w:rPr>
        <w:t xml:space="preserve"> the slow leak of information regarding the debacle in </w:t>
      </w:r>
      <w:r w:rsidR="00182F8D" w:rsidRPr="00124B71">
        <w:rPr>
          <w:rFonts w:cs="Times New Roman"/>
        </w:rPr>
        <w:t>the</w:t>
      </w:r>
      <w:r w:rsidRPr="00124B71">
        <w:rPr>
          <w:rFonts w:cs="Times New Roman"/>
        </w:rPr>
        <w:t xml:space="preserve"> housing market.</w:t>
      </w:r>
      <w:r w:rsidR="00BF4D60" w:rsidRPr="00124B71">
        <w:rPr>
          <w:rFonts w:cs="Times New Roman"/>
        </w:rPr>
        <w:t xml:space="preserve"> </w:t>
      </w:r>
      <w:r w:rsidRPr="00124B71">
        <w:rPr>
          <w:rFonts w:cs="Times New Roman"/>
        </w:rPr>
        <w:t xml:space="preserve">In February and March of 2007 as the </w:t>
      </w:r>
      <w:r w:rsidR="000C6734" w:rsidRPr="00124B71">
        <w:rPr>
          <w:rFonts w:cs="Times New Roman"/>
        </w:rPr>
        <w:t>s</w:t>
      </w:r>
      <w:r w:rsidRPr="00124B71">
        <w:rPr>
          <w:rFonts w:cs="Times New Roman"/>
        </w:rPr>
        <w:t>ubprime lending implosion became front page news, market bulls were presented with a major public relations problem. It was imperative for the bulls to convince buyers the damage from subprime lending was “contained” and would not “spill over” into other borrower categories and ultimately into the overall economy</w:t>
      </w:r>
      <w:r w:rsidR="00483CE0" w:rsidRPr="00124B71">
        <w:rPr>
          <w:rFonts w:cs="Times New Roman"/>
        </w:rPr>
        <w:t>.</w:t>
      </w:r>
      <w:r w:rsidR="00635AA0" w:rsidRPr="00124B71">
        <w:rPr>
          <w:rFonts w:cs="Times New Roman"/>
        </w:rPr>
        <w:t xml:space="preserve"> </w:t>
      </w:r>
      <w:r w:rsidR="00AC6D02" w:rsidRPr="00124B71">
        <w:rPr>
          <w:rStyle w:val="EndnoteReference"/>
          <w:rFonts w:cs="Times New Roman"/>
        </w:rPr>
        <w:endnoteReference w:id="84"/>
      </w:r>
      <w:r w:rsidRPr="00124B71">
        <w:rPr>
          <w:rFonts w:cs="Times New Roman"/>
        </w:rPr>
        <w:t xml:space="preserve"> The supposition was that the widespread use of exotic loans was not the </w:t>
      </w:r>
      <w:r w:rsidR="001D0176" w:rsidRPr="00124B71">
        <w:rPr>
          <w:rFonts w:cs="Times New Roman"/>
        </w:rPr>
        <w:t>problem;</w:t>
      </w:r>
      <w:r w:rsidRPr="00124B71">
        <w:rPr>
          <w:rFonts w:cs="Times New Roman"/>
        </w:rPr>
        <w:t xml:space="preserve"> it was the practice of giving these loans to those with low credit scores. In other words, it was not the loans, it was the borrowers. This was wrong. It was </w:t>
      </w:r>
      <w:r w:rsidRPr="00124B71">
        <w:rPr>
          <w:rStyle w:val="Emphasis"/>
          <w:rFonts w:cs="Times New Roman"/>
          <w:b w:val="0"/>
          <w:i w:val="0"/>
        </w:rPr>
        <w:t>not</w:t>
      </w:r>
      <w:r w:rsidRPr="00124B71">
        <w:rPr>
          <w:rStyle w:val="Emphasis"/>
          <w:rFonts w:cs="Times New Roman"/>
        </w:rPr>
        <w:t xml:space="preserve"> </w:t>
      </w:r>
      <w:r w:rsidRPr="00124B71">
        <w:rPr>
          <w:rFonts w:cs="Times New Roman"/>
        </w:rPr>
        <w:t xml:space="preserve">the borrowers; it </w:t>
      </w:r>
      <w:r w:rsidRPr="00124B71">
        <w:rPr>
          <w:rStyle w:val="Emphasis"/>
          <w:rFonts w:cs="Times New Roman"/>
          <w:b w:val="0"/>
          <w:i w:val="0"/>
        </w:rPr>
        <w:t>was</w:t>
      </w:r>
      <w:r w:rsidRPr="00124B71">
        <w:rPr>
          <w:rStyle w:val="Emphasis"/>
          <w:rFonts w:cs="Times New Roman"/>
        </w:rPr>
        <w:t xml:space="preserve"> </w:t>
      </w:r>
      <w:r w:rsidRPr="00124B71">
        <w:rPr>
          <w:rFonts w:cs="Times New Roman"/>
        </w:rPr>
        <w:t>the loans.</w:t>
      </w:r>
      <w:r w:rsidR="003A1C93" w:rsidRPr="00124B71">
        <w:rPr>
          <w:rFonts w:cs="Times New Roman"/>
        </w:rPr>
        <w:t xml:space="preserve"> Exotic loans were given to people of all credit backgrounds. Subprime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003A1C93" w:rsidRPr="00124B71">
        <w:rPr>
          <w:rFonts w:cs="Times New Roman"/>
        </w:rPr>
        <w:t xml:space="preserve"> borrowers where the first to show distress, but the Alt-A</w:t>
      </w:r>
      <w:r w:rsidR="001858B5">
        <w:rPr>
          <w:rFonts w:cs="Times New Roman"/>
        </w:rPr>
        <w:fldChar w:fldCharType="begin"/>
      </w:r>
      <w:r w:rsidR="00FA2AEF">
        <w:instrText xml:space="preserve"> XE "</w:instrText>
      </w:r>
      <w:r w:rsidR="00FA2AEF" w:rsidRPr="00044B58">
        <w:rPr>
          <w:rFonts w:cs="Times New Roman"/>
        </w:rPr>
        <w:instrText>Alt-A</w:instrText>
      </w:r>
      <w:r w:rsidR="00FA2AEF">
        <w:instrText xml:space="preserve">" </w:instrText>
      </w:r>
      <w:r w:rsidR="001858B5">
        <w:rPr>
          <w:rFonts w:cs="Times New Roman"/>
        </w:rPr>
        <w:fldChar w:fldCharType="end"/>
      </w:r>
      <w:r w:rsidR="003A1C93" w:rsidRPr="00124B71">
        <w:rPr>
          <w:rFonts w:cs="Times New Roman"/>
        </w:rPr>
        <w:t xml:space="preserve"> and Prime</w:t>
      </w:r>
      <w:r w:rsidR="001858B5">
        <w:rPr>
          <w:rFonts w:cs="Times New Roman"/>
        </w:rPr>
        <w:fldChar w:fldCharType="begin"/>
      </w:r>
      <w:r w:rsidR="001A53F8">
        <w:instrText xml:space="preserve"> XE "</w:instrText>
      </w:r>
      <w:r w:rsidR="001A53F8" w:rsidRPr="00011BCA">
        <w:rPr>
          <w:rFonts w:cs="Times New Roman"/>
        </w:rPr>
        <w:instrText>Prime</w:instrText>
      </w:r>
      <w:r w:rsidR="001A53F8">
        <w:instrText xml:space="preserve">" </w:instrText>
      </w:r>
      <w:r w:rsidR="001858B5">
        <w:rPr>
          <w:rFonts w:cs="Times New Roman"/>
        </w:rPr>
        <w:fldChar w:fldCharType="end"/>
      </w:r>
      <w:r w:rsidR="003A1C93" w:rsidRPr="00124B71">
        <w:rPr>
          <w:rFonts w:cs="Times New Roman"/>
        </w:rPr>
        <w:t xml:space="preserve"> borrowers had the same problems and experienced the same outcome.</w:t>
      </w:r>
    </w:p>
    <w:p w14:paraId="4B7F9C35" w14:textId="77777777" w:rsidR="001767A9" w:rsidRPr="00124B71" w:rsidRDefault="00BF4D60" w:rsidP="008560E2">
      <w:pPr>
        <w:rPr>
          <w:rFonts w:cs="Times New Roman"/>
        </w:rPr>
      </w:pPr>
      <w:r w:rsidRPr="00124B71">
        <w:rPr>
          <w:rFonts w:cs="Times New Roman"/>
        </w:rPr>
        <w:t>Conventional wisdom (or market spin) was that</w:t>
      </w:r>
      <w:r w:rsidR="001767A9" w:rsidRPr="00124B71">
        <w:rPr>
          <w:rFonts w:cs="Times New Roman"/>
        </w:rPr>
        <w:t xml:space="preserve"> the risk of default</w:t>
      </w:r>
      <w:r w:rsidRPr="00124B71">
        <w:rPr>
          <w:rFonts w:cs="Times New Roman"/>
        </w:rPr>
        <w:t xml:space="preserve"> from subprime would</w:t>
      </w:r>
      <w:r w:rsidR="001767A9" w:rsidRPr="00124B71">
        <w:rPr>
          <w:rFonts w:cs="Times New Roman"/>
        </w:rPr>
        <w:t xml:space="preserve"> </w:t>
      </w:r>
      <w:r w:rsidR="000D44E4" w:rsidRPr="00124B71">
        <w:rPr>
          <w:rFonts w:cs="Times New Roman"/>
        </w:rPr>
        <w:t xml:space="preserve">not </w:t>
      </w:r>
      <w:r w:rsidR="001767A9" w:rsidRPr="00124B71">
        <w:rPr>
          <w:rFonts w:cs="Times New Roman"/>
        </w:rPr>
        <w:t>spill over into Alt-A</w:t>
      </w:r>
      <w:r w:rsidR="001858B5">
        <w:rPr>
          <w:rFonts w:cs="Times New Roman"/>
        </w:rPr>
        <w:fldChar w:fldCharType="begin"/>
      </w:r>
      <w:r w:rsidR="00FA2AEF">
        <w:instrText xml:space="preserve"> XE "</w:instrText>
      </w:r>
      <w:r w:rsidR="00FA2AEF" w:rsidRPr="00044B58">
        <w:rPr>
          <w:rFonts w:cs="Times New Roman"/>
        </w:rPr>
        <w:instrText>Alt-A</w:instrText>
      </w:r>
      <w:r w:rsidR="00FA2AEF">
        <w:instrText xml:space="preserve">" </w:instrText>
      </w:r>
      <w:r w:rsidR="001858B5">
        <w:rPr>
          <w:rFonts w:cs="Times New Roman"/>
        </w:rPr>
        <w:fldChar w:fldCharType="end"/>
      </w:r>
      <w:r w:rsidR="001767A9" w:rsidRPr="00124B71">
        <w:rPr>
          <w:rFonts w:cs="Times New Roman"/>
        </w:rPr>
        <w:t xml:space="preserve"> and Prime</w:t>
      </w:r>
      <w:r w:rsidR="001858B5">
        <w:rPr>
          <w:rFonts w:cs="Times New Roman"/>
        </w:rPr>
        <w:fldChar w:fldCharType="begin"/>
      </w:r>
      <w:r w:rsidR="001A53F8">
        <w:instrText xml:space="preserve"> XE "</w:instrText>
      </w:r>
      <w:r w:rsidR="001A53F8" w:rsidRPr="00011BCA">
        <w:rPr>
          <w:rFonts w:cs="Times New Roman"/>
        </w:rPr>
        <w:instrText>Prime</w:instrText>
      </w:r>
      <w:r w:rsidR="001A53F8">
        <w:instrText xml:space="preserve">" </w:instrText>
      </w:r>
      <w:r w:rsidR="001858B5">
        <w:rPr>
          <w:rFonts w:cs="Times New Roman"/>
        </w:rPr>
        <w:fldChar w:fldCharType="end"/>
      </w:r>
      <w:r w:rsidR="00161565" w:rsidRPr="00124B71">
        <w:rPr>
          <w:rFonts w:cs="Times New Roman"/>
        </w:rPr>
        <w:t xml:space="preserve"> loans</w:t>
      </w:r>
      <w:r w:rsidR="001767A9" w:rsidRPr="00124B71">
        <w:rPr>
          <w:rFonts w:cs="Times New Roman"/>
        </w:rPr>
        <w:t xml:space="preserve">. </w:t>
      </w:r>
      <w:r w:rsidRPr="00124B71">
        <w:rPr>
          <w:rFonts w:cs="Times New Roman"/>
        </w:rPr>
        <w:t>T</w:t>
      </w:r>
      <w:r w:rsidR="001767A9" w:rsidRPr="00124B71">
        <w:rPr>
          <w:rFonts w:cs="Times New Roman"/>
        </w:rPr>
        <w:t>his argument</w:t>
      </w:r>
      <w:r w:rsidRPr="00124B71">
        <w:rPr>
          <w:rFonts w:cs="Times New Roman"/>
        </w:rPr>
        <w:t xml:space="preserve"> was made</w:t>
      </w:r>
      <w:r w:rsidR="001767A9" w:rsidRPr="00124B71">
        <w:rPr>
          <w:rFonts w:cs="Times New Roman"/>
        </w:rPr>
        <w:t xml:space="preserve"> because these two categories have historically had low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1767A9" w:rsidRPr="00124B71">
        <w:rPr>
          <w:rFonts w:cs="Times New Roman"/>
        </w:rPr>
        <w:t xml:space="preserve">. </w:t>
      </w:r>
      <w:r w:rsidRPr="00124B71">
        <w:rPr>
          <w:rFonts w:cs="Times New Roman"/>
        </w:rPr>
        <w:t>Of course, this argument ignored</w:t>
      </w:r>
      <w:r w:rsidR="001767A9" w:rsidRPr="00124B71">
        <w:rPr>
          <w:rFonts w:cs="Times New Roman"/>
        </w:rPr>
        <w:t xml:space="preserve"> the “liar loans” taken out by those with higher credit s</w:t>
      </w:r>
      <w:r w:rsidRPr="00124B71">
        <w:rPr>
          <w:rFonts w:cs="Times New Roman"/>
        </w:rPr>
        <w:t>cores</w:t>
      </w:r>
      <w:r w:rsidR="001429CA" w:rsidRPr="00124B71">
        <w:rPr>
          <w:rFonts w:cs="Times New Roman"/>
        </w:rPr>
        <w:t>, the unmanageable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1429CA" w:rsidRPr="00124B71">
        <w:rPr>
          <w:rFonts w:cs="Times New Roman"/>
        </w:rPr>
        <w:t xml:space="preserve"> ratios,</w:t>
      </w:r>
      <w:r w:rsidRPr="00124B71">
        <w:rPr>
          <w:rFonts w:cs="Times New Roman"/>
        </w:rPr>
        <w:t xml:space="preserve"> and payment resets for interest-only</w:t>
      </w:r>
      <w:r w:rsidR="001767A9" w:rsidRPr="00124B71">
        <w:rPr>
          <w:rFonts w:cs="Times New Roman"/>
        </w:rPr>
        <w:t xml:space="preserve"> and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001767A9" w:rsidRPr="00124B71">
        <w:rPr>
          <w:rFonts w:cs="Times New Roman"/>
        </w:rPr>
        <w:t xml:space="preserve"> loans which were also given to the Alt-A and Prime cro</w:t>
      </w:r>
      <w:r w:rsidRPr="00124B71">
        <w:rPr>
          <w:rFonts w:cs="Times New Roman"/>
        </w:rPr>
        <w:t>wd. Historically, this group had</w:t>
      </w:r>
      <w:r w:rsidR="001767A9" w:rsidRPr="00124B71">
        <w:rPr>
          <w:rFonts w:cs="Times New Roman"/>
        </w:rPr>
        <w:t xml:space="preserve"> not defaulted because they have not been widely exposed to these loan types. </w:t>
      </w:r>
    </w:p>
    <w:p w14:paraId="7998864D" w14:textId="77777777" w:rsidR="00BF4D60" w:rsidRPr="00124B71" w:rsidRDefault="00BF4D60" w:rsidP="008560E2">
      <w:pPr>
        <w:rPr>
          <w:rFonts w:cs="Times New Roman"/>
        </w:rPr>
      </w:pPr>
      <w:r w:rsidRPr="00124B71">
        <w:rPr>
          <w:rFonts w:cs="Times New Roman"/>
        </w:rPr>
        <w:t xml:space="preserve">An adjustable rate mortgage resets to a different (usually higher) interest rate or payment schedule at a time specified in the loan agreement. The increase in payment may be caused by an increasing interest rate or it may be caused by a recast of the loan to a fully-amortized payment schedule. In either case, the monthly payment will rise. If a borrower is unable to make the new payment because wages did not increase or perhaps the payment increase was simply too large, </w:t>
      </w:r>
      <w:r w:rsidR="00BA19AE" w:rsidRPr="00124B71">
        <w:rPr>
          <w:rFonts w:cs="Times New Roman"/>
        </w:rPr>
        <w:t xml:space="preserve">the borrower will need to refinance to a new loan with an affordable payment structure. If at the time of refinancing the borrower is not eligible for available loan programs because the borrower </w:t>
      </w:r>
      <w:r w:rsidR="003A1C93" w:rsidRPr="00124B71">
        <w:rPr>
          <w:rFonts w:cs="Times New Roman"/>
        </w:rPr>
        <w:t xml:space="preserve">or the property </w:t>
      </w:r>
      <w:r w:rsidR="00BA19AE" w:rsidRPr="00124B71">
        <w:rPr>
          <w:rFonts w:cs="Times New Roman"/>
        </w:rPr>
        <w:t>no longer meets the prevailing loan standards, the borrower may have no choice but to default on the existing loan and go through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BA19AE" w:rsidRPr="00124B71">
        <w:rPr>
          <w:rFonts w:cs="Times New Roman"/>
        </w:rPr>
        <w:t xml:space="preserve"> on the property. In short, if borrower</w:t>
      </w:r>
      <w:r w:rsidR="000D44E4" w:rsidRPr="00124B71">
        <w:rPr>
          <w:rFonts w:cs="Times New Roman"/>
        </w:rPr>
        <w:t>s</w:t>
      </w:r>
      <w:r w:rsidR="00BA19AE" w:rsidRPr="00124B71">
        <w:rPr>
          <w:rFonts w:cs="Times New Roman"/>
        </w:rPr>
        <w:t xml:space="preserve"> cannot make the new payment or refinance, they will lose their home</w:t>
      </w:r>
      <w:r w:rsidR="000D44E4" w:rsidRPr="00124B71">
        <w:rPr>
          <w:rFonts w:cs="Times New Roman"/>
        </w:rPr>
        <w:t>s</w:t>
      </w:r>
      <w:r w:rsidR="00BA19AE" w:rsidRPr="00124B71">
        <w:rPr>
          <w:rFonts w:cs="Times New Roman"/>
        </w:rPr>
        <w:t xml:space="preserve">. This is how many borrowers lost their homes </w:t>
      </w:r>
      <w:r w:rsidR="000D44E4" w:rsidRPr="00124B71">
        <w:rPr>
          <w:rFonts w:cs="Times New Roman"/>
        </w:rPr>
        <w:t>during</w:t>
      </w:r>
      <w:r w:rsidR="00BA19AE" w:rsidRPr="00124B71">
        <w:rPr>
          <w:rFonts w:cs="Times New Roman"/>
        </w:rPr>
        <w:t xml:space="preserve"> </w:t>
      </w:r>
      <w:r w:rsidR="001A34D5">
        <w:rPr>
          <w:rFonts w:cs="Times New Roman"/>
        </w:rPr>
        <w:t>the Great Housing Bubble</w:t>
      </w:r>
      <w:r w:rsidR="00BA19AE" w:rsidRPr="00124B71">
        <w:rPr>
          <w:rFonts w:cs="Times New Roman"/>
        </w:rPr>
        <w:t>.</w:t>
      </w:r>
    </w:p>
    <w:p w14:paraId="6B652B23" w14:textId="77777777" w:rsidR="00BA19AE" w:rsidRPr="00124B71" w:rsidRDefault="00BA19AE" w:rsidP="008560E2">
      <w:pPr>
        <w:rPr>
          <w:rFonts w:cs="Times New Roman"/>
        </w:rPr>
      </w:pPr>
      <w:r w:rsidRPr="00124B71">
        <w:rPr>
          <w:rFonts w:cs="Times New Roman"/>
        </w:rPr>
        <w:t>Loan standards vary over time as the credit cycle</w:t>
      </w:r>
      <w:r w:rsidR="001858B5">
        <w:rPr>
          <w:rFonts w:cs="Times New Roman"/>
        </w:rPr>
        <w:fldChar w:fldCharType="begin"/>
      </w:r>
      <w:r w:rsidR="003852DB">
        <w:instrText xml:space="preserve"> XE "</w:instrText>
      </w:r>
      <w:r w:rsidR="003852DB" w:rsidRPr="00E437D3">
        <w:rPr>
          <w:rFonts w:cs="Times New Roman"/>
        </w:rPr>
        <w:instrText>credit cycle</w:instrText>
      </w:r>
      <w:r w:rsidR="003852DB">
        <w:instrText xml:space="preserve">" </w:instrText>
      </w:r>
      <w:r w:rsidR="001858B5">
        <w:rPr>
          <w:rFonts w:cs="Times New Roman"/>
        </w:rPr>
        <w:fldChar w:fldCharType="end"/>
      </w:r>
      <w:r w:rsidRPr="00124B71">
        <w:rPr>
          <w:rFonts w:cs="Times New Roman"/>
        </w:rPr>
        <w:t xml:space="preserve"> loosens and tightens. Many borrowers in the bubble rally were qualified with low credit scores, very high combined-loan-to-values, high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ratios, and little or no </w:t>
      </w:r>
      <w:r w:rsidRPr="00124B71">
        <w:rPr>
          <w:rFonts w:cs="Times New Roman"/>
        </w:rPr>
        <w:lastRenderedPageBreak/>
        <w:t>income verification. When the ensuing credit crunch</w:t>
      </w:r>
      <w:r w:rsidR="001858B5">
        <w:rPr>
          <w:rFonts w:cs="Times New Roman"/>
        </w:rPr>
        <w:fldChar w:fldCharType="begin"/>
      </w:r>
      <w:r w:rsidR="00FA2AEF">
        <w:instrText xml:space="preserve"> XE "</w:instrText>
      </w:r>
      <w:r w:rsidR="00FA2AEF" w:rsidRPr="00F6304A">
        <w:rPr>
          <w:rFonts w:cs="Times New Roman"/>
        </w:rPr>
        <w:instrText>credit crunch</w:instrText>
      </w:r>
      <w:r w:rsidR="00FA2AEF">
        <w:instrText xml:space="preserve">" </w:instrText>
      </w:r>
      <w:r w:rsidR="001858B5">
        <w:rPr>
          <w:rFonts w:cs="Times New Roman"/>
        </w:rPr>
        <w:fldChar w:fldCharType="end"/>
      </w:r>
      <w:r w:rsidRPr="00124B71">
        <w:rPr>
          <w:rFonts w:cs="Times New Roman"/>
        </w:rPr>
        <w:t xml:space="preserve"> occurred, all of these standards were tightened and many of those who previously qualified did not qualify under the new standards. If no other conditions changed, this tightening of standards would have forced many borrowers into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however, this credit tightening caused a chain reaction</w:t>
      </w:r>
      <w:r w:rsidR="00411E29" w:rsidRPr="00124B71">
        <w:rPr>
          <w:rFonts w:cs="Times New Roman"/>
        </w:rPr>
        <w:t xml:space="preserve"> sending market prices for residential real estate which were already falling into an even steeper decline.</w:t>
      </w:r>
    </w:p>
    <w:p w14:paraId="2334BE99" w14:textId="64DAFCBF" w:rsidR="00393F5C" w:rsidRPr="00EF0EDA" w:rsidRDefault="00393F5C" w:rsidP="00393F5C">
      <w:pPr>
        <w:pStyle w:val="Caption"/>
      </w:pPr>
      <w:bookmarkStart w:id="130" w:name="_Toc238867468"/>
      <w:r>
        <w:t>Figure</w:t>
      </w:r>
      <w:r w:rsidRPr="00EF0EDA">
        <w:t xml:space="preserve"> </w:t>
      </w:r>
      <w:fldSimple w:instr=" SEQ Figure \* ARABIC ">
        <w:r w:rsidR="00493733">
          <w:rPr>
            <w:noProof/>
          </w:rPr>
          <w:t>27</w:t>
        </w:r>
      </w:fldSimple>
      <w:r w:rsidR="00317936">
        <w:t xml:space="preserve">: </w:t>
      </w:r>
      <w:r w:rsidRPr="00EF0EDA">
        <w:t>Adjustable Rate Mortgage Reset Chart</w:t>
      </w:r>
      <w:bookmarkEnd w:id="130"/>
      <w:r w:rsidR="001858B5">
        <w:fldChar w:fldCharType="begin"/>
      </w:r>
      <w:r w:rsidR="001A53F8">
        <w:instrText xml:space="preserve"> XE "</w:instrText>
      </w:r>
      <w:r w:rsidR="001A53F8" w:rsidRPr="00B17FB1">
        <w:rPr>
          <w:rFonts w:cs="Times New Roman"/>
        </w:rPr>
        <w:instrText>Adjustable Rate Mortgage Reset Chart</w:instrText>
      </w:r>
      <w:r w:rsidR="001A53F8">
        <w:instrText xml:space="preserve">" </w:instrText>
      </w:r>
      <w:r w:rsidR="001858B5">
        <w:fldChar w:fldCharType="end"/>
      </w:r>
    </w:p>
    <w:p w14:paraId="3980C82D" w14:textId="77777777" w:rsidR="00393F5C" w:rsidRPr="00EF0EDA" w:rsidRDefault="002703E4" w:rsidP="005B15BB">
      <w:pPr>
        <w:pStyle w:val="Graphics"/>
      </w:pPr>
      <w:r>
        <w:drawing>
          <wp:inline distT="0" distB="0" distL="0" distR="0" wp14:anchorId="6FABE10E" wp14:editId="2FE5D863">
            <wp:extent cx="3657600" cy="2766060"/>
            <wp:effectExtent l="19050" t="0" r="0" b="0"/>
            <wp:docPr id="92" name="Picture 91" descr="Adjustable Rate Mortgage Reset 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justable Rate Mortgage Reset Chart.jpg"/>
                    <pic:cNvPicPr/>
                  </pic:nvPicPr>
                  <pic:blipFill>
                    <a:blip r:embed="rId61"/>
                    <a:stretch>
                      <a:fillRect/>
                    </a:stretch>
                  </pic:blipFill>
                  <pic:spPr>
                    <a:xfrm>
                      <a:off x="0" y="0"/>
                      <a:ext cx="3657600" cy="2766060"/>
                    </a:xfrm>
                    <a:prstGeom prst="rect">
                      <a:avLst/>
                    </a:prstGeom>
                  </pic:spPr>
                </pic:pic>
              </a:graphicData>
            </a:graphic>
          </wp:inline>
        </w:drawing>
      </w:r>
    </w:p>
    <w:p w14:paraId="1C8C42F6" w14:textId="77777777" w:rsidR="005167E7" w:rsidRPr="00124B71" w:rsidRDefault="00411E29" w:rsidP="008560E2">
      <w:pPr>
        <w:rPr>
          <w:rFonts w:cs="Times New Roman"/>
        </w:rPr>
      </w:pPr>
      <w:r w:rsidRPr="00124B71">
        <w:rPr>
          <w:rFonts w:cs="Times New Roman"/>
        </w:rPr>
        <w:t>The Adjustable Rate Mortgage Reset Chart</w:t>
      </w:r>
      <w:r w:rsidR="001858B5">
        <w:rPr>
          <w:rFonts w:cs="Times New Roman"/>
        </w:rPr>
        <w:fldChar w:fldCharType="begin"/>
      </w:r>
      <w:r w:rsidR="001A53F8">
        <w:instrText xml:space="preserve"> XE "</w:instrText>
      </w:r>
      <w:r w:rsidR="001A53F8" w:rsidRPr="00B17FB1">
        <w:rPr>
          <w:rFonts w:cs="Times New Roman"/>
        </w:rPr>
        <w:instrText>Adjustable Rate Mortgage Reset Chart</w:instrText>
      </w:r>
      <w:r w:rsidR="001A53F8">
        <w:instrText xml:space="preserve">" </w:instrText>
      </w:r>
      <w:r w:rsidR="001858B5">
        <w:rPr>
          <w:rFonts w:cs="Times New Roman"/>
        </w:rPr>
        <w:fldChar w:fldCharType="end"/>
      </w:r>
      <w:r w:rsidRPr="00124B71">
        <w:rPr>
          <w:rFonts w:cs="Times New Roman"/>
        </w:rPr>
        <w:t xml:space="preserve"> produced by Credit Suisse</w:t>
      </w:r>
      <w:r w:rsidR="001858B5">
        <w:rPr>
          <w:rFonts w:cs="Times New Roman"/>
        </w:rPr>
        <w:fldChar w:fldCharType="begin"/>
      </w:r>
      <w:r w:rsidR="001A53F8">
        <w:instrText xml:space="preserve"> XE "</w:instrText>
      </w:r>
      <w:r w:rsidR="001A53F8" w:rsidRPr="00402D53">
        <w:rPr>
          <w:rFonts w:cs="Times New Roman"/>
        </w:rPr>
        <w:instrText>Credit Suisse</w:instrText>
      </w:r>
      <w:r w:rsidR="001A53F8">
        <w:instrText xml:space="preserve">" </w:instrText>
      </w:r>
      <w:r w:rsidR="001858B5">
        <w:rPr>
          <w:rFonts w:cs="Times New Roman"/>
        </w:rPr>
        <w:fldChar w:fldCharType="end"/>
      </w:r>
      <w:r w:rsidRPr="00124B71">
        <w:rPr>
          <w:rFonts w:cs="Times New Roman"/>
        </w:rPr>
        <w:t xml:space="preserve"> in</w:t>
      </w:r>
      <w:r w:rsidR="000D44E4" w:rsidRPr="00124B71">
        <w:rPr>
          <w:rFonts w:cs="Times New Roman"/>
        </w:rPr>
        <w:t xml:space="preserve"> 2007</w:t>
      </w:r>
      <w:r w:rsidRPr="00124B71">
        <w:rPr>
          <w:rFonts w:cs="Times New Roman"/>
        </w:rPr>
        <w:t xml:space="preserve"> details the dollar amounts of mortgages facing payment resets in the six years from 2007-2012. The bulk of the first two years (24 months on the chart) are loa</w:t>
      </w:r>
      <w:r w:rsidR="000D44E4" w:rsidRPr="00124B71">
        <w:rPr>
          <w:rFonts w:cs="Times New Roman"/>
        </w:rPr>
        <w:t>n resets from subprime borrower</w:t>
      </w:r>
      <w:r w:rsidRPr="00124B71">
        <w:rPr>
          <w:rFonts w:cs="Times New Roman"/>
        </w:rPr>
        <w:t>s who purchased in 2005 and 2006. These subprime borrowers paid peak prices for properties</w:t>
      </w:r>
      <w:r w:rsidR="000D44E4" w:rsidRPr="00124B71">
        <w:rPr>
          <w:rFonts w:cs="Times New Roman"/>
        </w:rPr>
        <w:t>. M</w:t>
      </w:r>
      <w:r w:rsidR="005167E7" w:rsidRPr="00124B71">
        <w:rPr>
          <w:rFonts w:cs="Times New Roman"/>
        </w:rPr>
        <w:t>ost of these borrowers were given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005167E7" w:rsidRPr="00124B71">
        <w:rPr>
          <w:rFonts w:cs="Times New Roman"/>
        </w:rPr>
        <w:t xml:space="preserve"> (if they could have saved up for a downpayment, they probably would not have been </w:t>
      </w:r>
      <w:r w:rsidR="000D44E4" w:rsidRPr="00124B71">
        <w:rPr>
          <w:rFonts w:cs="Times New Roman"/>
        </w:rPr>
        <w:t>s</w:t>
      </w:r>
      <w:r w:rsidR="005167E7" w:rsidRPr="00124B71">
        <w:rPr>
          <w:rFonts w:cs="Times New Roman"/>
        </w:rPr>
        <w:t xml:space="preserve">ubprime,) </w:t>
      </w:r>
      <w:r w:rsidRPr="00124B71">
        <w:rPr>
          <w:rFonts w:cs="Times New Roman"/>
        </w:rPr>
        <w:t xml:space="preserve">and they were often only qualified based on their ability to make the initial payment </w:t>
      </w:r>
      <w:r w:rsidR="000D44E4" w:rsidRPr="00124B71">
        <w:rPr>
          <w:rFonts w:cs="Times New Roman"/>
        </w:rPr>
        <w:t>rather than</w:t>
      </w:r>
      <w:r w:rsidRPr="00124B71">
        <w:rPr>
          <w:rFonts w:cs="Times New Roman"/>
        </w:rPr>
        <w:t xml:space="preserve"> on their ability to make the payment after the reset.</w:t>
      </w:r>
      <w:r w:rsidR="005167E7" w:rsidRPr="00124B71">
        <w:rPr>
          <w:rFonts w:cs="Times New Roman"/>
        </w:rPr>
        <w:t xml:space="preserve"> There was a special loan program called a 2/28</w:t>
      </w:r>
      <w:r w:rsidR="001858B5">
        <w:rPr>
          <w:rFonts w:cs="Times New Roman"/>
        </w:rPr>
        <w:fldChar w:fldCharType="begin"/>
      </w:r>
      <w:r w:rsidR="00C12412">
        <w:instrText xml:space="preserve"> XE "</w:instrText>
      </w:r>
      <w:r w:rsidR="00C12412" w:rsidRPr="00103CC1">
        <w:rPr>
          <w:rFonts w:cs="Times New Roman"/>
        </w:rPr>
        <w:instrText>2/28</w:instrText>
      </w:r>
      <w:r w:rsidR="00C12412">
        <w:instrText xml:space="preserve">" </w:instrText>
      </w:r>
      <w:r w:rsidR="001858B5">
        <w:rPr>
          <w:rFonts w:cs="Times New Roman"/>
        </w:rPr>
        <w:fldChar w:fldCharType="end"/>
      </w:r>
      <w:r w:rsidR="005167E7" w:rsidRPr="00124B71">
        <w:rPr>
          <w:rFonts w:cs="Times New Roman"/>
        </w:rPr>
        <w:t xml:space="preserve"> </w:t>
      </w:r>
      <w:r w:rsidR="000D44E4" w:rsidRPr="00124B71">
        <w:rPr>
          <w:rFonts w:cs="Times New Roman"/>
        </w:rPr>
        <w:t>that</w:t>
      </w:r>
      <w:r w:rsidR="005167E7" w:rsidRPr="00124B71">
        <w:rPr>
          <w:rFonts w:cs="Times New Roman"/>
        </w:rPr>
        <w:t xml:space="preserve"> most subprime borrowers</w:t>
      </w:r>
      <w:r w:rsidR="000D44E4" w:rsidRPr="00124B71">
        <w:rPr>
          <w:rFonts w:cs="Times New Roman"/>
        </w:rPr>
        <w:t xml:space="preserve"> purchased</w:t>
      </w:r>
      <w:r w:rsidR="00483CE0" w:rsidRPr="00124B71">
        <w:rPr>
          <w:rFonts w:cs="Times New Roman"/>
        </w:rPr>
        <w:t>.</w:t>
      </w:r>
      <w:r w:rsidR="00635AA0" w:rsidRPr="00124B71">
        <w:rPr>
          <w:rFonts w:cs="Times New Roman"/>
        </w:rPr>
        <w:t xml:space="preserve"> </w:t>
      </w:r>
      <w:r w:rsidR="0078569C" w:rsidRPr="00124B71">
        <w:rPr>
          <w:rStyle w:val="EndnoteReference"/>
          <w:rFonts w:cs="Times New Roman"/>
        </w:rPr>
        <w:endnoteReference w:id="85"/>
      </w:r>
      <w:r w:rsidR="005167E7" w:rsidRPr="00124B71">
        <w:rPr>
          <w:rFonts w:cs="Times New Roman"/>
        </w:rPr>
        <w:t xml:space="preserve"> This loan fixed a payment for two years; afterward, the payment would increase to a higher interest rate and on a fully-amortized schedule over the remaining 28 years. The payment shock was extreme.</w:t>
      </w:r>
      <w:r w:rsidRPr="00124B71">
        <w:rPr>
          <w:rFonts w:cs="Times New Roman"/>
        </w:rPr>
        <w:t xml:space="preserve"> This created a condition where most</w:t>
      </w:r>
      <w:r w:rsidR="005167E7" w:rsidRPr="00124B71">
        <w:rPr>
          <w:rFonts w:cs="Times New Roman"/>
        </w:rPr>
        <w:t xml:space="preserve"> subprime borrowers</w:t>
      </w:r>
      <w:r w:rsidRPr="00124B71">
        <w:rPr>
          <w:rFonts w:cs="Times New Roman"/>
        </w:rPr>
        <w:t xml:space="preserve"> could not refinance or make their payments, and </w:t>
      </w:r>
      <w:r w:rsidR="003A1C93" w:rsidRPr="00124B71">
        <w:rPr>
          <w:rFonts w:cs="Times New Roman"/>
        </w:rPr>
        <w:t>many</w:t>
      </w:r>
      <w:r w:rsidRPr="00124B71">
        <w:rPr>
          <w:rFonts w:cs="Times New Roman"/>
        </w:rPr>
        <w:t xml:space="preserve"> of these borrowers defaulted on their loans</w:t>
      </w:r>
      <w:r w:rsidR="005167E7" w:rsidRPr="00124B71">
        <w:rPr>
          <w:rFonts w:cs="Times New Roman"/>
        </w:rPr>
        <w:t>. Data from early 2008 showed the 2006 and 2007 vintage of subprime loans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5167E7" w:rsidRPr="00124B71">
        <w:rPr>
          <w:rFonts w:cs="Times New Roman"/>
        </w:rPr>
        <w:t xml:space="preserve"> running close to </w:t>
      </w:r>
      <w:r w:rsidR="000D44E4" w:rsidRPr="00124B71">
        <w:rPr>
          <w:rFonts w:cs="Times New Roman"/>
        </w:rPr>
        <w:t>5</w:t>
      </w:r>
      <w:r w:rsidR="005167E7" w:rsidRPr="00124B71">
        <w:rPr>
          <w:rFonts w:cs="Times New Roman"/>
        </w:rPr>
        <w:t>0%</w:t>
      </w:r>
      <w:r w:rsidR="006327DC" w:rsidRPr="00124B71">
        <w:rPr>
          <w:rFonts w:cs="Times New Roman"/>
        </w:rPr>
        <w:t>, and this was before the resets were coming due</w:t>
      </w:r>
      <w:r w:rsidR="005167E7" w:rsidRPr="00124B71">
        <w:rPr>
          <w:rFonts w:cs="Times New Roman"/>
        </w:rPr>
        <w:t>.</w:t>
      </w:r>
      <w:r w:rsidR="006327DC" w:rsidRPr="00124B71">
        <w:rPr>
          <w:rFonts w:cs="Times New Roman"/>
        </w:rPr>
        <w:t xml:space="preserve"> Most of these subprime borrowers who went into default lost their properties in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6327DC" w:rsidRPr="00124B71">
        <w:rPr>
          <w:rFonts w:cs="Times New Roman"/>
        </w:rPr>
        <w:t>,</w:t>
      </w:r>
      <w:r w:rsidRPr="00124B71">
        <w:rPr>
          <w:rFonts w:cs="Times New Roman"/>
        </w:rPr>
        <w:t xml:space="preserve"> and these </w:t>
      </w:r>
      <w:r w:rsidRPr="00124B71">
        <w:rPr>
          <w:rFonts w:cs="Times New Roman"/>
        </w:rPr>
        <w:lastRenderedPageBreak/>
        <w:t>foreclosures were added t</w:t>
      </w:r>
      <w:r w:rsidR="000D44E4" w:rsidRPr="00124B71">
        <w:rPr>
          <w:rFonts w:cs="Times New Roman"/>
        </w:rPr>
        <w:t>o the supply of an already overwhelmed</w:t>
      </w:r>
      <w:r w:rsidRPr="00124B71">
        <w:rPr>
          <w:rFonts w:cs="Times New Roman"/>
        </w:rPr>
        <w:t xml:space="preserve"> real estate market. </w:t>
      </w:r>
    </w:p>
    <w:p w14:paraId="4BF19E53" w14:textId="7A044FD8" w:rsidR="00CF5372" w:rsidRPr="00EF0EDA" w:rsidRDefault="00CF05FE" w:rsidP="00E36959">
      <w:pPr>
        <w:pStyle w:val="Caption"/>
      </w:pPr>
      <w:bookmarkStart w:id="131" w:name="_Toc238867469"/>
      <w:r>
        <w:t>Figure</w:t>
      </w:r>
      <w:r w:rsidR="00E36959" w:rsidRPr="00EF0EDA">
        <w:t xml:space="preserve"> </w:t>
      </w:r>
      <w:fldSimple w:instr=" SEQ Figure \* ARABIC ">
        <w:r w:rsidR="00493733">
          <w:rPr>
            <w:noProof/>
          </w:rPr>
          <w:t>28</w:t>
        </w:r>
      </w:fldSimple>
      <w:r w:rsidR="00317936">
        <w:t xml:space="preserve">: </w:t>
      </w:r>
      <w:r w:rsidR="00E36959" w:rsidRPr="00EF0EDA">
        <w:t>ARM Reset through Foreclosure to Final Sale</w:t>
      </w:r>
      <w:bookmarkEnd w:id="131"/>
    </w:p>
    <w:p w14:paraId="0F53B085" w14:textId="77777777" w:rsidR="00E36959" w:rsidRPr="00EF0EDA" w:rsidRDefault="002703E4" w:rsidP="00534962">
      <w:pPr>
        <w:pStyle w:val="Graphics"/>
      </w:pPr>
      <w:r>
        <w:drawing>
          <wp:inline distT="0" distB="0" distL="0" distR="0" wp14:anchorId="1FAB2303" wp14:editId="036AE3CA">
            <wp:extent cx="4152900" cy="6084663"/>
            <wp:effectExtent l="19050" t="0" r="0" b="0"/>
            <wp:docPr id="131" name="Figure 28" descr="Figure 28: ARM Reset through Foreclosure to Final S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ARM Reset to Final Sale.jpg"/>
                    <pic:cNvPicPr/>
                  </pic:nvPicPr>
                  <pic:blipFill>
                    <a:blip r:embed="rId62"/>
                    <a:stretch>
                      <a:fillRect/>
                    </a:stretch>
                  </pic:blipFill>
                  <pic:spPr>
                    <a:xfrm>
                      <a:off x="0" y="0"/>
                      <a:ext cx="4152900" cy="6084663"/>
                    </a:xfrm>
                    <a:prstGeom prst="rect">
                      <a:avLst/>
                    </a:prstGeom>
                  </pic:spPr>
                </pic:pic>
              </a:graphicData>
            </a:graphic>
          </wp:inline>
        </w:drawing>
      </w:r>
    </w:p>
    <w:p w14:paraId="18A7940B" w14:textId="77777777" w:rsidR="00483CE0" w:rsidRPr="00A660BB" w:rsidRDefault="00CF5372" w:rsidP="008560E2">
      <w:pPr>
        <w:rPr>
          <w:rFonts w:cs="Times New Roman"/>
          <w:szCs w:val="20"/>
        </w:rPr>
      </w:pPr>
      <w:r w:rsidRPr="00A660BB">
        <w:rPr>
          <w:rFonts w:cs="Times New Roman"/>
          <w:szCs w:val="20"/>
        </w:rPr>
        <w:lastRenderedPageBreak/>
        <w:t xml:space="preserve">There is a sequence of events which occurs between the mortgage reset and the final sale of a property to a new owner on the open market. </w:t>
      </w:r>
      <w:r w:rsidR="008C33D3" w:rsidRPr="00A660BB">
        <w:rPr>
          <w:rFonts w:cs="Times New Roman"/>
          <w:szCs w:val="20"/>
        </w:rPr>
        <w:t>After the borrower is faced with a mortgage reset, many try to make the new payment and keep their houses. They may borrow from other sources including credit cards or even their retirement accounts</w:t>
      </w:r>
      <w:r w:rsidR="007C469A">
        <w:rPr>
          <w:rFonts w:cs="Times New Roman"/>
          <w:szCs w:val="20"/>
        </w:rPr>
        <w:t>–</w:t>
      </w:r>
      <w:r w:rsidR="008C33D3" w:rsidRPr="00A660BB">
        <w:rPr>
          <w:rFonts w:cs="Times New Roman"/>
          <w:szCs w:val="20"/>
        </w:rPr>
        <w:t xml:space="preserve">anything to make the payment and keep their homes. Depending on the resources available and the burden imposed by the new payment, the borrower may stay afloat for an indefinite period of time. Some chose to give up immediately and 30 days later, they are in default. Once a borrower defaults on a loan, in most states the lender is required to wait 90 days to give the borrower a chance to get current on their payments. Once a borrower is 90 days late, </w:t>
      </w:r>
      <w:r w:rsidR="0092607B" w:rsidRPr="00A660BB">
        <w:rPr>
          <w:rFonts w:cs="Times New Roman"/>
          <w:szCs w:val="20"/>
        </w:rPr>
        <w:t>he</w:t>
      </w:r>
      <w:r w:rsidR="008C33D3" w:rsidRPr="00A660BB">
        <w:rPr>
          <w:rFonts w:cs="Times New Roman"/>
          <w:szCs w:val="20"/>
        </w:rPr>
        <w:t xml:space="preserve"> receive</w:t>
      </w:r>
      <w:r w:rsidR="0092607B" w:rsidRPr="00A660BB">
        <w:rPr>
          <w:rFonts w:cs="Times New Roman"/>
          <w:szCs w:val="20"/>
        </w:rPr>
        <w:t>s</w:t>
      </w:r>
      <w:r w:rsidR="008C33D3" w:rsidRPr="00A660BB">
        <w:rPr>
          <w:rFonts w:cs="Times New Roman"/>
          <w:szCs w:val="20"/>
        </w:rPr>
        <w:t xml:space="preserve"> a Notice of Default</w:t>
      </w:r>
      <w:r w:rsidR="001858B5" w:rsidRPr="00A660BB">
        <w:rPr>
          <w:rFonts w:cs="Times New Roman"/>
          <w:szCs w:val="20"/>
        </w:rPr>
        <w:fldChar w:fldCharType="begin"/>
      </w:r>
      <w:r w:rsidR="001A53F8" w:rsidRPr="00A660BB">
        <w:rPr>
          <w:szCs w:val="20"/>
        </w:rPr>
        <w:instrText xml:space="preserve"> XE "</w:instrText>
      </w:r>
      <w:r w:rsidR="001A53F8" w:rsidRPr="00A660BB">
        <w:rPr>
          <w:rFonts w:cs="Times New Roman"/>
          <w:szCs w:val="20"/>
        </w:rPr>
        <w:instrText>Notice of Default</w:instrText>
      </w:r>
      <w:r w:rsidR="001A53F8" w:rsidRPr="00A660BB">
        <w:rPr>
          <w:szCs w:val="20"/>
        </w:rPr>
        <w:instrText xml:space="preserve">" </w:instrText>
      </w:r>
      <w:r w:rsidR="001858B5" w:rsidRPr="00A660BB">
        <w:rPr>
          <w:rFonts w:cs="Times New Roman"/>
          <w:szCs w:val="20"/>
        </w:rPr>
        <w:fldChar w:fldCharType="end"/>
      </w:r>
      <w:r w:rsidR="008C33D3" w:rsidRPr="00A660BB">
        <w:rPr>
          <w:rFonts w:cs="Times New Roman"/>
          <w:szCs w:val="20"/>
        </w:rPr>
        <w:t xml:space="preserve"> from the lender. Following the Notice of Default, there is another 90 day window where the borrower can make good on their payments. If </w:t>
      </w:r>
      <w:r w:rsidR="0092607B" w:rsidRPr="00A660BB">
        <w:rPr>
          <w:rFonts w:cs="Times New Roman"/>
          <w:szCs w:val="20"/>
        </w:rPr>
        <w:t>he is</w:t>
      </w:r>
      <w:r w:rsidR="008C33D3" w:rsidRPr="00A660BB">
        <w:rPr>
          <w:rFonts w:cs="Times New Roman"/>
          <w:szCs w:val="20"/>
        </w:rPr>
        <w:t xml:space="preserve"> unable (or unwilling) to do so, the lender will file a Notice of Trustee Sale</w:t>
      </w:r>
      <w:r w:rsidR="001858B5" w:rsidRPr="00A660BB">
        <w:rPr>
          <w:rFonts w:cs="Times New Roman"/>
          <w:szCs w:val="20"/>
        </w:rPr>
        <w:fldChar w:fldCharType="begin"/>
      </w:r>
      <w:r w:rsidR="001A53F8" w:rsidRPr="00A660BB">
        <w:rPr>
          <w:szCs w:val="20"/>
        </w:rPr>
        <w:instrText xml:space="preserve"> XE "</w:instrText>
      </w:r>
      <w:r w:rsidR="001A53F8" w:rsidRPr="00A660BB">
        <w:rPr>
          <w:rFonts w:cs="Times New Roman"/>
          <w:szCs w:val="20"/>
        </w:rPr>
        <w:instrText>Notice of Trustee Sale</w:instrText>
      </w:r>
      <w:r w:rsidR="001A53F8" w:rsidRPr="00A660BB">
        <w:rPr>
          <w:szCs w:val="20"/>
        </w:rPr>
        <w:instrText xml:space="preserve">" </w:instrText>
      </w:r>
      <w:r w:rsidR="001858B5" w:rsidRPr="00A660BB">
        <w:rPr>
          <w:rFonts w:cs="Times New Roman"/>
          <w:szCs w:val="20"/>
        </w:rPr>
        <w:fldChar w:fldCharType="end"/>
      </w:r>
      <w:r w:rsidR="008C33D3" w:rsidRPr="00A660BB">
        <w:rPr>
          <w:rFonts w:cs="Times New Roman"/>
          <w:szCs w:val="20"/>
        </w:rPr>
        <w:t xml:space="preserve"> and schedule a public auction for 21 days later. If the borrower cannot pay back the loan or find other ways to delay the process, the property is put up for public auction, generally on the courthouse steps in the jurisdiction where the property is located. At this auction, the lender will generally bid the amount of the outstanding loan and hope another party bids more and pays them off. If the lender is the highest bidder, which is often the case, the</w:t>
      </w:r>
      <w:r w:rsidR="0092607B" w:rsidRPr="00A660BB">
        <w:rPr>
          <w:rFonts w:cs="Times New Roman"/>
          <w:szCs w:val="20"/>
        </w:rPr>
        <w:t xml:space="preserve"> lender</w:t>
      </w:r>
      <w:r w:rsidR="008C33D3" w:rsidRPr="00A660BB">
        <w:rPr>
          <w:rFonts w:cs="Times New Roman"/>
          <w:szCs w:val="20"/>
        </w:rPr>
        <w:t xml:space="preserve"> end</w:t>
      </w:r>
      <w:r w:rsidR="0092607B" w:rsidRPr="00A660BB">
        <w:rPr>
          <w:rFonts w:cs="Times New Roman"/>
          <w:szCs w:val="20"/>
        </w:rPr>
        <w:t>s</w:t>
      </w:r>
      <w:r w:rsidR="008C33D3" w:rsidRPr="00A660BB">
        <w:rPr>
          <w:rFonts w:cs="Times New Roman"/>
          <w:szCs w:val="20"/>
        </w:rPr>
        <w:t xml:space="preserve"> up </w:t>
      </w:r>
      <w:r w:rsidR="00BB4CFA" w:rsidRPr="00A660BB">
        <w:rPr>
          <w:rFonts w:cs="Times New Roman"/>
          <w:szCs w:val="20"/>
        </w:rPr>
        <w:t>owning the house</w:t>
      </w:r>
      <w:r w:rsidR="008C33D3" w:rsidRPr="00A660BB">
        <w:rPr>
          <w:rFonts w:cs="Times New Roman"/>
          <w:szCs w:val="20"/>
        </w:rPr>
        <w:t>.</w:t>
      </w:r>
      <w:r w:rsidR="003A1C93" w:rsidRPr="00A660BB">
        <w:rPr>
          <w:rFonts w:cs="Times New Roman"/>
          <w:szCs w:val="20"/>
        </w:rPr>
        <w:t xml:space="preserve"> </w:t>
      </w:r>
    </w:p>
    <w:p w14:paraId="6FE72689" w14:textId="77777777" w:rsidR="00CF5372" w:rsidRPr="00A660BB" w:rsidRDefault="003A1C93" w:rsidP="008560E2">
      <w:pPr>
        <w:rPr>
          <w:rFonts w:cs="Times New Roman"/>
          <w:szCs w:val="20"/>
        </w:rPr>
      </w:pPr>
      <w:r w:rsidRPr="00A660BB">
        <w:rPr>
          <w:rFonts w:cs="Times New Roman"/>
          <w:szCs w:val="20"/>
        </w:rPr>
        <w:t>During the bust, the vast majority of properties at auction went back to the lenders because the loan amounts usually exceeded market value.</w:t>
      </w:r>
      <w:r w:rsidR="008C33D3" w:rsidRPr="00A660BB">
        <w:rPr>
          <w:rFonts w:cs="Times New Roman"/>
          <w:szCs w:val="20"/>
        </w:rPr>
        <w:t xml:space="preserve"> </w:t>
      </w:r>
      <w:r w:rsidR="00BB4CFA" w:rsidRPr="00A660BB">
        <w:rPr>
          <w:rFonts w:cs="Times New Roman"/>
          <w:szCs w:val="20"/>
        </w:rPr>
        <w:t>Properties purchased by the lender at a foreclosure</w:t>
      </w:r>
      <w:r w:rsidR="001858B5" w:rsidRPr="00A660BB">
        <w:rPr>
          <w:rFonts w:cs="Times New Roman"/>
          <w:szCs w:val="20"/>
        </w:rPr>
        <w:fldChar w:fldCharType="begin"/>
      </w:r>
      <w:r w:rsidR="00F71DE5" w:rsidRPr="00A660BB">
        <w:rPr>
          <w:szCs w:val="20"/>
        </w:rPr>
        <w:instrText xml:space="preserve"> XE "</w:instrText>
      </w:r>
      <w:r w:rsidR="00F71DE5" w:rsidRPr="00A660BB">
        <w:rPr>
          <w:rFonts w:cs="Times New Roman"/>
          <w:szCs w:val="20"/>
        </w:rPr>
        <w:instrText>foreclosure</w:instrText>
      </w:r>
      <w:r w:rsidR="00F71DE5" w:rsidRPr="00A660BB">
        <w:rPr>
          <w:szCs w:val="20"/>
        </w:rPr>
        <w:instrText xml:space="preserve">" </w:instrText>
      </w:r>
      <w:r w:rsidR="001858B5" w:rsidRPr="00A660BB">
        <w:rPr>
          <w:rFonts w:cs="Times New Roman"/>
          <w:szCs w:val="20"/>
        </w:rPr>
        <w:fldChar w:fldCharType="end"/>
      </w:r>
      <w:r w:rsidR="00BB4CFA" w:rsidRPr="00A660BB">
        <w:rPr>
          <w:rFonts w:cs="Times New Roman"/>
          <w:szCs w:val="20"/>
        </w:rPr>
        <w:t xml:space="preserve"> auction are called Real Estate Owned</w:t>
      </w:r>
      <w:r w:rsidR="001858B5" w:rsidRPr="00A660BB">
        <w:rPr>
          <w:rFonts w:cs="Times New Roman"/>
          <w:szCs w:val="20"/>
        </w:rPr>
        <w:fldChar w:fldCharType="begin"/>
      </w:r>
      <w:r w:rsidR="001A53F8" w:rsidRPr="00A660BB">
        <w:rPr>
          <w:szCs w:val="20"/>
        </w:rPr>
        <w:instrText xml:space="preserve"> XE "</w:instrText>
      </w:r>
      <w:r w:rsidR="001A53F8" w:rsidRPr="00A660BB">
        <w:rPr>
          <w:rFonts w:cs="Times New Roman"/>
          <w:szCs w:val="20"/>
        </w:rPr>
        <w:instrText>Real Estate Owned</w:instrText>
      </w:r>
      <w:r w:rsidR="001A53F8" w:rsidRPr="00A660BB">
        <w:rPr>
          <w:szCs w:val="20"/>
        </w:rPr>
        <w:instrText xml:space="preserve">" </w:instrText>
      </w:r>
      <w:r w:rsidR="001858B5" w:rsidRPr="00A660BB">
        <w:rPr>
          <w:rFonts w:cs="Times New Roman"/>
          <w:szCs w:val="20"/>
        </w:rPr>
        <w:fldChar w:fldCharType="end"/>
      </w:r>
      <w:r w:rsidR="001858B5" w:rsidRPr="00A660BB">
        <w:rPr>
          <w:rFonts w:cs="Times New Roman"/>
          <w:szCs w:val="20"/>
        </w:rPr>
        <w:fldChar w:fldCharType="begin"/>
      </w:r>
      <w:r w:rsidR="001A53F8" w:rsidRPr="00A660BB">
        <w:rPr>
          <w:szCs w:val="20"/>
        </w:rPr>
        <w:instrText xml:space="preserve"> XE "</w:instrText>
      </w:r>
      <w:r w:rsidR="001A53F8" w:rsidRPr="00A660BB">
        <w:rPr>
          <w:rFonts w:cs="Times New Roman"/>
          <w:szCs w:val="20"/>
        </w:rPr>
        <w:instrText>Real Estate Owned</w:instrText>
      </w:r>
      <w:r w:rsidR="001A53F8" w:rsidRPr="00A660BB">
        <w:rPr>
          <w:szCs w:val="20"/>
        </w:rPr>
        <w:instrText>" \t "</w:instrText>
      </w:r>
      <w:r w:rsidR="001A53F8" w:rsidRPr="00A660BB">
        <w:rPr>
          <w:i/>
          <w:szCs w:val="20"/>
        </w:rPr>
        <w:instrText>See</w:instrText>
      </w:r>
      <w:r w:rsidR="001A53F8" w:rsidRPr="00A660BB">
        <w:rPr>
          <w:szCs w:val="20"/>
        </w:rPr>
        <w:instrText xml:space="preserve"> REOs" </w:instrText>
      </w:r>
      <w:r w:rsidR="001858B5" w:rsidRPr="00A660BB">
        <w:rPr>
          <w:rFonts w:cs="Times New Roman"/>
          <w:szCs w:val="20"/>
        </w:rPr>
        <w:fldChar w:fldCharType="end"/>
      </w:r>
      <w:r w:rsidR="00BB4CFA" w:rsidRPr="00A660BB">
        <w:rPr>
          <w:rFonts w:cs="Times New Roman"/>
          <w:szCs w:val="20"/>
        </w:rPr>
        <w:t xml:space="preserve"> or REO</w:t>
      </w:r>
      <w:r w:rsidR="00987FDA" w:rsidRPr="00A660BB">
        <w:rPr>
          <w:rFonts w:cs="Times New Roman"/>
          <w:szCs w:val="20"/>
        </w:rPr>
        <w:t>.</w:t>
      </w:r>
      <w:r w:rsidR="00BB4CFA" w:rsidRPr="00A660BB">
        <w:rPr>
          <w:rFonts w:cs="Times New Roman"/>
          <w:szCs w:val="20"/>
        </w:rPr>
        <w:t xml:space="preserve"> Lenders are not permitted to keep REOs</w:t>
      </w:r>
      <w:r w:rsidR="001858B5" w:rsidRPr="00A660BB">
        <w:rPr>
          <w:rFonts w:cs="Times New Roman"/>
          <w:szCs w:val="20"/>
        </w:rPr>
        <w:fldChar w:fldCharType="begin"/>
      </w:r>
      <w:r w:rsidR="001A53F8" w:rsidRPr="00A660BB">
        <w:rPr>
          <w:szCs w:val="20"/>
        </w:rPr>
        <w:instrText xml:space="preserve"> XE "</w:instrText>
      </w:r>
      <w:r w:rsidR="001A53F8" w:rsidRPr="00A660BB">
        <w:rPr>
          <w:rFonts w:cs="Times New Roman"/>
          <w:szCs w:val="20"/>
        </w:rPr>
        <w:instrText>REOs</w:instrText>
      </w:r>
      <w:r w:rsidR="001A53F8" w:rsidRPr="00A660BB">
        <w:rPr>
          <w:szCs w:val="20"/>
        </w:rPr>
        <w:instrText xml:space="preserve">" </w:instrText>
      </w:r>
      <w:r w:rsidR="001858B5" w:rsidRPr="00A660BB">
        <w:rPr>
          <w:rFonts w:cs="Times New Roman"/>
          <w:szCs w:val="20"/>
        </w:rPr>
        <w:fldChar w:fldCharType="end"/>
      </w:r>
      <w:r w:rsidR="00BB4CFA" w:rsidRPr="00A660BB">
        <w:rPr>
          <w:rFonts w:cs="Times New Roman"/>
          <w:szCs w:val="20"/>
        </w:rPr>
        <w:t xml:space="preserve"> on their books for long, so these properties are offered at market prices, and they </w:t>
      </w:r>
      <w:r w:rsidR="00BB4CFA" w:rsidRPr="00A660BB">
        <w:rPr>
          <w:rFonts w:cs="Times New Roman"/>
          <w:i/>
          <w:szCs w:val="20"/>
        </w:rPr>
        <w:t>must</w:t>
      </w:r>
      <w:r w:rsidR="00BB4CFA" w:rsidRPr="00A660BB">
        <w:rPr>
          <w:rFonts w:cs="Times New Roman"/>
          <w:szCs w:val="20"/>
        </w:rPr>
        <w:t xml:space="preserve"> be sold. It will take some time for the property to be prepared for sale. Once the property is finally listed for sale in the conventional resale market, the lender will follow loss mitigation procedures intended to maximize revenue from the property. This often delays the eventual sale 90 days or more. The whole process from mortgage reset to final sale in the market takes at least a year, and it may take much longer.</w:t>
      </w:r>
    </w:p>
    <w:p w14:paraId="11BE4CFC" w14:textId="77777777" w:rsidR="00DB79B6" w:rsidRPr="00A660BB" w:rsidRDefault="00AB6D82" w:rsidP="000D7968">
      <w:pPr>
        <w:rPr>
          <w:rFonts w:cs="Times New Roman"/>
          <w:szCs w:val="20"/>
        </w:rPr>
      </w:pPr>
      <w:r w:rsidRPr="00A660BB">
        <w:rPr>
          <w:rFonts w:cs="Times New Roman"/>
          <w:szCs w:val="20"/>
        </w:rPr>
        <w:t>The subprime borrowers made up the bulk of the mortgage rate resets in 2007 and 2008. Since the default rates</w:t>
      </w:r>
      <w:r w:rsidR="001858B5" w:rsidRPr="00A660BB">
        <w:rPr>
          <w:rFonts w:cs="Times New Roman"/>
          <w:szCs w:val="20"/>
        </w:rPr>
        <w:fldChar w:fldCharType="begin"/>
      </w:r>
      <w:r w:rsidR="00E84A0F" w:rsidRPr="00A660BB">
        <w:rPr>
          <w:szCs w:val="20"/>
        </w:rPr>
        <w:instrText xml:space="preserve"> XE "</w:instrText>
      </w:r>
      <w:r w:rsidR="00E84A0F" w:rsidRPr="00A660BB">
        <w:rPr>
          <w:rFonts w:cs="Times New Roman"/>
          <w:szCs w:val="20"/>
        </w:rPr>
        <w:instrText>default rates</w:instrText>
      </w:r>
      <w:r w:rsidR="00E84A0F" w:rsidRPr="00A660BB">
        <w:rPr>
          <w:szCs w:val="20"/>
        </w:rPr>
        <w:instrText xml:space="preserve">" </w:instrText>
      </w:r>
      <w:r w:rsidR="001858B5" w:rsidRPr="00A660BB">
        <w:rPr>
          <w:rFonts w:cs="Times New Roman"/>
          <w:szCs w:val="20"/>
        </w:rPr>
        <w:fldChar w:fldCharType="end"/>
      </w:r>
      <w:r w:rsidRPr="00A660BB">
        <w:rPr>
          <w:rFonts w:cs="Times New Roman"/>
          <w:szCs w:val="20"/>
        </w:rPr>
        <w:t xml:space="preserve"> were very high, and since prices were already falling before these REOs</w:t>
      </w:r>
      <w:r w:rsidR="001858B5" w:rsidRPr="00A660BB">
        <w:rPr>
          <w:rFonts w:cs="Times New Roman"/>
          <w:szCs w:val="20"/>
        </w:rPr>
        <w:fldChar w:fldCharType="begin"/>
      </w:r>
      <w:r w:rsidR="001A53F8" w:rsidRPr="00A660BB">
        <w:rPr>
          <w:szCs w:val="20"/>
        </w:rPr>
        <w:instrText xml:space="preserve"> XE "</w:instrText>
      </w:r>
      <w:r w:rsidR="001A53F8" w:rsidRPr="00A660BB">
        <w:rPr>
          <w:rFonts w:cs="Times New Roman"/>
          <w:szCs w:val="20"/>
        </w:rPr>
        <w:instrText>REOs</w:instrText>
      </w:r>
      <w:r w:rsidR="001A53F8" w:rsidRPr="00A660BB">
        <w:rPr>
          <w:szCs w:val="20"/>
        </w:rPr>
        <w:instrText xml:space="preserve">" </w:instrText>
      </w:r>
      <w:r w:rsidR="001858B5" w:rsidRPr="00A660BB">
        <w:rPr>
          <w:rFonts w:cs="Times New Roman"/>
          <w:szCs w:val="20"/>
        </w:rPr>
        <w:fldChar w:fldCharType="end"/>
      </w:r>
      <w:r w:rsidRPr="00A660BB">
        <w:rPr>
          <w:rFonts w:cs="Times New Roman"/>
          <w:szCs w:val="20"/>
        </w:rPr>
        <w:t xml:space="preserve"> were added to the market, the subprime foreclosures pushed prices down significantly. This effect was not uniform as </w:t>
      </w:r>
      <w:r w:rsidR="00E768ED" w:rsidRPr="00A660BB">
        <w:rPr>
          <w:rFonts w:cs="Times New Roman"/>
          <w:szCs w:val="20"/>
        </w:rPr>
        <w:t xml:space="preserve">subprime borrowers were often concentrated in specific areas or communities. Markets with large concentrations of subprime were decimated first, but all markets are interrelated, as all real estate markets within driving distance </w:t>
      </w:r>
      <w:r w:rsidR="0092607B" w:rsidRPr="00A660BB">
        <w:rPr>
          <w:rFonts w:cs="Times New Roman"/>
          <w:szCs w:val="20"/>
        </w:rPr>
        <w:t>are</w:t>
      </w:r>
      <w:r w:rsidR="00E768ED" w:rsidRPr="00A660BB">
        <w:rPr>
          <w:rFonts w:cs="Times New Roman"/>
          <w:szCs w:val="20"/>
        </w:rPr>
        <w:t xml:space="preserve"> linked together by commuters. When the subprime-dominated markets declined, they created a drag on prices and sales volumes in nearby markets. There </w:t>
      </w:r>
      <w:r w:rsidR="000D7968" w:rsidRPr="00A660BB">
        <w:rPr>
          <w:rFonts w:cs="Times New Roman"/>
          <w:szCs w:val="20"/>
        </w:rPr>
        <w:t>wa</w:t>
      </w:r>
      <w:r w:rsidR="00E768ED" w:rsidRPr="00A660BB">
        <w:rPr>
          <w:rFonts w:cs="Times New Roman"/>
          <w:szCs w:val="20"/>
        </w:rPr>
        <w:t>s a price differential that entice</w:t>
      </w:r>
      <w:r w:rsidR="000D7968" w:rsidRPr="00A660BB">
        <w:rPr>
          <w:rFonts w:cs="Times New Roman"/>
          <w:szCs w:val="20"/>
        </w:rPr>
        <w:t>d</w:t>
      </w:r>
      <w:r w:rsidR="00E768ED" w:rsidRPr="00A660BB">
        <w:rPr>
          <w:rFonts w:cs="Times New Roman"/>
          <w:szCs w:val="20"/>
        </w:rPr>
        <w:t xml:space="preserve"> people to fringe markets. This create</w:t>
      </w:r>
      <w:r w:rsidR="000D7968" w:rsidRPr="00A660BB">
        <w:rPr>
          <w:rFonts w:cs="Times New Roman"/>
          <w:szCs w:val="20"/>
        </w:rPr>
        <w:t>d a</w:t>
      </w:r>
      <w:r w:rsidR="00E768ED" w:rsidRPr="00A660BB">
        <w:rPr>
          <w:rFonts w:cs="Times New Roman"/>
          <w:szCs w:val="20"/>
        </w:rPr>
        <w:t xml:space="preserve"> price drag on the primary markets as some potential buyers </w:t>
      </w:r>
      <w:r w:rsidR="000D7968" w:rsidRPr="00A660BB">
        <w:rPr>
          <w:rFonts w:cs="Times New Roman"/>
          <w:szCs w:val="20"/>
        </w:rPr>
        <w:t>we</w:t>
      </w:r>
      <w:r w:rsidR="00E768ED" w:rsidRPr="00A660BB">
        <w:rPr>
          <w:rFonts w:cs="Times New Roman"/>
          <w:szCs w:val="20"/>
        </w:rPr>
        <w:t xml:space="preserve">re siphoned off by the fringe markets. In California, the collapse of the real estate market </w:t>
      </w:r>
      <w:r w:rsidR="000D7968" w:rsidRPr="00A660BB">
        <w:rPr>
          <w:rFonts w:cs="Times New Roman"/>
          <w:szCs w:val="20"/>
        </w:rPr>
        <w:t>wa</w:t>
      </w:r>
      <w:r w:rsidR="00E768ED" w:rsidRPr="00A660BB">
        <w:rPr>
          <w:rFonts w:cs="Times New Roman"/>
          <w:szCs w:val="20"/>
        </w:rPr>
        <w:t>s like a land tsunami</w:t>
      </w:r>
      <w:r w:rsidR="001858B5" w:rsidRPr="00A660BB">
        <w:rPr>
          <w:rFonts w:cs="Times New Roman"/>
          <w:szCs w:val="20"/>
        </w:rPr>
        <w:fldChar w:fldCharType="begin"/>
      </w:r>
      <w:r w:rsidR="001A53F8" w:rsidRPr="00A660BB">
        <w:rPr>
          <w:szCs w:val="20"/>
        </w:rPr>
        <w:instrText xml:space="preserve"> XE "</w:instrText>
      </w:r>
      <w:r w:rsidR="001A53F8" w:rsidRPr="00A660BB">
        <w:rPr>
          <w:rFonts w:cs="Times New Roman"/>
          <w:szCs w:val="20"/>
        </w:rPr>
        <w:instrText>land tsunami</w:instrText>
      </w:r>
      <w:r w:rsidR="001A53F8" w:rsidRPr="00A660BB">
        <w:rPr>
          <w:szCs w:val="20"/>
        </w:rPr>
        <w:instrText xml:space="preserve">" </w:instrText>
      </w:r>
      <w:r w:rsidR="001858B5" w:rsidRPr="00A660BB">
        <w:rPr>
          <w:rFonts w:cs="Times New Roman"/>
          <w:szCs w:val="20"/>
        </w:rPr>
        <w:fldChar w:fldCharType="end"/>
      </w:r>
      <w:r w:rsidR="00E768ED" w:rsidRPr="00A660BB">
        <w:rPr>
          <w:rFonts w:cs="Times New Roman"/>
          <w:szCs w:val="20"/>
        </w:rPr>
        <w:t>: it start</w:t>
      </w:r>
      <w:r w:rsidR="000D7968" w:rsidRPr="00A660BB">
        <w:rPr>
          <w:rFonts w:cs="Times New Roman"/>
          <w:szCs w:val="20"/>
        </w:rPr>
        <w:t>ed</w:t>
      </w:r>
      <w:r w:rsidR="00E768ED" w:rsidRPr="00A660BB">
        <w:rPr>
          <w:rFonts w:cs="Times New Roman"/>
          <w:szCs w:val="20"/>
        </w:rPr>
        <w:t xml:space="preserve"> inland and ma</w:t>
      </w:r>
      <w:r w:rsidR="000D7968" w:rsidRPr="00A660BB">
        <w:rPr>
          <w:rFonts w:cs="Times New Roman"/>
          <w:szCs w:val="20"/>
        </w:rPr>
        <w:t>de</w:t>
      </w:r>
      <w:r w:rsidR="00E768ED" w:rsidRPr="00A660BB">
        <w:rPr>
          <w:rFonts w:cs="Times New Roman"/>
          <w:szCs w:val="20"/>
        </w:rPr>
        <w:t xml:space="preserve"> it way overland to the coast leveling everything in its path. </w:t>
      </w:r>
    </w:p>
    <w:p w14:paraId="4C9C12B9" w14:textId="77777777" w:rsidR="00197454" w:rsidRPr="00124B71" w:rsidRDefault="00DB79B6" w:rsidP="00197454">
      <w:pPr>
        <w:rPr>
          <w:rFonts w:cs="Times New Roman"/>
        </w:rPr>
      </w:pPr>
      <w:r w:rsidRPr="00A660BB">
        <w:rPr>
          <w:rFonts w:cs="Times New Roman"/>
          <w:szCs w:val="20"/>
        </w:rPr>
        <w:lastRenderedPageBreak/>
        <w:t xml:space="preserve">The loan reset issue is not confined to those who bought late in the bubble rally. </w:t>
      </w:r>
      <w:r w:rsidR="00B265D2" w:rsidRPr="00A660BB">
        <w:rPr>
          <w:rFonts w:cs="Times New Roman"/>
          <w:szCs w:val="20"/>
        </w:rPr>
        <w:t xml:space="preserve">Many borrowers are homeowners who refinanced to take advantage of more favorable loan terms. </w:t>
      </w:r>
      <w:r w:rsidR="00197454" w:rsidRPr="00A660BB">
        <w:rPr>
          <w:rFonts w:cs="Times New Roman"/>
          <w:szCs w:val="20"/>
        </w:rPr>
        <w:t xml:space="preserve">During </w:t>
      </w:r>
      <w:r w:rsidR="001A34D5" w:rsidRPr="00A660BB">
        <w:rPr>
          <w:rFonts w:cs="Times New Roman"/>
          <w:szCs w:val="20"/>
        </w:rPr>
        <w:t>the Great Housing Bubble</w:t>
      </w:r>
      <w:r w:rsidR="00197454" w:rsidRPr="00A660BB">
        <w:rPr>
          <w:rFonts w:cs="Times New Roman"/>
          <w:szCs w:val="20"/>
        </w:rPr>
        <w:t>, prices rose dramatically in nearly every market nationally. With such a dramatic increase in prices, one would expect the total home equity</w:t>
      </w:r>
      <w:r w:rsidR="001858B5" w:rsidRPr="00A660BB">
        <w:rPr>
          <w:rFonts w:cs="Times New Roman"/>
          <w:szCs w:val="20"/>
        </w:rPr>
        <w:fldChar w:fldCharType="begin"/>
      </w:r>
      <w:r w:rsidR="00FA2AEF" w:rsidRPr="00A660BB">
        <w:rPr>
          <w:szCs w:val="20"/>
        </w:rPr>
        <w:instrText xml:space="preserve"> XE "</w:instrText>
      </w:r>
      <w:r w:rsidR="00FA2AEF" w:rsidRPr="00A660BB">
        <w:rPr>
          <w:rFonts w:cs="Times New Roman"/>
          <w:szCs w:val="20"/>
        </w:rPr>
        <w:instrText>equity</w:instrText>
      </w:r>
      <w:r w:rsidR="00FA2AEF" w:rsidRPr="00A660BB">
        <w:rPr>
          <w:szCs w:val="20"/>
        </w:rPr>
        <w:instrText xml:space="preserve">" </w:instrText>
      </w:r>
      <w:r w:rsidR="001858B5" w:rsidRPr="00A660BB">
        <w:rPr>
          <w:rFonts w:cs="Times New Roman"/>
          <w:szCs w:val="20"/>
        </w:rPr>
        <w:fldChar w:fldCharType="end"/>
      </w:r>
      <w:r w:rsidR="00197454" w:rsidRPr="00A660BB">
        <w:rPr>
          <w:rFonts w:cs="Times New Roman"/>
          <w:szCs w:val="20"/>
        </w:rPr>
        <w:t xml:space="preserve"> for homeowners to increase dramatically as well. If fact, the opposite occurred; home equity declined during the rally of the real estate bubble. By </w:t>
      </w:r>
      <w:r w:rsidR="00197454" w:rsidRPr="00124B71">
        <w:rPr>
          <w:rFonts w:cs="Times New Roman"/>
        </w:rPr>
        <w:t>the end of 200</w:t>
      </w:r>
      <w:r w:rsidR="00E3041C" w:rsidRPr="00124B71">
        <w:rPr>
          <w:rFonts w:cs="Times New Roman"/>
        </w:rPr>
        <w:t>7</w:t>
      </w:r>
      <w:r w:rsidR="00197454" w:rsidRPr="00124B71">
        <w:rPr>
          <w:rFonts w:cs="Times New Roman"/>
        </w:rPr>
        <w:t xml:space="preserve">, home equity </w:t>
      </w:r>
      <w:r w:rsidR="003A1C93" w:rsidRPr="00124B71">
        <w:rPr>
          <w:rFonts w:cs="Times New Roman"/>
        </w:rPr>
        <w:t xml:space="preserve">as a percentage of home values </w:t>
      </w:r>
      <w:r w:rsidR="00197454" w:rsidRPr="00124B71">
        <w:rPr>
          <w:rFonts w:cs="Times New Roman"/>
        </w:rPr>
        <w:t xml:space="preserve">was at record lows. </w:t>
      </w:r>
      <w:r w:rsidR="007840F6" w:rsidRPr="00124B71">
        <w:rPr>
          <w:rFonts w:cs="Times New Roman"/>
        </w:rPr>
        <w:t xml:space="preserve">Where did all the equity go? </w:t>
      </w:r>
      <w:r w:rsidR="003A1C93" w:rsidRPr="00124B71">
        <w:rPr>
          <w:rFonts w:cs="Times New Roman"/>
        </w:rPr>
        <w:t>Existing h</w:t>
      </w:r>
      <w:r w:rsidR="007840F6" w:rsidRPr="00124B71">
        <w:rPr>
          <w:rFonts w:cs="Times New Roman"/>
        </w:rPr>
        <w:t>omeowners spent it</w:t>
      </w:r>
      <w:r w:rsidR="003A1C93" w:rsidRPr="00124B71">
        <w:rPr>
          <w:rFonts w:cs="Times New Roman"/>
        </w:rPr>
        <w:t>, and many new homeowners had such low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003A1C93" w:rsidRPr="00124B71">
        <w:rPr>
          <w:rFonts w:cs="Times New Roman"/>
        </w:rPr>
        <w:t>, that they had very little equity to begin from the start</w:t>
      </w:r>
      <w:r w:rsidR="007840F6" w:rsidRPr="00124B71">
        <w:rPr>
          <w:rFonts w:cs="Times New Roman"/>
        </w:rPr>
        <w:t xml:space="preserve">. </w:t>
      </w:r>
      <w:r w:rsidR="004F3212" w:rsidRPr="00124B71">
        <w:rPr>
          <w:rFonts w:cs="Times New Roman"/>
        </w:rPr>
        <w:t>Refinancing and home equity withdrawal is the primary reason</w:t>
      </w:r>
      <w:r w:rsidR="00197454" w:rsidRPr="00124B71">
        <w:rPr>
          <w:rFonts w:cs="Times New Roman"/>
        </w:rPr>
        <w:t xml:space="preserve"> </w:t>
      </w:r>
      <w:r w:rsidR="004F3212" w:rsidRPr="00124B71">
        <w:rPr>
          <w:rFonts w:cs="Times New Roman"/>
        </w:rPr>
        <w:t>home equity did not rise</w:t>
      </w:r>
      <w:r w:rsidR="00B265D2" w:rsidRPr="00124B71">
        <w:rPr>
          <w:rFonts w:cs="Times New Roman"/>
        </w:rPr>
        <w:t xml:space="preserve"> as prices increased</w:t>
      </w:r>
      <w:r w:rsidR="004F3212" w:rsidRPr="00124B71">
        <w:rPr>
          <w:rFonts w:cs="Times New Roman"/>
        </w:rPr>
        <w:t>.</w:t>
      </w:r>
      <w:r w:rsidR="00197454" w:rsidRPr="00124B71">
        <w:rPr>
          <w:rFonts w:cs="Times New Roman"/>
        </w:rPr>
        <w:t xml:space="preserve"> </w:t>
      </w:r>
      <w:r w:rsidR="007840F6" w:rsidRPr="00124B71">
        <w:rPr>
          <w:rFonts w:cs="Times New Roman"/>
        </w:rPr>
        <w:t>There was a great deal of conspicuous consumption</w:t>
      </w:r>
      <w:r w:rsidR="001858B5">
        <w:rPr>
          <w:rFonts w:cs="Times New Roman"/>
        </w:rPr>
        <w:fldChar w:fldCharType="begin"/>
      </w:r>
      <w:r w:rsidR="00B26DFF">
        <w:instrText xml:space="preserve"> XE "</w:instrText>
      </w:r>
      <w:r w:rsidR="00B26DFF" w:rsidRPr="00153128">
        <w:rPr>
          <w:rFonts w:cs="Times New Roman"/>
        </w:rPr>
        <w:instrText>conspicuous consumption</w:instrText>
      </w:r>
      <w:r w:rsidR="00B26DFF">
        <w:instrText xml:space="preserve">" </w:instrText>
      </w:r>
      <w:r w:rsidR="001858B5">
        <w:rPr>
          <w:rFonts w:cs="Times New Roman"/>
        </w:rPr>
        <w:fldChar w:fldCharType="end"/>
      </w:r>
      <w:r w:rsidR="007840F6" w:rsidRPr="00124B71">
        <w:rPr>
          <w:rFonts w:cs="Times New Roman"/>
        </w:rPr>
        <w:t xml:space="preserve"> in the bubble rally, particularly in California. </w:t>
      </w:r>
      <w:r w:rsidR="00197454" w:rsidRPr="00124B71">
        <w:rPr>
          <w:rFonts w:cs="Times New Roman"/>
        </w:rPr>
        <w:t>It seem</w:t>
      </w:r>
      <w:r w:rsidR="007840F6" w:rsidRPr="00124B71">
        <w:rPr>
          <w:rFonts w:cs="Times New Roman"/>
        </w:rPr>
        <w:t>ed</w:t>
      </w:r>
      <w:r w:rsidR="00197454" w:rsidRPr="00124B71">
        <w:rPr>
          <w:rFonts w:cs="Times New Roman"/>
        </w:rPr>
        <w:t xml:space="preserve"> every house ha</w:t>
      </w:r>
      <w:r w:rsidR="007840F6" w:rsidRPr="00124B71">
        <w:rPr>
          <w:rFonts w:cs="Times New Roman"/>
        </w:rPr>
        <w:t>d</w:t>
      </w:r>
      <w:r w:rsidR="00197454" w:rsidRPr="00124B71">
        <w:rPr>
          <w:rFonts w:cs="Times New Roman"/>
        </w:rPr>
        <w:t xml:space="preserve"> two luxury cars in the driveway, the malls </w:t>
      </w:r>
      <w:r w:rsidR="007840F6" w:rsidRPr="00124B71">
        <w:rPr>
          <w:rFonts w:cs="Times New Roman"/>
        </w:rPr>
        <w:t>were</w:t>
      </w:r>
      <w:r w:rsidR="00197454" w:rsidRPr="00124B71">
        <w:rPr>
          <w:rFonts w:cs="Times New Roman"/>
        </w:rPr>
        <w:t xml:space="preserve"> always full of shoppers, and every homeowner </w:t>
      </w:r>
      <w:r w:rsidR="007840F6" w:rsidRPr="00124B71">
        <w:rPr>
          <w:rFonts w:cs="Times New Roman"/>
        </w:rPr>
        <w:t>wa</w:t>
      </w:r>
      <w:r w:rsidR="00197454" w:rsidRPr="00124B71">
        <w:rPr>
          <w:rFonts w:cs="Times New Roman"/>
        </w:rPr>
        <w:t xml:space="preserve">s busy competing with </w:t>
      </w:r>
      <w:r w:rsidR="0092607B" w:rsidRPr="00124B71">
        <w:rPr>
          <w:rFonts w:cs="Times New Roman"/>
        </w:rPr>
        <w:t>her</w:t>
      </w:r>
      <w:r w:rsidR="00197454" w:rsidRPr="00124B71">
        <w:rPr>
          <w:rFonts w:cs="Times New Roman"/>
        </w:rPr>
        <w:t xml:space="preserve"> neighbor to see who </w:t>
      </w:r>
      <w:r w:rsidR="007840F6" w:rsidRPr="00124B71">
        <w:rPr>
          <w:rFonts w:cs="Times New Roman"/>
        </w:rPr>
        <w:t>could</w:t>
      </w:r>
      <w:r w:rsidR="00197454" w:rsidRPr="00124B71">
        <w:rPr>
          <w:rFonts w:cs="Times New Roman"/>
        </w:rPr>
        <w:t xml:space="preserve"> look richer. Many also spent th</w:t>
      </w:r>
      <w:r w:rsidR="007840F6" w:rsidRPr="00124B71">
        <w:rPr>
          <w:rFonts w:cs="Times New Roman"/>
        </w:rPr>
        <w:t>eir “liberated”</w:t>
      </w:r>
      <w:r w:rsidR="00197454" w:rsidRPr="00124B71">
        <w:rPr>
          <w:rFonts w:cs="Times New Roman"/>
        </w:rPr>
        <w:t xml:space="preserve"> equity to acquire other properties which was a major </w:t>
      </w:r>
      <w:r w:rsidR="0092607B" w:rsidRPr="00124B71">
        <w:rPr>
          <w:rFonts w:cs="Times New Roman"/>
        </w:rPr>
        <w:t>driver of</w:t>
      </w:r>
      <w:r w:rsidR="00197454" w:rsidRPr="00124B71">
        <w:rPr>
          <w:rFonts w:cs="Times New Roman"/>
        </w:rPr>
        <w:t xml:space="preserve"> the prices in the bubble rally.</w:t>
      </w:r>
    </w:p>
    <w:p w14:paraId="1A871F5F" w14:textId="541EA242" w:rsidR="00197454" w:rsidRPr="00EF0EDA" w:rsidRDefault="00CF05FE" w:rsidP="00197454">
      <w:pPr>
        <w:pStyle w:val="Caption"/>
      </w:pPr>
      <w:bookmarkStart w:id="132" w:name="_Toc238867470"/>
      <w:r>
        <w:t>Figure</w:t>
      </w:r>
      <w:r w:rsidR="00197454" w:rsidRPr="00EF0EDA">
        <w:t xml:space="preserve"> </w:t>
      </w:r>
      <w:fldSimple w:instr=" SEQ Figure \* ARABIC ">
        <w:r w:rsidR="00493733">
          <w:rPr>
            <w:noProof/>
          </w:rPr>
          <w:t>29</w:t>
        </w:r>
      </w:fldSimple>
      <w:r w:rsidR="00317936">
        <w:t xml:space="preserve">: </w:t>
      </w:r>
      <w:r w:rsidR="00197454" w:rsidRPr="00EF0EDA">
        <w:t>Total Home Equity</w:t>
      </w:r>
      <w:r w:rsidR="000E7151">
        <w:t>,</w:t>
      </w:r>
      <w:r w:rsidR="00197454" w:rsidRPr="00EF0EDA">
        <w:t xml:space="preserve"> 1985-2006</w:t>
      </w:r>
      <w:bookmarkEnd w:id="132"/>
    </w:p>
    <w:p w14:paraId="4CCB4306" w14:textId="77777777" w:rsidR="00197454" w:rsidRPr="00EF0EDA" w:rsidRDefault="002703E4" w:rsidP="00C55849">
      <w:pPr>
        <w:pStyle w:val="Graphics"/>
      </w:pPr>
      <w:r>
        <w:drawing>
          <wp:inline distT="0" distB="0" distL="0" distR="0" wp14:anchorId="36B16A9D" wp14:editId="4F53E5A5">
            <wp:extent cx="3657600" cy="2651760"/>
            <wp:effectExtent l="19050" t="0" r="0" b="0"/>
            <wp:docPr id="93" name="Picture 92" descr="Total Home Equity 1985-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Home Equity 1985-2006.jpg"/>
                    <pic:cNvPicPr/>
                  </pic:nvPicPr>
                  <pic:blipFill>
                    <a:blip r:embed="rId63"/>
                    <a:stretch>
                      <a:fillRect/>
                    </a:stretch>
                  </pic:blipFill>
                  <pic:spPr>
                    <a:xfrm>
                      <a:off x="0" y="0"/>
                      <a:ext cx="3657600" cy="2651760"/>
                    </a:xfrm>
                    <a:prstGeom prst="rect">
                      <a:avLst/>
                    </a:prstGeom>
                  </pic:spPr>
                </pic:pic>
              </a:graphicData>
            </a:graphic>
          </wp:inline>
        </w:drawing>
      </w:r>
    </w:p>
    <w:p w14:paraId="2CD709E8" w14:textId="77777777" w:rsidR="007840F6" w:rsidRPr="00124B71" w:rsidRDefault="007840F6" w:rsidP="008560E2">
      <w:pPr>
        <w:rPr>
          <w:rFonts w:cs="Times New Roman"/>
        </w:rPr>
      </w:pPr>
      <w:r w:rsidRPr="00124B71">
        <w:rPr>
          <w:rFonts w:cs="Times New Roman"/>
        </w:rPr>
        <w:t>Aggregate home equity</w:t>
      </w:r>
      <w:r w:rsidR="001858B5">
        <w:rPr>
          <w:rFonts w:cs="Times New Roman"/>
        </w:rPr>
        <w:fldChar w:fldCharType="begin"/>
      </w:r>
      <w:r w:rsidR="001A53F8">
        <w:instrText xml:space="preserve"> XE "</w:instrText>
      </w:r>
      <w:r w:rsidR="001A53F8" w:rsidRPr="005847F7">
        <w:rPr>
          <w:rFonts w:cs="Times New Roman"/>
        </w:rPr>
        <w:instrText>Aggregate home equity</w:instrText>
      </w:r>
      <w:r w:rsidR="001A53F8">
        <w:instrText xml:space="preserve">" </w:instrText>
      </w:r>
      <w:r w:rsidR="001858B5">
        <w:rPr>
          <w:rFonts w:cs="Times New Roman"/>
        </w:rPr>
        <w:fldChar w:fldCharType="end"/>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statistics can be misleading because approximately 30% of US households have no mortgage at all. </w:t>
      </w:r>
      <w:r w:rsidR="00B265D2" w:rsidRPr="00124B71">
        <w:rPr>
          <w:rFonts w:cs="Times New Roman"/>
        </w:rPr>
        <w:t>Also, during the bubble rally, home ownership increased 5% nationwide, and many of these new homeowners were subprime borrowers who utilized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00B265D2" w:rsidRPr="00124B71">
        <w:rPr>
          <w:rFonts w:cs="Times New Roman"/>
        </w:rPr>
        <w:t xml:space="preserve">. This will have some impact on home equity statistics, </w:t>
      </w:r>
      <w:r w:rsidR="00CA6892" w:rsidRPr="00124B71">
        <w:rPr>
          <w:rFonts w:cs="Times New Roman"/>
        </w:rPr>
        <w:t xml:space="preserve">but it is not sufficient to cancel out a 45% increase in home prices without massive home equity withdrawal. </w:t>
      </w:r>
      <w:r w:rsidRPr="00124B71">
        <w:rPr>
          <w:rFonts w:cs="Times New Roman"/>
        </w:rPr>
        <w:t xml:space="preserve">If the home equity statistics are viewed in the context of those households that have a mortgage, total equity nationwide was around 35% in 2006. </w:t>
      </w:r>
    </w:p>
    <w:p w14:paraId="50A3E31F" w14:textId="77777777" w:rsidR="001767A9" w:rsidRPr="00124B71" w:rsidRDefault="004F3212" w:rsidP="008560E2">
      <w:pPr>
        <w:rPr>
          <w:rFonts w:cs="Times New Roman"/>
        </w:rPr>
      </w:pPr>
      <w:r w:rsidRPr="00124B71">
        <w:rPr>
          <w:rFonts w:cs="Times New Roman"/>
        </w:rPr>
        <w:lastRenderedPageBreak/>
        <w:t>The initial price declines caused by defaulting subprime borrowers set the stage for defaults by Alt-A</w:t>
      </w:r>
      <w:r w:rsidR="001858B5">
        <w:rPr>
          <w:rFonts w:cs="Times New Roman"/>
        </w:rPr>
        <w:fldChar w:fldCharType="begin"/>
      </w:r>
      <w:r w:rsidR="00FA2AEF">
        <w:instrText xml:space="preserve"> XE "</w:instrText>
      </w:r>
      <w:r w:rsidR="00FA2AEF" w:rsidRPr="00044B58">
        <w:rPr>
          <w:rFonts w:cs="Times New Roman"/>
        </w:rPr>
        <w:instrText>Alt-A</w:instrText>
      </w:r>
      <w:r w:rsidR="00FA2AEF">
        <w:instrText xml:space="preserve">" </w:instrText>
      </w:r>
      <w:r w:rsidR="001858B5">
        <w:rPr>
          <w:rFonts w:cs="Times New Roman"/>
        </w:rPr>
        <w:fldChar w:fldCharType="end"/>
      </w:r>
      <w:r w:rsidRPr="00124B71">
        <w:rPr>
          <w:rFonts w:cs="Times New Roman"/>
        </w:rPr>
        <w:t xml:space="preserve"> and </w:t>
      </w:r>
      <w:r w:rsidR="00905A2C">
        <w:rPr>
          <w:rFonts w:cs="Times New Roman"/>
        </w:rPr>
        <w:t>P</w:t>
      </w:r>
      <w:r w:rsidRPr="00124B71">
        <w:rPr>
          <w:rFonts w:cs="Times New Roman"/>
        </w:rPr>
        <w:t>rime</w:t>
      </w:r>
      <w:r w:rsidR="001858B5">
        <w:rPr>
          <w:rFonts w:cs="Times New Roman"/>
        </w:rPr>
        <w:fldChar w:fldCharType="begin"/>
      </w:r>
      <w:r w:rsidR="001A53F8">
        <w:instrText xml:space="preserve"> XE "</w:instrText>
      </w:r>
      <w:r w:rsidR="001A53F8" w:rsidRPr="00011BCA">
        <w:rPr>
          <w:rFonts w:cs="Times New Roman"/>
        </w:rPr>
        <w:instrText>Prime</w:instrText>
      </w:r>
      <w:r w:rsidR="001A53F8">
        <w:instrText xml:space="preserve">" </w:instrText>
      </w:r>
      <w:r w:rsidR="001858B5">
        <w:rPr>
          <w:rFonts w:cs="Times New Roman"/>
        </w:rPr>
        <w:fldChar w:fldCharType="end"/>
      </w:r>
      <w:r w:rsidRPr="00124B71">
        <w:rPr>
          <w:rFonts w:cs="Times New Roman"/>
        </w:rPr>
        <w:t xml:space="preserve"> borrowers by lowering property values. At the time of this writing, the Alt-A and </w:t>
      </w:r>
      <w:r w:rsidR="00905A2C">
        <w:rPr>
          <w:rFonts w:cs="Times New Roman"/>
        </w:rPr>
        <w:t>P</w:t>
      </w:r>
      <w:r w:rsidRPr="00124B71">
        <w:rPr>
          <w:rFonts w:cs="Times New Roman"/>
        </w:rPr>
        <w:t>rime borrowers have not yet faced the prospect of their loans resetting to higher payments</w:t>
      </w:r>
      <w:r w:rsidR="001F15DE" w:rsidRPr="00124B71">
        <w:rPr>
          <w:rFonts w:cs="Times New Roman"/>
        </w:rPr>
        <w:t xml:space="preserve"> as they start facing resets in 2009 that continue through 2011; however,</w:t>
      </w:r>
      <w:r w:rsidRPr="00124B71">
        <w:rPr>
          <w:rFonts w:cs="Times New Roman"/>
        </w:rPr>
        <w:t xml:space="preserve"> it is not difficult to speculate on what will happen. </w:t>
      </w:r>
      <w:r w:rsidR="00753758" w:rsidRPr="00124B71">
        <w:rPr>
          <w:rFonts w:cs="Times New Roman"/>
        </w:rPr>
        <w:t>Both new homes and foreclosures are must-sell</w:t>
      </w:r>
      <w:r w:rsidR="001858B5">
        <w:rPr>
          <w:rFonts w:cs="Times New Roman"/>
        </w:rPr>
        <w:fldChar w:fldCharType="begin"/>
      </w:r>
      <w:r w:rsidR="00C12412">
        <w:instrText xml:space="preserve"> XE "</w:instrText>
      </w:r>
      <w:r w:rsidR="00C12412" w:rsidRPr="0032623E">
        <w:rPr>
          <w:rFonts w:cs="Times New Roman"/>
        </w:rPr>
        <w:instrText>must-sell</w:instrText>
      </w:r>
      <w:r w:rsidR="00C12412">
        <w:instrText xml:space="preserve">" </w:instrText>
      </w:r>
      <w:r w:rsidR="001858B5">
        <w:rPr>
          <w:rFonts w:cs="Times New Roman"/>
        </w:rPr>
        <w:fldChar w:fldCharType="end"/>
      </w:r>
      <w:r w:rsidR="00753758" w:rsidRPr="00124B71">
        <w:rPr>
          <w:rFonts w:cs="Times New Roman"/>
        </w:rPr>
        <w:t xml:space="preserve"> inventory. The presence of must-sell inventory in the market forces prices lower. Builders aggressively cut prices in many markets in 2007</w:t>
      </w:r>
      <w:r w:rsidR="00905A2C">
        <w:rPr>
          <w:rFonts w:cs="Times New Roman"/>
        </w:rPr>
        <w:t xml:space="preserve"> and 2008</w:t>
      </w:r>
      <w:r w:rsidR="00753758" w:rsidRPr="00124B71">
        <w:rPr>
          <w:rFonts w:cs="Times New Roman"/>
        </w:rPr>
        <w:t>, and it did not help sales. The builders will be forced to lower prices more in 200</w:t>
      </w:r>
      <w:r w:rsidR="00905A2C">
        <w:rPr>
          <w:rFonts w:cs="Times New Roman"/>
        </w:rPr>
        <w:t>9</w:t>
      </w:r>
      <w:r w:rsidR="00753758" w:rsidRPr="00124B71">
        <w:rPr>
          <w:rFonts w:cs="Times New Roman"/>
        </w:rPr>
        <w:t xml:space="preserve"> and beyond until prices bottom in the new home market. Foreclosures increased dramatically in all markets in 2007 as the pressure of large debt loads overwhelmed many borrowers. The number of new units and foreclosures is not a problem in a healthy market, but in a declining market with large numbers of REOs</w:t>
      </w:r>
      <w:r w:rsidR="001858B5">
        <w:rPr>
          <w:rFonts w:cs="Times New Roman"/>
        </w:rPr>
        <w:fldChar w:fldCharType="begin"/>
      </w:r>
      <w:r w:rsidR="001A53F8">
        <w:instrText xml:space="preserve"> XE "</w:instrText>
      </w:r>
      <w:r w:rsidR="001A53F8" w:rsidRPr="005B3581">
        <w:rPr>
          <w:rFonts w:cs="Times New Roman"/>
        </w:rPr>
        <w:instrText>REOs</w:instrText>
      </w:r>
      <w:r w:rsidR="001A53F8">
        <w:instrText xml:space="preserve">" </w:instrText>
      </w:r>
      <w:r w:rsidR="001858B5">
        <w:rPr>
          <w:rFonts w:cs="Times New Roman"/>
        </w:rPr>
        <w:fldChar w:fldCharType="end"/>
      </w:r>
      <w:r w:rsidR="00753758" w:rsidRPr="00124B71">
        <w:rPr>
          <w:rFonts w:cs="Times New Roman"/>
        </w:rPr>
        <w:t xml:space="preserve">, this must-sell inventory drives prices lower. </w:t>
      </w:r>
      <w:r w:rsidRPr="00124B71">
        <w:rPr>
          <w:rFonts w:cs="Times New Roman"/>
        </w:rPr>
        <w:t xml:space="preserve">The lowered property values will make it difficult for these borrowers to refinance because they will no longer meet the </w:t>
      </w:r>
      <w:r w:rsidR="00753758" w:rsidRPr="00124B71">
        <w:rPr>
          <w:rFonts w:cs="Times New Roman"/>
        </w:rPr>
        <w:t xml:space="preserve">more stringent </w:t>
      </w:r>
      <w:r w:rsidRPr="00124B71">
        <w:rPr>
          <w:rFonts w:cs="Times New Roman"/>
        </w:rPr>
        <w:t>loan-to-value</w:t>
      </w:r>
      <w:r w:rsidR="001858B5">
        <w:rPr>
          <w:rFonts w:cs="Times New Roman"/>
        </w:rPr>
        <w:fldChar w:fldCharType="begin"/>
      </w:r>
      <w:r w:rsidR="001A53F8">
        <w:instrText xml:space="preserve"> XE "</w:instrText>
      </w:r>
      <w:r w:rsidR="001A53F8" w:rsidRPr="00DB4DD4">
        <w:rPr>
          <w:rFonts w:cs="Times New Roman"/>
        </w:rPr>
        <w:instrText>loan-to-value</w:instrText>
      </w:r>
      <w:r w:rsidR="001A53F8">
        <w:instrText xml:space="preserve">" </w:instrText>
      </w:r>
      <w:r w:rsidR="001858B5">
        <w:rPr>
          <w:rFonts w:cs="Times New Roman"/>
        </w:rPr>
        <w:fldChar w:fldCharType="end"/>
      </w:r>
      <w:r w:rsidRPr="00124B71">
        <w:rPr>
          <w:rFonts w:cs="Times New Roman"/>
        </w:rPr>
        <w:t xml:space="preserve"> ratios </w:t>
      </w:r>
      <w:r w:rsidR="00753758" w:rsidRPr="00124B71">
        <w:rPr>
          <w:rFonts w:cs="Times New Roman"/>
        </w:rPr>
        <w:t xml:space="preserve">that will be </w:t>
      </w:r>
      <w:r w:rsidRPr="00124B71">
        <w:rPr>
          <w:rFonts w:cs="Times New Roman"/>
        </w:rPr>
        <w:t xml:space="preserve">required to refinance. </w:t>
      </w:r>
      <w:r w:rsidR="00753758" w:rsidRPr="00124B71">
        <w:rPr>
          <w:rFonts w:cs="Times New Roman"/>
        </w:rPr>
        <w:t xml:space="preserve">It is likely many of these borrowers will not be able to afford the payment at reset, and they will lose their homes just as the subprime borrowers lost their homes. </w:t>
      </w:r>
      <w:r w:rsidR="001767A9" w:rsidRPr="00124B71">
        <w:rPr>
          <w:rFonts w:cs="Times New Roman"/>
        </w:rPr>
        <w:t xml:space="preserve">If </w:t>
      </w:r>
      <w:r w:rsidR="00753758" w:rsidRPr="00124B71">
        <w:rPr>
          <w:rFonts w:cs="Times New Roman"/>
        </w:rPr>
        <w:t>Alt-A and prime borrowers</w:t>
      </w:r>
      <w:r w:rsidR="001767A9" w:rsidRPr="00124B71">
        <w:rPr>
          <w:rFonts w:cs="Times New Roman"/>
        </w:rPr>
        <w:t xml:space="preserve"> had </w:t>
      </w:r>
      <w:r w:rsidR="00753758" w:rsidRPr="00124B71">
        <w:rPr>
          <w:rFonts w:cs="Times New Roman"/>
        </w:rPr>
        <w:t>utilized</w:t>
      </w:r>
      <w:r w:rsidR="001767A9" w:rsidRPr="00124B71">
        <w:rPr>
          <w:rFonts w:cs="Times New Roman"/>
        </w:rPr>
        <w:t xml:space="preserve"> conventional mortgages as they </w:t>
      </w:r>
      <w:r w:rsidR="00F0461C" w:rsidRPr="00124B71">
        <w:rPr>
          <w:rFonts w:cs="Times New Roman"/>
        </w:rPr>
        <w:t>had</w:t>
      </w:r>
      <w:r w:rsidR="001767A9" w:rsidRPr="00124B71">
        <w:rPr>
          <w:rFonts w:cs="Times New Roman"/>
        </w:rPr>
        <w:t xml:space="preserve"> in the past, they would not be facing th</w:t>
      </w:r>
      <w:r w:rsidR="00753758" w:rsidRPr="00124B71">
        <w:rPr>
          <w:rFonts w:cs="Times New Roman"/>
        </w:rPr>
        <w:t>e</w:t>
      </w:r>
      <w:r w:rsidR="001767A9" w:rsidRPr="00124B71">
        <w:rPr>
          <w:rFonts w:cs="Times New Roman"/>
        </w:rPr>
        <w:t xml:space="preserve"> mortgage reset time bomb, and they </w:t>
      </w:r>
      <w:r w:rsidR="00F0461C" w:rsidRPr="00124B71">
        <w:rPr>
          <w:rFonts w:cs="Times New Roman"/>
        </w:rPr>
        <w:t>c</w:t>
      </w:r>
      <w:r w:rsidR="001767A9" w:rsidRPr="00124B71">
        <w:rPr>
          <w:rFonts w:cs="Times New Roman"/>
        </w:rPr>
        <w:t xml:space="preserve">ould simply ride out the </w:t>
      </w:r>
      <w:r w:rsidR="00753758" w:rsidRPr="00124B71">
        <w:rPr>
          <w:rFonts w:cs="Times New Roman"/>
        </w:rPr>
        <w:t>s</w:t>
      </w:r>
      <w:r w:rsidR="001767A9" w:rsidRPr="00124B71">
        <w:rPr>
          <w:rFonts w:cs="Times New Roman"/>
        </w:rPr>
        <w:t xml:space="preserve">ubprime debacle just as many homeowners </w:t>
      </w:r>
      <w:r w:rsidR="00F0461C" w:rsidRPr="00124B71">
        <w:rPr>
          <w:rFonts w:cs="Times New Roman"/>
        </w:rPr>
        <w:t>did</w:t>
      </w:r>
      <w:r w:rsidR="001767A9" w:rsidRPr="00124B71">
        <w:rPr>
          <w:rFonts w:cs="Times New Roman"/>
        </w:rPr>
        <w:t xml:space="preserve"> through the declines of the early </w:t>
      </w:r>
      <w:r w:rsidR="009767F5" w:rsidRPr="00124B71">
        <w:rPr>
          <w:rFonts w:cs="Times New Roman"/>
        </w:rPr>
        <w:t>90s</w:t>
      </w:r>
      <w:r w:rsidR="001767A9" w:rsidRPr="00124B71">
        <w:rPr>
          <w:rFonts w:cs="Times New Roman"/>
        </w:rPr>
        <w:t>. However, it is different this time. This time, the loans they have taken out are going to ruin them. It’s not the borrowers, it’s the loans.</w:t>
      </w:r>
    </w:p>
    <w:p w14:paraId="3A4CEDEF" w14:textId="77777777" w:rsidR="008A0B8C" w:rsidRPr="00EF0EDA" w:rsidRDefault="008A0B8C" w:rsidP="008A0B8C">
      <w:pPr>
        <w:pStyle w:val="Heading2"/>
      </w:pPr>
      <w:bookmarkStart w:id="133" w:name="_Toc238867342"/>
      <w:r w:rsidRPr="00EF0EDA">
        <w:rPr>
          <w:rStyle w:val="Strong"/>
          <w:b/>
          <w:bCs/>
        </w:rPr>
        <w:t xml:space="preserve">The Credit </w:t>
      </w:r>
      <w:r w:rsidRPr="00EF0EDA">
        <w:t>Crunch</w:t>
      </w:r>
      <w:bookmarkEnd w:id="133"/>
    </w:p>
    <w:p w14:paraId="3450C337" w14:textId="77777777" w:rsidR="008A0B8C" w:rsidRPr="00A660BB" w:rsidRDefault="008A0B8C" w:rsidP="00A660BB">
      <w:r w:rsidRPr="00A660BB">
        <w:t>In 2007, the financial markets were abuzz with talk of a “credit crunch</w:t>
      </w:r>
      <w:r w:rsidR="001858B5" w:rsidRPr="00A660BB">
        <w:fldChar w:fldCharType="begin"/>
      </w:r>
      <w:r w:rsidR="00FA2AEF" w:rsidRPr="00A660BB">
        <w:instrText xml:space="preserve"> XE "credit crunch" </w:instrText>
      </w:r>
      <w:r w:rsidR="001858B5" w:rsidRPr="00A660BB">
        <w:fldChar w:fldCharType="end"/>
      </w:r>
      <w:r w:rsidRPr="00A660BB">
        <w:t>.” It was portrayed as some unusual and unpredictable outside force like an asteroid impact or a cold winter storm. However, it was not unexpected, and it was not caused by any outside force. The credit crunch began because borrowers were unable to make payments on the loans they were given. When lenders started losing money, they stopped lending</w:t>
      </w:r>
      <w:r w:rsidR="00D41251" w:rsidRPr="00A660BB">
        <w:t xml:space="preserve"> money</w:t>
      </w:r>
      <w:r w:rsidRPr="00A660BB">
        <w:t>: a credit crunch.</w:t>
      </w:r>
    </w:p>
    <w:p w14:paraId="195DE335" w14:textId="77777777" w:rsidR="008A0B8C" w:rsidRPr="00A660BB" w:rsidRDefault="008A0B8C" w:rsidP="00A660BB">
      <w:r w:rsidRPr="00A660BB">
        <w:t>New Century</w:t>
      </w:r>
      <w:r w:rsidR="001858B5" w:rsidRPr="00A660BB">
        <w:fldChar w:fldCharType="begin"/>
      </w:r>
      <w:r w:rsidR="002321D5" w:rsidRPr="00A660BB">
        <w:instrText xml:space="preserve"> XE "New Century" </w:instrText>
      </w:r>
      <w:r w:rsidR="001858B5" w:rsidRPr="00A660BB">
        <w:fldChar w:fldCharType="end"/>
      </w:r>
      <w:r w:rsidRPr="00A660BB">
        <w:t xml:space="preserve"> Financial is the poster child for </w:t>
      </w:r>
      <w:r w:rsidR="001A34D5" w:rsidRPr="00A660BB">
        <w:t>the Great Housing Bubble</w:t>
      </w:r>
      <w:r w:rsidRPr="00A660BB">
        <w:t>. New Century Financial was founded in 1995 and headquartered in Irvine, California. New Century Financial Corporation was a real estate investment trust</w:t>
      </w:r>
      <w:r w:rsidR="001858B5" w:rsidRPr="00A660BB">
        <w:fldChar w:fldCharType="begin"/>
      </w:r>
      <w:r w:rsidR="001A53F8" w:rsidRPr="00A660BB">
        <w:instrText xml:space="preserve"> XE "real estate investment trust" \t "See REIT" </w:instrText>
      </w:r>
      <w:r w:rsidR="001858B5" w:rsidRPr="00A660BB">
        <w:fldChar w:fldCharType="end"/>
      </w:r>
      <w:r w:rsidRPr="00A660BB">
        <w:t xml:space="preserve"> (REIT</w:t>
      </w:r>
      <w:r w:rsidR="001858B5" w:rsidRPr="00A660BB">
        <w:fldChar w:fldCharType="begin"/>
      </w:r>
      <w:r w:rsidR="001A53F8" w:rsidRPr="00A660BB">
        <w:instrText xml:space="preserve"> XE "REIT" </w:instrText>
      </w:r>
      <w:r w:rsidR="001858B5" w:rsidRPr="00A660BB">
        <w:fldChar w:fldCharType="end"/>
      </w:r>
      <w:r w:rsidRPr="00A660BB">
        <w:t xml:space="preserve">), providing first and second mortgage products to borrowers nationwide through its operating subsidiaries, New Century Mortgage Corporation and Home123 Corporation. The company was the second largest subprime loan originator by dollar volume in 2006. </w:t>
      </w:r>
      <w:r w:rsidR="00F0461C" w:rsidRPr="00A660BB">
        <w:t xml:space="preserve">On </w:t>
      </w:r>
      <w:r w:rsidRPr="00A660BB">
        <w:t xml:space="preserve">April 2, 2007, the company filed for </w:t>
      </w:r>
      <w:r w:rsidR="00F0461C" w:rsidRPr="00A660BB">
        <w:t>C</w:t>
      </w:r>
      <w:r w:rsidRPr="00A660BB">
        <w:t>hapter 11 bankruptcy</w:t>
      </w:r>
      <w:r w:rsidR="001858B5" w:rsidRPr="00A660BB">
        <w:fldChar w:fldCharType="begin"/>
      </w:r>
      <w:r w:rsidR="00F71DE5" w:rsidRPr="00A660BB">
        <w:instrText xml:space="preserve"> XE "bankruptcy" </w:instrText>
      </w:r>
      <w:r w:rsidR="001858B5" w:rsidRPr="00A660BB">
        <w:fldChar w:fldCharType="end"/>
      </w:r>
      <w:r w:rsidRPr="00A660BB">
        <w:t xml:space="preserve"> </w:t>
      </w:r>
      <w:r w:rsidR="00E3041C" w:rsidRPr="00A660BB">
        <w:t>protections</w:t>
      </w:r>
      <w:r w:rsidR="00483CE0" w:rsidRPr="00A660BB">
        <w:t>.</w:t>
      </w:r>
      <w:r w:rsidR="00635AA0" w:rsidRPr="00A660BB">
        <w:t xml:space="preserve"> </w:t>
      </w:r>
      <w:r w:rsidR="00B0676D" w:rsidRPr="00A660BB">
        <w:endnoteReference w:id="86"/>
      </w:r>
      <w:r w:rsidRPr="00A660BB">
        <w:t xml:space="preserve"> The date of their financial implosion </w:t>
      </w:r>
      <w:r w:rsidR="00D41251" w:rsidRPr="00A660BB">
        <w:t>is</w:t>
      </w:r>
      <w:r w:rsidRPr="00A660BB">
        <w:t xml:space="preserve"> regarded as the day the bubble popped. The death of New Century Financial has come to represent to death of loose lending standards and the beginning of the credit crunch</w:t>
      </w:r>
      <w:r w:rsidR="001858B5" w:rsidRPr="00A660BB">
        <w:fldChar w:fldCharType="begin"/>
      </w:r>
      <w:r w:rsidR="00FA2AEF" w:rsidRPr="00A660BB">
        <w:instrText xml:space="preserve"> XE "credit crunch" </w:instrText>
      </w:r>
      <w:r w:rsidR="001858B5" w:rsidRPr="00A660BB">
        <w:fldChar w:fldCharType="end"/>
      </w:r>
      <w:r w:rsidRPr="00A660BB">
        <w:t>. Subprime</w:t>
      </w:r>
      <w:r w:rsidR="001858B5" w:rsidRPr="00A660BB">
        <w:fldChar w:fldCharType="begin"/>
      </w:r>
      <w:r w:rsidR="00E84A0F" w:rsidRPr="00A660BB">
        <w:instrText xml:space="preserve"> XE "Subprime" </w:instrText>
      </w:r>
      <w:r w:rsidR="001858B5" w:rsidRPr="00A660BB">
        <w:fldChar w:fldCharType="end"/>
      </w:r>
      <w:r w:rsidRPr="00A660BB">
        <w:t xml:space="preserve"> lending was widely regarded as the culprit in starting the cycle of credit tightening, and New Century has been linked to this </w:t>
      </w:r>
      <w:r w:rsidRPr="00A660BB">
        <w:lastRenderedPageBreak/>
        <w:t>problem, but the scale and scope of the disaster was much larger than subprime.</w:t>
      </w:r>
    </w:p>
    <w:p w14:paraId="41E23402" w14:textId="77777777" w:rsidR="008A0B8C" w:rsidRPr="00A660BB" w:rsidRDefault="008A0B8C" w:rsidP="00A660BB">
      <w:r w:rsidRPr="00A660BB">
        <w:t>The massive credit crunch</w:t>
      </w:r>
      <w:r w:rsidR="001858B5" w:rsidRPr="00A660BB">
        <w:fldChar w:fldCharType="begin"/>
      </w:r>
      <w:r w:rsidR="00FA2AEF" w:rsidRPr="00A660BB">
        <w:instrText xml:space="preserve"> XE "credit crunch" </w:instrText>
      </w:r>
      <w:r w:rsidR="001858B5" w:rsidRPr="00A660BB">
        <w:fldChar w:fldCharType="end"/>
      </w:r>
      <w:r w:rsidRPr="00A660BB">
        <w:t xml:space="preserve"> that facilitated the decline of </w:t>
      </w:r>
      <w:r w:rsidR="001A34D5" w:rsidRPr="00A660BB">
        <w:t>the Great Housing Bubble</w:t>
      </w:r>
      <w:r w:rsidRPr="00A660BB">
        <w:t xml:space="preserve"> was a crisis of cashflow insolvency. Basically, people did not have the income</w:t>
      </w:r>
      <w:r w:rsidR="00F0461C" w:rsidRPr="00A660BB">
        <w:t>s</w:t>
      </w:r>
      <w:r w:rsidRPr="00A660BB">
        <w:t xml:space="preserve"> to consistently make their mortgage payment</w:t>
      </w:r>
      <w:r w:rsidR="00F0461C" w:rsidRPr="00A660BB">
        <w:t>s</w:t>
      </w:r>
      <w:r w:rsidRPr="00A660BB">
        <w:t>. This was caused by a combination of exotic loan programs with increasing payments, a deterioration of credit standards allowing debt-to-income</w:t>
      </w:r>
      <w:r w:rsidR="001858B5" w:rsidRPr="00A660BB">
        <w:fldChar w:fldCharType="begin"/>
      </w:r>
      <w:r w:rsidR="00AE7D38" w:rsidRPr="00A660BB">
        <w:instrText xml:space="preserve"> XE "debt-to-income" </w:instrText>
      </w:r>
      <w:r w:rsidR="001858B5" w:rsidRPr="00A660BB">
        <w:fldChar w:fldCharType="end"/>
      </w:r>
      <w:r w:rsidRPr="00A660BB">
        <w:t xml:space="preserve"> ratios well above historic norms, and the systematic practice of fabricating loan applications with phantom income (stated-income</w:t>
      </w:r>
      <w:r w:rsidR="001858B5" w:rsidRPr="00A660BB">
        <w:fldChar w:fldCharType="begin"/>
      </w:r>
      <w:r w:rsidR="00FA2AEF" w:rsidRPr="00A660BB">
        <w:instrText xml:space="preserve"> XE "stated-income" </w:instrText>
      </w:r>
      <w:r w:rsidR="001858B5" w:rsidRPr="00A660BB">
        <w:fldChar w:fldCharType="end"/>
      </w:r>
      <w:r w:rsidRPr="00A660BB">
        <w:t xml:space="preserve"> or “liar” loans</w:t>
      </w:r>
      <w:r w:rsidR="00A40CA5" w:rsidRPr="00A660BB">
        <w:t>).</w:t>
      </w:r>
      <w:r w:rsidRPr="00A660BB">
        <w:t xml:space="preserve"> The problem of cashflow insolvency was very difficult to overcome as borrowing more money would not solve the problem. People needed greater incomes</w:t>
      </w:r>
      <w:r w:rsidR="00F0461C" w:rsidRPr="00A660BB">
        <w:t>,</w:t>
      </w:r>
      <w:r w:rsidRPr="00A660BB">
        <w:t xml:space="preserve"> not greater debt loads.</w:t>
      </w:r>
    </w:p>
    <w:p w14:paraId="1DF1FCB5" w14:textId="77777777" w:rsidR="008A0B8C" w:rsidRPr="00124B71" w:rsidRDefault="008A0B8C" w:rsidP="00C55849">
      <w:pPr>
        <w:rPr>
          <w:rFonts w:cs="Times New Roman"/>
        </w:rPr>
      </w:pPr>
      <w:r w:rsidRPr="00124B71">
        <w:rPr>
          <w:rFonts w:cs="Times New Roman"/>
        </w:rPr>
        <w:t>When more money and debt was created than incomes could support, one of two things needed to happen: either the sum of money needed to shrink to supportable levels (</w:t>
      </w:r>
      <w:r w:rsidR="00F0461C" w:rsidRPr="00124B71">
        <w:rPr>
          <w:rFonts w:cs="Times New Roman"/>
        </w:rPr>
        <w:t>a</w:t>
      </w:r>
      <w:r w:rsidRPr="00124B71">
        <w:rPr>
          <w:rFonts w:cs="Times New Roman"/>
        </w:rPr>
        <w:t xml:space="preserve"> shrinking money supply is a condition known as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Pr="00124B71">
        <w:rPr>
          <w:rFonts w:cs="Times New Roman"/>
        </w:rPr>
        <w:t>,) or the amount of money supported by the available cashflow needed to increase through lower interest rates. Given these two alternatives,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Pr="00124B71">
        <w:rPr>
          <w:rFonts w:cs="Times New Roman"/>
        </w:rPr>
        <w:t xml:space="preserve"> chose to lower interest rates. The lower interest rates had two effects; first, it did help support the created debt, and second</w:t>
      </w:r>
      <w:r w:rsidR="00F0461C" w:rsidRPr="00124B71">
        <w:rPr>
          <w:rFonts w:cs="Times New Roman"/>
        </w:rPr>
        <w:t>,</w:t>
      </w:r>
      <w:r w:rsidRPr="00124B71">
        <w:rPr>
          <w:rFonts w:cs="Times New Roman"/>
        </w:rPr>
        <w:t xml:space="preserve"> it created inflationary pressures which further counteracted the deflationary pressures of disappearing debt and declining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Pr="00124B71">
        <w:rPr>
          <w:rFonts w:cs="Times New Roman"/>
        </w:rPr>
        <w:t xml:space="preserve"> assets. None of this saved the housing market.</w:t>
      </w:r>
    </w:p>
    <w:p w14:paraId="67786645" w14:textId="77777777" w:rsidR="008A0B8C" w:rsidRPr="00124B71" w:rsidRDefault="008A0B8C" w:rsidP="00C55849">
      <w:pPr>
        <w:rPr>
          <w:rFonts w:cs="Times New Roman"/>
        </w:rPr>
      </w:pPr>
      <w:r w:rsidRPr="00124B71">
        <w:rPr>
          <w:rFonts w:cs="Times New Roman"/>
        </w:rPr>
        <w:t xml:space="preserve">Credit availability moves in cycles of tightening and loosening. Lenders tend to loosen credit guidelines when times are good, and they tend to tighten them when times are bad. This tendency of lenders often exacerbates the growth and contraction of the business cycle. </w:t>
      </w:r>
      <w:r w:rsidR="00F0461C" w:rsidRPr="00124B71">
        <w:rPr>
          <w:rFonts w:cs="Times New Roman"/>
        </w:rPr>
        <w:t>During</w:t>
      </w:r>
      <w:r w:rsidRPr="00124B71">
        <w:rPr>
          <w:rFonts w:cs="Times New Roman"/>
        </w:rPr>
        <w:t xml:space="preserve"> the decline of </w:t>
      </w:r>
      <w:r w:rsidR="001A34D5">
        <w:rPr>
          <w:rFonts w:cs="Times New Roman"/>
        </w:rPr>
        <w:t>the Great Housing Bubble</w:t>
      </w:r>
      <w:r w:rsidRPr="00124B71">
        <w:rPr>
          <w:rFonts w:cs="Times New Roman"/>
        </w:rPr>
        <w:t>, the contraction of credit certainly played a major role in the decline of house prices. Lenders continued to tighten their standards for extending credit for fear of losing even more money. This meant fewer and fewer people qualified for smaller and smaller loans. This crushed demand for housing and made home prices fall even further.</w:t>
      </w:r>
    </w:p>
    <w:p w14:paraId="10F85FF4" w14:textId="6696B063" w:rsidR="00C55849" w:rsidRPr="00EF0EDA" w:rsidRDefault="00C55849" w:rsidP="00C55849">
      <w:pPr>
        <w:pStyle w:val="Caption"/>
      </w:pPr>
      <w:bookmarkStart w:id="134" w:name="_Toc238867471"/>
      <w:r>
        <w:t>Figure</w:t>
      </w:r>
      <w:r w:rsidRPr="00EF0EDA">
        <w:t xml:space="preserve"> </w:t>
      </w:r>
      <w:fldSimple w:instr=" SEQ Figure \* ARABIC ">
        <w:r w:rsidR="00493733">
          <w:rPr>
            <w:noProof/>
          </w:rPr>
          <w:t>30</w:t>
        </w:r>
      </w:fldSimple>
      <w:r w:rsidR="00317936">
        <w:t xml:space="preserve">: </w:t>
      </w:r>
      <w:r w:rsidRPr="00EF0EDA">
        <w:t>Personal Savings Rate</w:t>
      </w:r>
      <w:r w:rsidR="000E7151">
        <w:t>,</w:t>
      </w:r>
      <w:r w:rsidRPr="00EF0EDA">
        <w:t xml:space="preserve"> 1952-2007</w:t>
      </w:r>
      <w:bookmarkEnd w:id="134"/>
    </w:p>
    <w:p w14:paraId="2385C2EC" w14:textId="77777777" w:rsidR="00C55849" w:rsidRPr="00EF0EDA" w:rsidRDefault="002703E4" w:rsidP="00C55849">
      <w:pPr>
        <w:pStyle w:val="Graphics"/>
      </w:pPr>
      <w:r>
        <w:drawing>
          <wp:inline distT="0" distB="0" distL="0" distR="0" wp14:anchorId="609DD843" wp14:editId="227E5CB5">
            <wp:extent cx="3657600" cy="2011680"/>
            <wp:effectExtent l="19050" t="0" r="0" b="0"/>
            <wp:docPr id="94" name="Picture 93" descr="Personal Savings Rate 1952-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 Savings Rate 1952-2007.jpg"/>
                    <pic:cNvPicPr/>
                  </pic:nvPicPr>
                  <pic:blipFill>
                    <a:blip r:embed="rId64"/>
                    <a:stretch>
                      <a:fillRect/>
                    </a:stretch>
                  </pic:blipFill>
                  <pic:spPr>
                    <a:xfrm>
                      <a:off x="0" y="0"/>
                      <a:ext cx="3657600" cy="2011680"/>
                    </a:xfrm>
                    <a:prstGeom prst="rect">
                      <a:avLst/>
                    </a:prstGeom>
                  </pic:spPr>
                </pic:pic>
              </a:graphicData>
            </a:graphic>
          </wp:inline>
        </w:drawing>
      </w:r>
    </w:p>
    <w:p w14:paraId="5D93A2D0" w14:textId="56BBAA36" w:rsidR="008A0B8C" w:rsidRPr="00124B71" w:rsidRDefault="008A0B8C" w:rsidP="00C55849">
      <w:pPr>
        <w:rPr>
          <w:rFonts w:cs="Times New Roman"/>
        </w:rPr>
      </w:pPr>
      <w:r w:rsidRPr="00124B71">
        <w:rPr>
          <w:rFonts w:cs="Times New Roman"/>
        </w:rPr>
        <w:lastRenderedPageBreak/>
        <w:t>One of the biggest problems for the housing market was the reinstatement of downpayment requirements. During the bubble rally,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was made widely available. This made it unnecessary for people to save money to get a house. People respond to incentives</w:t>
      </w:r>
      <w:r w:rsidR="00F358E7" w:rsidRPr="00124B71">
        <w:rPr>
          <w:rFonts w:cs="Times New Roman"/>
        </w:rPr>
        <w:t xml:space="preserve"> </w:t>
      </w:r>
      <w:sdt>
        <w:sdtPr>
          <w:rPr>
            <w:rFonts w:cs="Times New Roman"/>
          </w:rPr>
          <w:id w:val="62089834"/>
          <w:citation/>
        </w:sdtPr>
        <w:sdtContent>
          <w:r w:rsidR="001858B5" w:rsidRPr="00124B71">
            <w:rPr>
              <w:rFonts w:cs="Times New Roman"/>
            </w:rPr>
            <w:fldChar w:fldCharType="begin"/>
          </w:r>
          <w:r w:rsidR="00F43CEA" w:rsidRPr="00124B71">
            <w:rPr>
              <w:rFonts w:cs="Times New Roman"/>
            </w:rPr>
            <w:instrText xml:space="preserve"> CITATION Dem00 \l 1033 </w:instrText>
          </w:r>
          <w:r w:rsidR="001858B5" w:rsidRPr="00124B71">
            <w:rPr>
              <w:rFonts w:cs="Times New Roman"/>
            </w:rPr>
            <w:fldChar w:fldCharType="separate"/>
          </w:r>
          <w:r w:rsidR="007E3004" w:rsidRPr="007E3004">
            <w:rPr>
              <w:rFonts w:cs="Times New Roman"/>
              <w:noProof/>
            </w:rPr>
            <w:t>(Deming, 2000)</w:t>
          </w:r>
          <w:r w:rsidR="001858B5" w:rsidRPr="00124B71">
            <w:rPr>
              <w:rFonts w:cs="Times New Roman"/>
            </w:rPr>
            <w:fldChar w:fldCharType="end"/>
          </w:r>
        </w:sdtContent>
      </w:sdt>
      <w:r w:rsidRPr="00124B71">
        <w:rPr>
          <w:rFonts w:cs="Times New Roman"/>
        </w:rPr>
        <w:t>. This is basic economic theory. The availability of 100% financing removed the incentive to save for a downpayment. People responded; our national savings rate went negative</w:t>
      </w:r>
      <w:r w:rsidR="00483CE0" w:rsidRPr="00124B71">
        <w:rPr>
          <w:rFonts w:cs="Times New Roman"/>
        </w:rPr>
        <w:t>.</w:t>
      </w:r>
      <w:r w:rsidR="00635AA0" w:rsidRPr="00124B71">
        <w:rPr>
          <w:rFonts w:cs="Times New Roman"/>
        </w:rPr>
        <w:t xml:space="preserve"> </w:t>
      </w:r>
      <w:r w:rsidR="001A03C9" w:rsidRPr="00124B71">
        <w:rPr>
          <w:rStyle w:val="EndnoteReference"/>
          <w:rFonts w:cs="Times New Roman"/>
        </w:rPr>
        <w:endnoteReference w:id="87"/>
      </w:r>
      <w:r w:rsidRPr="00124B71">
        <w:rPr>
          <w:rFonts w:cs="Times New Roman"/>
        </w:rPr>
        <w:t xml:space="preserve"> Potential </w:t>
      </w:r>
      <w:r w:rsidR="00424156" w:rsidRPr="00124B71">
        <w:rPr>
          <w:rFonts w:cs="Times New Roman"/>
        </w:rPr>
        <w:t>homebuyers,</w:t>
      </w:r>
      <w:r w:rsidRPr="00124B71">
        <w:rPr>
          <w:rFonts w:cs="Times New Roman"/>
        </w:rPr>
        <w:t xml:space="preserve"> who ordinarily would have been saving money for a downpayment to get a house, stopped saving, borrowed money and went on a consumer spending spree. This created a situation in the aftermath of the bubble crash where very few potential entry-level buyers</w:t>
      </w:r>
      <w:r w:rsidR="001858B5">
        <w:rPr>
          <w:rFonts w:cs="Times New Roman"/>
        </w:rPr>
        <w:fldChar w:fldCharType="begin"/>
      </w:r>
      <w:r w:rsidR="00BA6735">
        <w:instrText xml:space="preserve"> XE "</w:instrText>
      </w:r>
      <w:r w:rsidR="00BA6735" w:rsidRPr="00C743EC">
        <w:rPr>
          <w:rFonts w:cs="Times New Roman"/>
        </w:rPr>
        <w:instrText>entry-level buyers</w:instrText>
      </w:r>
      <w:r w:rsidR="00BA6735">
        <w:instrText xml:space="preserve">" </w:instrText>
      </w:r>
      <w:r w:rsidR="001858B5">
        <w:rPr>
          <w:rFonts w:cs="Times New Roman"/>
        </w:rPr>
        <w:fldChar w:fldCharType="end"/>
      </w:r>
      <w:r w:rsidRPr="00124B71">
        <w:rPr>
          <w:rFonts w:cs="Times New Roman"/>
        </w:rPr>
        <w:t xml:space="preserve"> had any saved money for the newly required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Pr="00124B71">
        <w:rPr>
          <w:rFonts w:cs="Times New Roman"/>
        </w:rPr>
        <w:t>. This created very serious problems for a market already reeling from low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Pr="00124B71">
        <w:rPr>
          <w:rFonts w:cs="Times New Roman"/>
        </w:rPr>
        <w:t>, excess inventory, and a large number of foreclosures.</w:t>
      </w:r>
    </w:p>
    <w:p w14:paraId="03D9DF8E" w14:textId="77777777" w:rsidR="008A0B8C" w:rsidRPr="00EF0EDA" w:rsidRDefault="008A0B8C" w:rsidP="008A0B8C">
      <w:pPr>
        <w:pStyle w:val="Heading3"/>
      </w:pPr>
      <w:bookmarkStart w:id="135" w:name="_Toc238867343"/>
      <w:r w:rsidRPr="00EF0EDA">
        <w:rPr>
          <w:rStyle w:val="Strong"/>
          <w:b/>
          <w:bCs/>
        </w:rPr>
        <w:t xml:space="preserve">100% </w:t>
      </w:r>
      <w:r w:rsidRPr="00EF0EDA">
        <w:t>Financing</w:t>
      </w:r>
      <w:bookmarkEnd w:id="135"/>
    </w:p>
    <w:p w14:paraId="586203D4" w14:textId="77777777" w:rsidR="008A0B8C" w:rsidRPr="00124B71" w:rsidRDefault="008A0B8C" w:rsidP="00C55849">
      <w:pPr>
        <w:rPr>
          <w:rFonts w:cs="Times New Roman"/>
        </w:rPr>
      </w:pPr>
      <w:r w:rsidRPr="00124B71">
        <w:rPr>
          <w:rFonts w:cs="Times New Roman"/>
        </w:rPr>
        <w:t>Once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became widely available, it was enthusiastically embraced by all parties: the lenders suddenly had a huge source of new customers to generate high fees, the realtors and builders now had plenty of new customers to buy more homes, and many potential buyers who did not have savings were able to enter the market. It seemed like a panacea; for two or three years, it was. There was a problem with 100% financing (which was masked by the rampant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brought about by its introduction): high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Pr="00124B71">
        <w:rPr>
          <w:rFonts w:cs="Times New Roman"/>
        </w:rPr>
        <w:t>. The more money people had to put in to the transaction, the less likely they were to default. It was that simple. The borrowers probably intended to repay the loan when they got it,</w:t>
      </w:r>
      <w:r w:rsidR="00E371EC" w:rsidRPr="00124B71">
        <w:rPr>
          <w:rFonts w:cs="Times New Roman"/>
        </w:rPr>
        <w:t xml:space="preserve"> however</w:t>
      </w:r>
      <w:r w:rsidRPr="00124B71">
        <w:rPr>
          <w:rFonts w:cs="Times New Roman"/>
        </w:rPr>
        <w:t xml:space="preserve"> they did not feel much of a sense of responsibility to the loan when the going got tough. High loan-to-value</w:t>
      </w:r>
      <w:r w:rsidR="001858B5">
        <w:rPr>
          <w:rFonts w:cs="Times New Roman"/>
        </w:rPr>
        <w:fldChar w:fldCharType="begin"/>
      </w:r>
      <w:r w:rsidR="001A53F8">
        <w:instrText xml:space="preserve"> XE "</w:instrText>
      </w:r>
      <w:r w:rsidR="001A53F8" w:rsidRPr="00DB4DD4">
        <w:rPr>
          <w:rFonts w:cs="Times New Roman"/>
        </w:rPr>
        <w:instrText>loan-to-value</w:instrText>
      </w:r>
      <w:r w:rsidR="001A53F8">
        <w:instrText xml:space="preserve">" </w:instrText>
      </w:r>
      <w:r w:rsidR="001858B5">
        <w:rPr>
          <w:rFonts w:cs="Times New Roman"/>
        </w:rPr>
        <w:fldChar w:fldCharType="end"/>
      </w:r>
      <w:r w:rsidR="001858B5">
        <w:rPr>
          <w:rFonts w:cs="Times New Roman"/>
        </w:rPr>
        <w:fldChar w:fldCharType="begin"/>
      </w:r>
      <w:r w:rsidR="001A53F8">
        <w:instrText xml:space="preserve"> XE "</w:instrText>
      </w:r>
      <w:r w:rsidR="001A53F8" w:rsidRPr="00DB4DD4">
        <w:rPr>
          <w:rFonts w:cs="Times New Roman"/>
        </w:rPr>
        <w:instrText>loan-to-value</w:instrText>
      </w:r>
      <w:r w:rsidR="001A53F8">
        <w:instrText>" \t "</w:instrText>
      </w:r>
      <w:r w:rsidR="001A53F8" w:rsidRPr="00242B34">
        <w:rPr>
          <w:rFonts w:asciiTheme="minorHAnsi" w:hAnsiTheme="minorHAnsi"/>
          <w:i/>
        </w:rPr>
        <w:instrText>See</w:instrText>
      </w:r>
      <w:r w:rsidR="001A53F8" w:rsidRPr="00242B34">
        <w:rPr>
          <w:rFonts w:asciiTheme="minorHAnsi" w:hAnsiTheme="minorHAnsi"/>
        </w:rPr>
        <w:instrText xml:space="preserve"> LTV</w:instrText>
      </w:r>
      <w:r w:rsidR="001A53F8">
        <w:instrText xml:space="preserve">" </w:instrText>
      </w:r>
      <w:r w:rsidR="001858B5">
        <w:rPr>
          <w:rFonts w:cs="Times New Roman"/>
        </w:rPr>
        <w:fldChar w:fldCharType="end"/>
      </w:r>
      <w:r w:rsidRPr="00124B71">
        <w:rPr>
          <w:rFonts w:cs="Times New Roman"/>
        </w:rPr>
        <w:t xml:space="preserve"> loans had high default rates causing 100% financing to all but disappear, and it made other high LTV</w:t>
      </w:r>
      <w:r w:rsidR="001858B5">
        <w:rPr>
          <w:rFonts w:cs="Times New Roman"/>
        </w:rPr>
        <w:fldChar w:fldCharType="begin"/>
      </w:r>
      <w:r w:rsidR="001A53F8">
        <w:instrText xml:space="preserve"> XE "</w:instrText>
      </w:r>
      <w:r w:rsidR="001A53F8" w:rsidRPr="005D69B0">
        <w:rPr>
          <w:rFonts w:cs="Times New Roman"/>
        </w:rPr>
        <w:instrText>LTV</w:instrText>
      </w:r>
      <w:r w:rsidR="001A53F8">
        <w:instrText xml:space="preserve">" </w:instrText>
      </w:r>
      <w:r w:rsidR="001858B5">
        <w:rPr>
          <w:rFonts w:cs="Times New Roman"/>
        </w:rPr>
        <w:fldChar w:fldCharType="end"/>
      </w:r>
      <w:r w:rsidRPr="00124B71">
        <w:rPr>
          <w:rFonts w:cs="Times New Roman"/>
        </w:rPr>
        <w:t xml:space="preserve"> loans much more expensive, so much so as to render them practically useless. It was all part of the credit tightening cycle.</w:t>
      </w:r>
    </w:p>
    <w:p w14:paraId="4339D387" w14:textId="77777777" w:rsidR="008A0B8C" w:rsidRPr="00124B71" w:rsidRDefault="008A0B8C" w:rsidP="00C55849">
      <w:pPr>
        <w:rPr>
          <w:rFonts w:cs="Times New Roman"/>
        </w:rPr>
      </w:pPr>
      <w:r w:rsidRPr="00124B71">
        <w:rPr>
          <w:rFonts w:cs="Times New Roman"/>
        </w:rPr>
        <w:t>Besides stopping people from saving for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Pr="00124B71">
        <w:rPr>
          <w:rFonts w:cs="Times New Roman"/>
        </w:rPr>
        <w:t>,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harmed the market by depleting the buyer pool. In a normal real estate market, first-time buyers are saving their money waiting until they can make their first purchase. </w:t>
      </w:r>
      <w:r w:rsidR="00FF7618" w:rsidRPr="00124B71">
        <w:rPr>
          <w:rFonts w:cs="Times New Roman"/>
        </w:rPr>
        <w:t>This</w:t>
      </w:r>
      <w:r w:rsidRPr="00124B71">
        <w:rPr>
          <w:rFonts w:cs="Times New Roman"/>
        </w:rPr>
        <w:t xml:space="preserve"> usually </w:t>
      </w:r>
      <w:r w:rsidR="00FF7618" w:rsidRPr="00124B71">
        <w:rPr>
          <w:rFonts w:cs="Times New Roman"/>
        </w:rPr>
        <w:t xml:space="preserve">results in </w:t>
      </w:r>
      <w:r w:rsidRPr="00124B71">
        <w:rPr>
          <w:rFonts w:cs="Times New Roman"/>
        </w:rPr>
        <w:t xml:space="preserve">a steady stream </w:t>
      </w:r>
      <w:r w:rsidR="00FF7618" w:rsidRPr="00124B71">
        <w:rPr>
          <w:rFonts w:cs="Times New Roman"/>
        </w:rPr>
        <w:t>of first-time buyers that enter</w:t>
      </w:r>
      <w:r w:rsidRPr="00124B71">
        <w:rPr>
          <w:rFonts w:cs="Times New Roman"/>
        </w:rPr>
        <w:t xml:space="preserve"> the market each year. When 100% financing eliminated the downpayment requirement, it also eliminated any need to wait. Those who ordinarily would have bought 2-5 years in the future were able to buy immediately. This emptied the queue. </w:t>
      </w:r>
      <w:r w:rsidR="00FA7AC6" w:rsidRPr="00124B71">
        <w:rPr>
          <w:rFonts w:cs="Times New Roman"/>
        </w:rPr>
        <w:t xml:space="preserve">This type of financing appears periodically in the auto industry, especially in downturns when it is necessary to liquidate inventory. The term for this is “pulling demand forward,” because it reduces demand for new cars in the next few years. </w:t>
      </w:r>
      <w:r w:rsidRPr="00124B71">
        <w:rPr>
          <w:rFonts w:cs="Times New Roman"/>
        </w:rPr>
        <w:t>This might not have been a problem if 100% financing would have been made available to everyone forever; however, once downpayment</w:t>
      </w:r>
      <w:r w:rsidR="00FF7618" w:rsidRPr="00124B71">
        <w:rPr>
          <w:rFonts w:cs="Times New Roman"/>
        </w:rPr>
        <w:t xml:space="preserve"> requirements</w:t>
      </w:r>
      <w:r w:rsidRPr="00124B71">
        <w:rPr>
          <w:rFonts w:cs="Times New Roman"/>
        </w:rPr>
        <w:t xml:space="preserve"> came back those who would have been saving were already homeowners, so there were few new buyers available, and any potential new buyers had to start over saving for the downpayment</w:t>
      </w:r>
      <w:r w:rsidR="00FA7AC6" w:rsidRPr="00124B71">
        <w:rPr>
          <w:rFonts w:cs="Times New Roman"/>
        </w:rPr>
        <w:t xml:space="preserve"> they thought would never be required</w:t>
      </w:r>
      <w:r w:rsidRPr="00124B71">
        <w:rPr>
          <w:rFonts w:cs="Times New Roman"/>
        </w:rPr>
        <w:t xml:space="preserve">. </w:t>
      </w:r>
      <w:r w:rsidR="00FF7618" w:rsidRPr="00124B71">
        <w:rPr>
          <w:rFonts w:cs="Times New Roman"/>
        </w:rPr>
        <w:t>The situation was made worse because</w:t>
      </w:r>
      <w:r w:rsidRPr="00124B71">
        <w:rPr>
          <w:rFonts w:cs="Times New Roman"/>
        </w:rPr>
        <w:t xml:space="preserve"> those late buyers who </w:t>
      </w:r>
      <w:r w:rsidRPr="00124B71">
        <w:rPr>
          <w:rFonts w:cs="Times New Roman"/>
        </w:rPr>
        <w:lastRenderedPageBreak/>
        <w:t>were “</w:t>
      </w:r>
      <w:r w:rsidR="00FA7AC6" w:rsidRPr="00124B71">
        <w:rPr>
          <w:rFonts w:cs="Times New Roman"/>
        </w:rPr>
        <w:t>pulled forward</w:t>
      </w:r>
      <w:r w:rsidR="001858B5">
        <w:rPr>
          <w:rFonts w:cs="Times New Roman"/>
        </w:rPr>
        <w:fldChar w:fldCharType="begin"/>
      </w:r>
      <w:r w:rsidR="001A53F8">
        <w:instrText xml:space="preserve"> XE "</w:instrText>
      </w:r>
      <w:r w:rsidR="001A53F8" w:rsidRPr="00F25BCC">
        <w:rPr>
          <w:rFonts w:cs="Times New Roman"/>
        </w:rPr>
        <w:instrText>pulled forward</w:instrText>
      </w:r>
      <w:r w:rsidR="001A53F8">
        <w:instrText xml:space="preserve">" </w:instrText>
      </w:r>
      <w:r w:rsidR="001858B5">
        <w:rPr>
          <w:rFonts w:cs="Times New Roman"/>
        </w:rPr>
        <w:fldChar w:fldCharType="end"/>
      </w:r>
      <w:r w:rsidRPr="00124B71">
        <w:rPr>
          <w:rFonts w:cs="Times New Roman"/>
        </w:rPr>
        <w:t>” from the future buyer pool overpaid</w:t>
      </w:r>
      <w:r w:rsidR="00FF7618" w:rsidRPr="00124B71">
        <w:rPr>
          <w:rFonts w:cs="Times New Roman"/>
        </w:rPr>
        <w:t>,</w:t>
      </w:r>
      <w:r w:rsidRPr="00124B71">
        <w:rPr>
          <w:rFonts w:cs="Times New Roman"/>
        </w:rPr>
        <w:t xml:space="preserve"> and many lost their homes. This eliminated them from the buyer pool </w:t>
      </w:r>
      <w:r w:rsidR="00FA7AC6" w:rsidRPr="00124B71">
        <w:rPr>
          <w:rFonts w:cs="Times New Roman"/>
        </w:rPr>
        <w:t xml:space="preserve">for several years </w:t>
      </w:r>
      <w:r w:rsidRPr="00124B71">
        <w:rPr>
          <w:rFonts w:cs="Times New Roman"/>
        </w:rPr>
        <w:t xml:space="preserve">due to poor credit </w:t>
      </w:r>
      <w:r w:rsidR="00FA7AC6" w:rsidRPr="00124B71">
        <w:rPr>
          <w:rFonts w:cs="Times New Roman"/>
        </w:rPr>
        <w:t>and newly tightened credit underwriting standards</w:t>
      </w:r>
      <w:r w:rsidRPr="00124B71">
        <w:rPr>
          <w:rFonts w:cs="Times New Roman"/>
        </w:rPr>
        <w:t xml:space="preserve">. </w:t>
      </w:r>
      <w:r w:rsidR="00FF7618" w:rsidRPr="00124B71">
        <w:rPr>
          <w:rFonts w:cs="Times New Roman"/>
        </w:rPr>
        <w:t>Thus, most</w:t>
      </w:r>
      <w:r w:rsidRPr="00124B71">
        <w:rPr>
          <w:rFonts w:cs="Times New Roman"/>
        </w:rPr>
        <w:t xml:space="preserve"> who thought 100% financing was a dream come true found it to be a nightmare instead.</w:t>
      </w:r>
    </w:p>
    <w:p w14:paraId="1C74B105" w14:textId="019667DA" w:rsidR="00C55849" w:rsidRPr="00EF0EDA" w:rsidRDefault="00C55849" w:rsidP="00C55849">
      <w:pPr>
        <w:pStyle w:val="Caption"/>
      </w:pPr>
      <w:bookmarkStart w:id="136" w:name="_Toc238867435"/>
      <w:r>
        <w:t xml:space="preserve">Table </w:t>
      </w:r>
      <w:fldSimple w:instr=" SEQ Table \* ARABIC ">
        <w:r w:rsidR="00493733">
          <w:rPr>
            <w:noProof/>
          </w:rPr>
          <w:t>9</w:t>
        </w:r>
      </w:fldSimple>
      <w:r w:rsidR="00317936">
        <w:t xml:space="preserve">: </w:t>
      </w:r>
      <w:r w:rsidRPr="00EF0EDA">
        <w:t xml:space="preserve">Increasing Interest Rates Impact to </w:t>
      </w:r>
      <w:r w:rsidR="000E7151">
        <w:t>H</w:t>
      </w:r>
      <w:r w:rsidRPr="00EF0EDA">
        <w:t>ouse Prices</w:t>
      </w:r>
      <w:bookmarkEnd w:id="136"/>
    </w:p>
    <w:tbl>
      <w:tblPr>
        <w:tblW w:w="5676" w:type="dxa"/>
        <w:tblInd w:w="108" w:type="dxa"/>
        <w:tblLook w:val="04A0" w:firstRow="1" w:lastRow="0" w:firstColumn="1" w:lastColumn="0" w:noHBand="0" w:noVBand="1"/>
      </w:tblPr>
      <w:tblGrid>
        <w:gridCol w:w="1440"/>
        <w:gridCol w:w="1434"/>
        <w:gridCol w:w="1446"/>
        <w:gridCol w:w="1356"/>
      </w:tblGrid>
      <w:tr w:rsidR="00C55849" w:rsidRPr="00131BA8" w14:paraId="2F5FA3C7" w14:textId="77777777" w:rsidTr="008F1316">
        <w:trPr>
          <w:trHeight w:val="173"/>
        </w:trPr>
        <w:tc>
          <w:tcPr>
            <w:tcW w:w="1440" w:type="dxa"/>
            <w:tcBorders>
              <w:top w:val="nil"/>
              <w:left w:val="nil"/>
              <w:bottom w:val="nil"/>
              <w:right w:val="nil"/>
            </w:tcBorders>
            <w:noWrap/>
            <w:vAlign w:val="bottom"/>
            <w:hideMark/>
          </w:tcPr>
          <w:p w14:paraId="43B7D187"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244,900 </w:t>
            </w:r>
          </w:p>
        </w:tc>
        <w:tc>
          <w:tcPr>
            <w:tcW w:w="2880" w:type="dxa"/>
            <w:gridSpan w:val="2"/>
            <w:tcBorders>
              <w:top w:val="nil"/>
              <w:left w:val="nil"/>
              <w:bottom w:val="nil"/>
              <w:right w:val="nil"/>
            </w:tcBorders>
            <w:noWrap/>
            <w:vAlign w:val="bottom"/>
            <w:hideMark/>
          </w:tcPr>
          <w:p w14:paraId="7DEDF12B" w14:textId="77777777" w:rsidR="00C55849" w:rsidRPr="00131BA8" w:rsidRDefault="00C55849" w:rsidP="008F1316">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National Median Home Price</w:t>
            </w:r>
          </w:p>
        </w:tc>
        <w:tc>
          <w:tcPr>
            <w:tcW w:w="1356" w:type="dxa"/>
            <w:tcBorders>
              <w:top w:val="nil"/>
              <w:left w:val="nil"/>
              <w:bottom w:val="nil"/>
              <w:right w:val="nil"/>
            </w:tcBorders>
            <w:noWrap/>
            <w:vAlign w:val="bottom"/>
            <w:hideMark/>
          </w:tcPr>
          <w:p w14:paraId="2C4A099D" w14:textId="77777777" w:rsidR="00C55849" w:rsidRPr="00131BA8" w:rsidRDefault="00C55849" w:rsidP="008F1316">
            <w:pPr>
              <w:keepNext/>
              <w:keepLines/>
              <w:ind w:firstLine="0"/>
              <w:jc w:val="center"/>
              <w:rPr>
                <w:rFonts w:eastAsia="Times New Roman" w:cs="Times New Roman"/>
                <w:color w:val="000000"/>
                <w:sz w:val="18"/>
                <w:szCs w:val="18"/>
                <w:lang w:bidi="ar-SA"/>
              </w:rPr>
            </w:pPr>
          </w:p>
        </w:tc>
      </w:tr>
      <w:tr w:rsidR="00C55849" w:rsidRPr="00131BA8" w14:paraId="3B90633F" w14:textId="77777777" w:rsidTr="008F1316">
        <w:trPr>
          <w:trHeight w:val="173"/>
        </w:trPr>
        <w:tc>
          <w:tcPr>
            <w:tcW w:w="1440" w:type="dxa"/>
            <w:tcBorders>
              <w:top w:val="nil"/>
              <w:left w:val="nil"/>
              <w:bottom w:val="nil"/>
              <w:right w:val="nil"/>
            </w:tcBorders>
            <w:noWrap/>
            <w:vAlign w:val="bottom"/>
            <w:hideMark/>
          </w:tcPr>
          <w:p w14:paraId="031AD7AC"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47,423 </w:t>
            </w:r>
          </w:p>
        </w:tc>
        <w:tc>
          <w:tcPr>
            <w:tcW w:w="2880" w:type="dxa"/>
            <w:gridSpan w:val="2"/>
            <w:tcBorders>
              <w:top w:val="nil"/>
              <w:left w:val="nil"/>
              <w:bottom w:val="nil"/>
              <w:right w:val="nil"/>
            </w:tcBorders>
            <w:noWrap/>
            <w:vAlign w:val="bottom"/>
            <w:hideMark/>
          </w:tcPr>
          <w:p w14:paraId="37D094D0" w14:textId="77777777" w:rsidR="00C55849" w:rsidRPr="00131BA8" w:rsidRDefault="00C55849" w:rsidP="008F1316">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National Median Income</w:t>
            </w:r>
          </w:p>
        </w:tc>
        <w:tc>
          <w:tcPr>
            <w:tcW w:w="1356" w:type="dxa"/>
            <w:tcBorders>
              <w:top w:val="nil"/>
              <w:left w:val="nil"/>
              <w:bottom w:val="nil"/>
              <w:right w:val="nil"/>
            </w:tcBorders>
            <w:noWrap/>
            <w:vAlign w:val="bottom"/>
            <w:hideMark/>
          </w:tcPr>
          <w:p w14:paraId="57E9B34D" w14:textId="77777777" w:rsidR="00C55849" w:rsidRPr="00131BA8" w:rsidRDefault="00C55849" w:rsidP="008F1316">
            <w:pPr>
              <w:keepNext/>
              <w:keepLines/>
              <w:ind w:firstLine="0"/>
              <w:jc w:val="center"/>
              <w:rPr>
                <w:rFonts w:eastAsia="Times New Roman" w:cs="Times New Roman"/>
                <w:color w:val="000000"/>
                <w:sz w:val="18"/>
                <w:szCs w:val="18"/>
                <w:lang w:bidi="ar-SA"/>
              </w:rPr>
            </w:pPr>
          </w:p>
        </w:tc>
      </w:tr>
      <w:tr w:rsidR="00C55849" w:rsidRPr="00131BA8" w14:paraId="4FC62D2F" w14:textId="77777777" w:rsidTr="008F1316">
        <w:trPr>
          <w:trHeight w:val="173"/>
        </w:trPr>
        <w:tc>
          <w:tcPr>
            <w:tcW w:w="1440" w:type="dxa"/>
            <w:tcBorders>
              <w:top w:val="nil"/>
              <w:left w:val="nil"/>
              <w:bottom w:val="nil"/>
              <w:right w:val="nil"/>
            </w:tcBorders>
            <w:noWrap/>
            <w:vAlign w:val="bottom"/>
            <w:hideMark/>
          </w:tcPr>
          <w:p w14:paraId="2D3C2C4C"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3,952 </w:t>
            </w:r>
          </w:p>
        </w:tc>
        <w:tc>
          <w:tcPr>
            <w:tcW w:w="4236" w:type="dxa"/>
            <w:gridSpan w:val="3"/>
            <w:tcBorders>
              <w:top w:val="nil"/>
              <w:left w:val="nil"/>
              <w:bottom w:val="nil"/>
              <w:right w:val="nil"/>
            </w:tcBorders>
            <w:noWrap/>
            <w:vAlign w:val="bottom"/>
            <w:hideMark/>
          </w:tcPr>
          <w:p w14:paraId="787C333A" w14:textId="77777777" w:rsidR="00C55849" w:rsidRPr="00131BA8" w:rsidRDefault="00C55849" w:rsidP="008F1316">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National Monthly Median Income</w:t>
            </w:r>
          </w:p>
        </w:tc>
      </w:tr>
      <w:tr w:rsidR="00C55849" w:rsidRPr="00131BA8" w14:paraId="6BDC42E6" w14:textId="77777777" w:rsidTr="008F1316">
        <w:trPr>
          <w:trHeight w:val="173"/>
        </w:trPr>
        <w:tc>
          <w:tcPr>
            <w:tcW w:w="1440" w:type="dxa"/>
            <w:tcBorders>
              <w:top w:val="nil"/>
              <w:left w:val="nil"/>
              <w:bottom w:val="nil"/>
              <w:right w:val="nil"/>
            </w:tcBorders>
            <w:noWrap/>
            <w:vAlign w:val="bottom"/>
            <w:hideMark/>
          </w:tcPr>
          <w:p w14:paraId="00C03A52"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28.0%</w:t>
            </w:r>
          </w:p>
        </w:tc>
        <w:tc>
          <w:tcPr>
            <w:tcW w:w="2880" w:type="dxa"/>
            <w:gridSpan w:val="2"/>
            <w:tcBorders>
              <w:top w:val="nil"/>
              <w:left w:val="nil"/>
              <w:bottom w:val="nil"/>
              <w:right w:val="nil"/>
            </w:tcBorders>
            <w:noWrap/>
            <w:vAlign w:val="bottom"/>
            <w:hideMark/>
          </w:tcPr>
          <w:p w14:paraId="698A11E3" w14:textId="77777777" w:rsidR="00C55849" w:rsidRPr="00131BA8" w:rsidRDefault="00C55849" w:rsidP="008F1316">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Debt-To-Income Ratio</w:t>
            </w:r>
          </w:p>
        </w:tc>
        <w:tc>
          <w:tcPr>
            <w:tcW w:w="1356" w:type="dxa"/>
            <w:tcBorders>
              <w:top w:val="nil"/>
              <w:left w:val="nil"/>
              <w:bottom w:val="nil"/>
              <w:right w:val="nil"/>
            </w:tcBorders>
            <w:noWrap/>
            <w:vAlign w:val="bottom"/>
            <w:hideMark/>
          </w:tcPr>
          <w:p w14:paraId="70DD10D9" w14:textId="77777777" w:rsidR="00C55849" w:rsidRPr="00131BA8" w:rsidRDefault="00C55849" w:rsidP="008F1316">
            <w:pPr>
              <w:keepNext/>
              <w:keepLines/>
              <w:ind w:firstLine="0"/>
              <w:jc w:val="center"/>
              <w:rPr>
                <w:rFonts w:eastAsia="Times New Roman" w:cs="Times New Roman"/>
                <w:color w:val="000000"/>
                <w:sz w:val="18"/>
                <w:szCs w:val="18"/>
                <w:lang w:bidi="ar-SA"/>
              </w:rPr>
            </w:pPr>
          </w:p>
        </w:tc>
      </w:tr>
      <w:tr w:rsidR="00C55849" w:rsidRPr="00131BA8" w14:paraId="00965CB8" w14:textId="77777777" w:rsidTr="008F1316">
        <w:trPr>
          <w:trHeight w:val="173"/>
        </w:trPr>
        <w:tc>
          <w:tcPr>
            <w:tcW w:w="1440" w:type="dxa"/>
            <w:tcBorders>
              <w:top w:val="nil"/>
              <w:left w:val="nil"/>
              <w:bottom w:val="nil"/>
              <w:right w:val="nil"/>
            </w:tcBorders>
            <w:noWrap/>
            <w:vAlign w:val="bottom"/>
            <w:hideMark/>
          </w:tcPr>
          <w:p w14:paraId="7BFF6B4F"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1,106.54 </w:t>
            </w:r>
          </w:p>
        </w:tc>
        <w:tc>
          <w:tcPr>
            <w:tcW w:w="2880" w:type="dxa"/>
            <w:gridSpan w:val="2"/>
            <w:tcBorders>
              <w:top w:val="nil"/>
              <w:left w:val="nil"/>
              <w:bottom w:val="nil"/>
              <w:right w:val="nil"/>
            </w:tcBorders>
            <w:noWrap/>
            <w:vAlign w:val="bottom"/>
            <w:hideMark/>
          </w:tcPr>
          <w:p w14:paraId="10C4BC59" w14:textId="77777777" w:rsidR="00C55849" w:rsidRPr="00131BA8" w:rsidRDefault="00C55849" w:rsidP="008F1316">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Monthly Payment</w:t>
            </w:r>
          </w:p>
        </w:tc>
        <w:tc>
          <w:tcPr>
            <w:tcW w:w="1356" w:type="dxa"/>
            <w:tcBorders>
              <w:top w:val="nil"/>
              <w:left w:val="nil"/>
              <w:bottom w:val="nil"/>
              <w:right w:val="nil"/>
            </w:tcBorders>
            <w:noWrap/>
            <w:vAlign w:val="bottom"/>
            <w:hideMark/>
          </w:tcPr>
          <w:p w14:paraId="667A658A" w14:textId="77777777" w:rsidR="00C55849" w:rsidRPr="00131BA8" w:rsidRDefault="00C55849" w:rsidP="008F1316">
            <w:pPr>
              <w:keepNext/>
              <w:keepLines/>
              <w:ind w:firstLine="0"/>
              <w:jc w:val="center"/>
              <w:rPr>
                <w:rFonts w:eastAsia="Times New Roman" w:cs="Times New Roman"/>
                <w:color w:val="000000"/>
                <w:sz w:val="18"/>
                <w:szCs w:val="18"/>
                <w:lang w:bidi="ar-SA"/>
              </w:rPr>
            </w:pPr>
          </w:p>
        </w:tc>
      </w:tr>
      <w:tr w:rsidR="00C55849" w:rsidRPr="00131BA8" w14:paraId="3246B827" w14:textId="77777777" w:rsidTr="00131E40">
        <w:trPr>
          <w:trHeight w:val="173"/>
        </w:trPr>
        <w:tc>
          <w:tcPr>
            <w:tcW w:w="1440" w:type="dxa"/>
            <w:tcBorders>
              <w:top w:val="nil"/>
              <w:left w:val="nil"/>
              <w:bottom w:val="single" w:sz="4" w:space="0" w:color="auto"/>
              <w:right w:val="nil"/>
            </w:tcBorders>
            <w:noWrap/>
            <w:vAlign w:val="bottom"/>
            <w:hideMark/>
          </w:tcPr>
          <w:p w14:paraId="236F9C71" w14:textId="77777777" w:rsidR="00C55849" w:rsidRPr="00131BA8" w:rsidRDefault="00C55849" w:rsidP="008F1316">
            <w:pPr>
              <w:keepNext/>
              <w:keepLines/>
              <w:ind w:firstLine="0"/>
              <w:jc w:val="center"/>
              <w:rPr>
                <w:rFonts w:eastAsia="Times New Roman" w:cs="Times New Roman"/>
                <w:color w:val="000000"/>
                <w:sz w:val="18"/>
                <w:szCs w:val="18"/>
                <w:lang w:bidi="ar-SA"/>
              </w:rPr>
            </w:pPr>
          </w:p>
        </w:tc>
        <w:tc>
          <w:tcPr>
            <w:tcW w:w="1434" w:type="dxa"/>
            <w:tcBorders>
              <w:top w:val="nil"/>
              <w:left w:val="nil"/>
              <w:bottom w:val="single" w:sz="4" w:space="0" w:color="auto"/>
              <w:right w:val="nil"/>
            </w:tcBorders>
            <w:noWrap/>
            <w:vAlign w:val="bottom"/>
            <w:hideMark/>
          </w:tcPr>
          <w:p w14:paraId="0BD16B3B" w14:textId="77777777" w:rsidR="00C55849" w:rsidRPr="00131BA8" w:rsidRDefault="00C55849" w:rsidP="008F1316">
            <w:pPr>
              <w:keepNext/>
              <w:keepLines/>
              <w:ind w:firstLine="0"/>
              <w:jc w:val="center"/>
              <w:rPr>
                <w:rFonts w:eastAsia="Times New Roman" w:cs="Times New Roman"/>
                <w:color w:val="000000"/>
                <w:sz w:val="18"/>
                <w:szCs w:val="18"/>
                <w:lang w:bidi="ar-SA"/>
              </w:rPr>
            </w:pPr>
          </w:p>
        </w:tc>
        <w:tc>
          <w:tcPr>
            <w:tcW w:w="1446" w:type="dxa"/>
            <w:tcBorders>
              <w:top w:val="nil"/>
              <w:left w:val="nil"/>
              <w:bottom w:val="single" w:sz="4" w:space="0" w:color="auto"/>
              <w:right w:val="nil"/>
            </w:tcBorders>
            <w:noWrap/>
            <w:vAlign w:val="bottom"/>
            <w:hideMark/>
          </w:tcPr>
          <w:p w14:paraId="7C0B5CAE" w14:textId="77777777" w:rsidR="00C55849" w:rsidRPr="00131BA8" w:rsidRDefault="00C55849" w:rsidP="008F1316">
            <w:pPr>
              <w:keepNext/>
              <w:keepLines/>
              <w:ind w:firstLine="0"/>
              <w:jc w:val="center"/>
              <w:rPr>
                <w:rFonts w:eastAsia="Times New Roman" w:cs="Times New Roman"/>
                <w:color w:val="000000"/>
                <w:sz w:val="18"/>
                <w:szCs w:val="18"/>
                <w:lang w:bidi="ar-SA"/>
              </w:rPr>
            </w:pPr>
          </w:p>
        </w:tc>
        <w:tc>
          <w:tcPr>
            <w:tcW w:w="1356" w:type="dxa"/>
            <w:tcBorders>
              <w:top w:val="nil"/>
              <w:left w:val="nil"/>
              <w:bottom w:val="single" w:sz="4" w:space="0" w:color="auto"/>
              <w:right w:val="nil"/>
            </w:tcBorders>
            <w:noWrap/>
            <w:vAlign w:val="bottom"/>
            <w:hideMark/>
          </w:tcPr>
          <w:p w14:paraId="5AEF8824" w14:textId="77777777" w:rsidR="00C55849" w:rsidRPr="00131BA8" w:rsidRDefault="00C55849" w:rsidP="008F1316">
            <w:pPr>
              <w:keepNext/>
              <w:keepLines/>
              <w:ind w:firstLine="0"/>
              <w:jc w:val="center"/>
              <w:rPr>
                <w:rFonts w:eastAsia="Times New Roman" w:cs="Times New Roman"/>
                <w:color w:val="000000"/>
                <w:sz w:val="18"/>
                <w:szCs w:val="18"/>
                <w:lang w:bidi="ar-SA"/>
              </w:rPr>
            </w:pPr>
          </w:p>
        </w:tc>
      </w:tr>
      <w:tr w:rsidR="00C55849" w:rsidRPr="00131BA8" w14:paraId="75F32D0B" w14:textId="77777777" w:rsidTr="00131E40">
        <w:trPr>
          <w:trHeight w:val="173"/>
        </w:trPr>
        <w:tc>
          <w:tcPr>
            <w:tcW w:w="1440" w:type="dxa"/>
            <w:tcBorders>
              <w:top w:val="single" w:sz="4" w:space="0" w:color="auto"/>
              <w:left w:val="nil"/>
              <w:bottom w:val="double" w:sz="6" w:space="0" w:color="auto"/>
              <w:right w:val="nil"/>
            </w:tcBorders>
            <w:noWrap/>
            <w:vAlign w:val="bottom"/>
            <w:hideMark/>
          </w:tcPr>
          <w:p w14:paraId="5E13794C" w14:textId="77777777" w:rsidR="00C55849" w:rsidRPr="00131BA8" w:rsidRDefault="00C55849" w:rsidP="008F1316">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Interest Rate</w:t>
            </w:r>
          </w:p>
        </w:tc>
        <w:tc>
          <w:tcPr>
            <w:tcW w:w="1434" w:type="dxa"/>
            <w:tcBorders>
              <w:top w:val="single" w:sz="4" w:space="0" w:color="auto"/>
              <w:left w:val="nil"/>
              <w:bottom w:val="double" w:sz="6" w:space="0" w:color="auto"/>
              <w:right w:val="nil"/>
            </w:tcBorders>
            <w:noWrap/>
            <w:vAlign w:val="bottom"/>
            <w:hideMark/>
          </w:tcPr>
          <w:p w14:paraId="2C213D3D" w14:textId="77777777" w:rsidR="00C55849" w:rsidRPr="00131BA8" w:rsidRDefault="00C55849" w:rsidP="008F1316">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Loan Amount</w:t>
            </w:r>
          </w:p>
        </w:tc>
        <w:tc>
          <w:tcPr>
            <w:tcW w:w="1446" w:type="dxa"/>
            <w:tcBorders>
              <w:top w:val="single" w:sz="4" w:space="0" w:color="auto"/>
              <w:left w:val="nil"/>
              <w:bottom w:val="double" w:sz="6" w:space="0" w:color="auto"/>
              <w:right w:val="nil"/>
            </w:tcBorders>
            <w:noWrap/>
            <w:vAlign w:val="bottom"/>
            <w:hideMark/>
          </w:tcPr>
          <w:p w14:paraId="123724D4" w14:textId="77777777" w:rsidR="00C55849" w:rsidRPr="00131BA8" w:rsidRDefault="00C55849" w:rsidP="008F1316">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Value</w:t>
            </w:r>
          </w:p>
        </w:tc>
        <w:tc>
          <w:tcPr>
            <w:tcW w:w="1356" w:type="dxa"/>
            <w:tcBorders>
              <w:top w:val="single" w:sz="4" w:space="0" w:color="auto"/>
              <w:left w:val="nil"/>
              <w:bottom w:val="double" w:sz="6" w:space="0" w:color="auto"/>
              <w:right w:val="nil"/>
            </w:tcBorders>
            <w:noWrap/>
            <w:vAlign w:val="bottom"/>
            <w:hideMark/>
          </w:tcPr>
          <w:p w14:paraId="688CA06C" w14:textId="77777777" w:rsidR="00C55849" w:rsidRPr="00131BA8" w:rsidRDefault="00C55849" w:rsidP="008F1316">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Value Change</w:t>
            </w:r>
          </w:p>
        </w:tc>
      </w:tr>
      <w:tr w:rsidR="00C55849" w:rsidRPr="00131BA8" w14:paraId="600519D6" w14:textId="77777777" w:rsidTr="00131E40">
        <w:trPr>
          <w:trHeight w:val="173"/>
        </w:trPr>
        <w:tc>
          <w:tcPr>
            <w:tcW w:w="1440" w:type="dxa"/>
            <w:tcBorders>
              <w:top w:val="double" w:sz="6" w:space="0" w:color="auto"/>
              <w:left w:val="nil"/>
              <w:bottom w:val="nil"/>
              <w:right w:val="nil"/>
            </w:tcBorders>
            <w:noWrap/>
            <w:vAlign w:val="bottom"/>
            <w:hideMark/>
          </w:tcPr>
          <w:p w14:paraId="0D13E8B9"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4.5%</w:t>
            </w:r>
          </w:p>
        </w:tc>
        <w:tc>
          <w:tcPr>
            <w:tcW w:w="1434" w:type="dxa"/>
            <w:tcBorders>
              <w:top w:val="double" w:sz="6" w:space="0" w:color="auto"/>
              <w:left w:val="nil"/>
              <w:bottom w:val="nil"/>
              <w:right w:val="nil"/>
            </w:tcBorders>
            <w:noWrap/>
            <w:vAlign w:val="bottom"/>
            <w:hideMark/>
          </w:tcPr>
          <w:p w14:paraId="4FD3C012"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218,387 </w:t>
            </w:r>
          </w:p>
        </w:tc>
        <w:tc>
          <w:tcPr>
            <w:tcW w:w="1446" w:type="dxa"/>
            <w:tcBorders>
              <w:top w:val="double" w:sz="6" w:space="0" w:color="auto"/>
              <w:left w:val="nil"/>
              <w:bottom w:val="nil"/>
              <w:right w:val="nil"/>
            </w:tcBorders>
            <w:noWrap/>
            <w:vAlign w:val="bottom"/>
            <w:hideMark/>
          </w:tcPr>
          <w:p w14:paraId="097C5B98"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272,984 </w:t>
            </w:r>
          </w:p>
        </w:tc>
        <w:tc>
          <w:tcPr>
            <w:tcW w:w="1356" w:type="dxa"/>
            <w:tcBorders>
              <w:top w:val="double" w:sz="6" w:space="0" w:color="auto"/>
              <w:left w:val="nil"/>
              <w:bottom w:val="nil"/>
              <w:right w:val="nil"/>
            </w:tcBorders>
            <w:noWrap/>
            <w:vAlign w:val="bottom"/>
            <w:hideMark/>
          </w:tcPr>
          <w:p w14:paraId="02D27CA9"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18%</w:t>
            </w:r>
          </w:p>
        </w:tc>
      </w:tr>
      <w:tr w:rsidR="00C55849" w:rsidRPr="00131BA8" w14:paraId="3026AE01" w14:textId="77777777" w:rsidTr="008F1316">
        <w:trPr>
          <w:trHeight w:val="173"/>
        </w:trPr>
        <w:tc>
          <w:tcPr>
            <w:tcW w:w="1440" w:type="dxa"/>
            <w:tcBorders>
              <w:top w:val="nil"/>
              <w:left w:val="nil"/>
              <w:bottom w:val="nil"/>
              <w:right w:val="nil"/>
            </w:tcBorders>
            <w:noWrap/>
            <w:vAlign w:val="bottom"/>
            <w:hideMark/>
          </w:tcPr>
          <w:p w14:paraId="3EBD1AA9"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5.0%</w:t>
            </w:r>
          </w:p>
        </w:tc>
        <w:tc>
          <w:tcPr>
            <w:tcW w:w="1434" w:type="dxa"/>
            <w:tcBorders>
              <w:top w:val="nil"/>
              <w:left w:val="nil"/>
              <w:bottom w:val="nil"/>
              <w:right w:val="nil"/>
            </w:tcBorders>
            <w:noWrap/>
            <w:vAlign w:val="bottom"/>
            <w:hideMark/>
          </w:tcPr>
          <w:p w14:paraId="77B48FCC"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206,127 </w:t>
            </w:r>
          </w:p>
        </w:tc>
        <w:tc>
          <w:tcPr>
            <w:tcW w:w="1446" w:type="dxa"/>
            <w:tcBorders>
              <w:top w:val="nil"/>
              <w:left w:val="nil"/>
              <w:bottom w:val="nil"/>
              <w:right w:val="nil"/>
            </w:tcBorders>
            <w:noWrap/>
            <w:vAlign w:val="bottom"/>
            <w:hideMark/>
          </w:tcPr>
          <w:p w14:paraId="64FD6D1C"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257,659 </w:t>
            </w:r>
          </w:p>
        </w:tc>
        <w:tc>
          <w:tcPr>
            <w:tcW w:w="1356" w:type="dxa"/>
            <w:tcBorders>
              <w:top w:val="nil"/>
              <w:left w:val="nil"/>
              <w:bottom w:val="nil"/>
              <w:right w:val="nil"/>
            </w:tcBorders>
            <w:noWrap/>
            <w:vAlign w:val="bottom"/>
            <w:hideMark/>
          </w:tcPr>
          <w:p w14:paraId="694FA981"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12%</w:t>
            </w:r>
          </w:p>
        </w:tc>
      </w:tr>
      <w:tr w:rsidR="00C55849" w:rsidRPr="00131BA8" w14:paraId="22189ECF" w14:textId="77777777" w:rsidTr="008F1316">
        <w:trPr>
          <w:trHeight w:val="173"/>
        </w:trPr>
        <w:tc>
          <w:tcPr>
            <w:tcW w:w="1440" w:type="dxa"/>
            <w:tcBorders>
              <w:top w:val="nil"/>
              <w:left w:val="nil"/>
              <w:bottom w:val="nil"/>
              <w:right w:val="nil"/>
            </w:tcBorders>
            <w:noWrap/>
            <w:vAlign w:val="bottom"/>
            <w:hideMark/>
          </w:tcPr>
          <w:p w14:paraId="56EE24AB"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5.5%</w:t>
            </w:r>
          </w:p>
        </w:tc>
        <w:tc>
          <w:tcPr>
            <w:tcW w:w="1434" w:type="dxa"/>
            <w:tcBorders>
              <w:top w:val="nil"/>
              <w:left w:val="nil"/>
              <w:bottom w:val="nil"/>
              <w:right w:val="nil"/>
            </w:tcBorders>
            <w:noWrap/>
            <w:vAlign w:val="bottom"/>
            <w:hideMark/>
          </w:tcPr>
          <w:p w14:paraId="090198D4"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194,885 </w:t>
            </w:r>
          </w:p>
        </w:tc>
        <w:tc>
          <w:tcPr>
            <w:tcW w:w="1446" w:type="dxa"/>
            <w:tcBorders>
              <w:top w:val="nil"/>
              <w:left w:val="nil"/>
              <w:bottom w:val="nil"/>
              <w:right w:val="nil"/>
            </w:tcBorders>
            <w:noWrap/>
            <w:vAlign w:val="bottom"/>
            <w:hideMark/>
          </w:tcPr>
          <w:p w14:paraId="1D50B54A"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243,606 </w:t>
            </w:r>
          </w:p>
        </w:tc>
        <w:tc>
          <w:tcPr>
            <w:tcW w:w="1356" w:type="dxa"/>
            <w:tcBorders>
              <w:top w:val="nil"/>
              <w:left w:val="nil"/>
              <w:bottom w:val="nil"/>
              <w:right w:val="nil"/>
            </w:tcBorders>
            <w:noWrap/>
            <w:vAlign w:val="bottom"/>
            <w:hideMark/>
          </w:tcPr>
          <w:p w14:paraId="3C479B2B"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w:t>
            </w:r>
          </w:p>
        </w:tc>
      </w:tr>
      <w:tr w:rsidR="00C55849" w:rsidRPr="00131BA8" w14:paraId="58F0C4D2" w14:textId="77777777" w:rsidTr="008F1316">
        <w:trPr>
          <w:trHeight w:val="173"/>
        </w:trPr>
        <w:tc>
          <w:tcPr>
            <w:tcW w:w="1440" w:type="dxa"/>
            <w:tcBorders>
              <w:top w:val="nil"/>
              <w:left w:val="nil"/>
              <w:bottom w:val="nil"/>
              <w:right w:val="nil"/>
            </w:tcBorders>
            <w:shd w:val="clear" w:color="000000" w:fill="D8D8D8"/>
            <w:noWrap/>
            <w:vAlign w:val="bottom"/>
            <w:hideMark/>
          </w:tcPr>
          <w:p w14:paraId="25912B0A"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6.0%</w:t>
            </w:r>
          </w:p>
        </w:tc>
        <w:tc>
          <w:tcPr>
            <w:tcW w:w="1434" w:type="dxa"/>
            <w:tcBorders>
              <w:top w:val="nil"/>
              <w:left w:val="nil"/>
              <w:bottom w:val="nil"/>
              <w:right w:val="nil"/>
            </w:tcBorders>
            <w:shd w:val="clear" w:color="000000" w:fill="D8D8D8"/>
            <w:noWrap/>
            <w:vAlign w:val="bottom"/>
            <w:hideMark/>
          </w:tcPr>
          <w:p w14:paraId="4D2CEF2E"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184,561 </w:t>
            </w:r>
          </w:p>
        </w:tc>
        <w:tc>
          <w:tcPr>
            <w:tcW w:w="1446" w:type="dxa"/>
            <w:tcBorders>
              <w:top w:val="nil"/>
              <w:left w:val="nil"/>
              <w:bottom w:val="nil"/>
              <w:right w:val="nil"/>
            </w:tcBorders>
            <w:shd w:val="clear" w:color="000000" w:fill="D8D8D8"/>
            <w:noWrap/>
            <w:vAlign w:val="bottom"/>
            <w:hideMark/>
          </w:tcPr>
          <w:p w14:paraId="4FE09BAA"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230,701 </w:t>
            </w:r>
          </w:p>
        </w:tc>
        <w:tc>
          <w:tcPr>
            <w:tcW w:w="1356" w:type="dxa"/>
            <w:tcBorders>
              <w:top w:val="nil"/>
              <w:left w:val="nil"/>
              <w:bottom w:val="nil"/>
              <w:right w:val="nil"/>
            </w:tcBorders>
            <w:shd w:val="clear" w:color="000000" w:fill="D8D8D8"/>
            <w:noWrap/>
            <w:vAlign w:val="bottom"/>
            <w:hideMark/>
          </w:tcPr>
          <w:p w14:paraId="76C0AE6F"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0%</w:t>
            </w:r>
          </w:p>
        </w:tc>
      </w:tr>
      <w:tr w:rsidR="00C55849" w:rsidRPr="00131BA8" w14:paraId="250AD198" w14:textId="77777777" w:rsidTr="008F1316">
        <w:trPr>
          <w:trHeight w:val="173"/>
        </w:trPr>
        <w:tc>
          <w:tcPr>
            <w:tcW w:w="1440" w:type="dxa"/>
            <w:tcBorders>
              <w:top w:val="nil"/>
              <w:left w:val="nil"/>
              <w:bottom w:val="nil"/>
              <w:right w:val="nil"/>
            </w:tcBorders>
            <w:noWrap/>
            <w:vAlign w:val="bottom"/>
            <w:hideMark/>
          </w:tcPr>
          <w:p w14:paraId="27BB86BB"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6.4%</w:t>
            </w:r>
          </w:p>
        </w:tc>
        <w:tc>
          <w:tcPr>
            <w:tcW w:w="1434" w:type="dxa"/>
            <w:tcBorders>
              <w:top w:val="nil"/>
              <w:left w:val="nil"/>
              <w:bottom w:val="nil"/>
              <w:right w:val="nil"/>
            </w:tcBorders>
            <w:noWrap/>
            <w:vAlign w:val="bottom"/>
            <w:hideMark/>
          </w:tcPr>
          <w:p w14:paraId="602C70A0"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177,046 </w:t>
            </w:r>
          </w:p>
        </w:tc>
        <w:tc>
          <w:tcPr>
            <w:tcW w:w="1446" w:type="dxa"/>
            <w:tcBorders>
              <w:top w:val="nil"/>
              <w:left w:val="nil"/>
              <w:bottom w:val="nil"/>
              <w:right w:val="nil"/>
            </w:tcBorders>
            <w:noWrap/>
            <w:vAlign w:val="bottom"/>
            <w:hideMark/>
          </w:tcPr>
          <w:p w14:paraId="23E988E9"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221,307 </w:t>
            </w:r>
          </w:p>
        </w:tc>
        <w:tc>
          <w:tcPr>
            <w:tcW w:w="1356" w:type="dxa"/>
            <w:tcBorders>
              <w:top w:val="nil"/>
              <w:left w:val="nil"/>
              <w:bottom w:val="nil"/>
              <w:right w:val="nil"/>
            </w:tcBorders>
            <w:noWrap/>
            <w:vAlign w:val="bottom"/>
            <w:hideMark/>
          </w:tcPr>
          <w:p w14:paraId="513623DE"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w:t>
            </w:r>
          </w:p>
        </w:tc>
      </w:tr>
      <w:tr w:rsidR="00C55849" w:rsidRPr="00131BA8" w14:paraId="405BCE98" w14:textId="77777777" w:rsidTr="008F1316">
        <w:trPr>
          <w:trHeight w:val="173"/>
        </w:trPr>
        <w:tc>
          <w:tcPr>
            <w:tcW w:w="1440" w:type="dxa"/>
            <w:tcBorders>
              <w:top w:val="nil"/>
              <w:left w:val="nil"/>
              <w:bottom w:val="nil"/>
              <w:right w:val="nil"/>
            </w:tcBorders>
            <w:noWrap/>
            <w:vAlign w:val="bottom"/>
            <w:hideMark/>
          </w:tcPr>
          <w:p w14:paraId="2B1774CF"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7.0%</w:t>
            </w:r>
          </w:p>
        </w:tc>
        <w:tc>
          <w:tcPr>
            <w:tcW w:w="1434" w:type="dxa"/>
            <w:tcBorders>
              <w:top w:val="nil"/>
              <w:left w:val="nil"/>
              <w:bottom w:val="nil"/>
              <w:right w:val="nil"/>
            </w:tcBorders>
            <w:noWrap/>
            <w:vAlign w:val="bottom"/>
            <w:hideMark/>
          </w:tcPr>
          <w:p w14:paraId="3DE8F2B4"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166,321 </w:t>
            </w:r>
          </w:p>
        </w:tc>
        <w:tc>
          <w:tcPr>
            <w:tcW w:w="1446" w:type="dxa"/>
            <w:tcBorders>
              <w:top w:val="nil"/>
              <w:left w:val="nil"/>
              <w:bottom w:val="nil"/>
              <w:right w:val="nil"/>
            </w:tcBorders>
            <w:noWrap/>
            <w:vAlign w:val="bottom"/>
            <w:hideMark/>
          </w:tcPr>
          <w:p w14:paraId="2CB3C480"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207,901 </w:t>
            </w:r>
          </w:p>
        </w:tc>
        <w:tc>
          <w:tcPr>
            <w:tcW w:w="1356" w:type="dxa"/>
            <w:tcBorders>
              <w:top w:val="nil"/>
              <w:left w:val="nil"/>
              <w:bottom w:val="nil"/>
              <w:right w:val="nil"/>
            </w:tcBorders>
            <w:noWrap/>
            <w:vAlign w:val="bottom"/>
            <w:hideMark/>
          </w:tcPr>
          <w:p w14:paraId="07862591"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-10%</w:t>
            </w:r>
          </w:p>
        </w:tc>
      </w:tr>
      <w:tr w:rsidR="00C55849" w:rsidRPr="00131BA8" w14:paraId="7D846DC9" w14:textId="77777777" w:rsidTr="008F1316">
        <w:trPr>
          <w:trHeight w:val="173"/>
        </w:trPr>
        <w:tc>
          <w:tcPr>
            <w:tcW w:w="1440" w:type="dxa"/>
            <w:tcBorders>
              <w:top w:val="nil"/>
              <w:left w:val="nil"/>
              <w:bottom w:val="nil"/>
              <w:right w:val="nil"/>
            </w:tcBorders>
            <w:noWrap/>
            <w:vAlign w:val="bottom"/>
            <w:hideMark/>
          </w:tcPr>
          <w:p w14:paraId="1D11696C"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7.5%</w:t>
            </w:r>
          </w:p>
        </w:tc>
        <w:tc>
          <w:tcPr>
            <w:tcW w:w="1434" w:type="dxa"/>
            <w:tcBorders>
              <w:top w:val="nil"/>
              <w:left w:val="nil"/>
              <w:bottom w:val="nil"/>
              <w:right w:val="nil"/>
            </w:tcBorders>
            <w:noWrap/>
            <w:vAlign w:val="bottom"/>
            <w:hideMark/>
          </w:tcPr>
          <w:p w14:paraId="400623A9"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158,254 </w:t>
            </w:r>
          </w:p>
        </w:tc>
        <w:tc>
          <w:tcPr>
            <w:tcW w:w="1446" w:type="dxa"/>
            <w:tcBorders>
              <w:top w:val="nil"/>
              <w:left w:val="nil"/>
              <w:bottom w:val="nil"/>
              <w:right w:val="nil"/>
            </w:tcBorders>
            <w:noWrap/>
            <w:vAlign w:val="bottom"/>
            <w:hideMark/>
          </w:tcPr>
          <w:p w14:paraId="4692D28D"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197,818 </w:t>
            </w:r>
          </w:p>
        </w:tc>
        <w:tc>
          <w:tcPr>
            <w:tcW w:w="1356" w:type="dxa"/>
            <w:tcBorders>
              <w:top w:val="nil"/>
              <w:left w:val="nil"/>
              <w:bottom w:val="nil"/>
              <w:right w:val="nil"/>
            </w:tcBorders>
            <w:noWrap/>
            <w:vAlign w:val="bottom"/>
            <w:hideMark/>
          </w:tcPr>
          <w:p w14:paraId="09A441FE"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-14%</w:t>
            </w:r>
          </w:p>
        </w:tc>
      </w:tr>
      <w:tr w:rsidR="00C55849" w:rsidRPr="00131BA8" w14:paraId="7FF80BF9" w14:textId="77777777" w:rsidTr="008F1316">
        <w:trPr>
          <w:trHeight w:val="173"/>
        </w:trPr>
        <w:tc>
          <w:tcPr>
            <w:tcW w:w="1440" w:type="dxa"/>
            <w:tcBorders>
              <w:top w:val="nil"/>
              <w:left w:val="nil"/>
              <w:bottom w:val="nil"/>
              <w:right w:val="nil"/>
            </w:tcBorders>
            <w:noWrap/>
            <w:vAlign w:val="bottom"/>
            <w:hideMark/>
          </w:tcPr>
          <w:p w14:paraId="5C74A0EB"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8.0%</w:t>
            </w:r>
          </w:p>
        </w:tc>
        <w:tc>
          <w:tcPr>
            <w:tcW w:w="1434" w:type="dxa"/>
            <w:tcBorders>
              <w:top w:val="nil"/>
              <w:left w:val="nil"/>
              <w:bottom w:val="nil"/>
              <w:right w:val="nil"/>
            </w:tcBorders>
            <w:noWrap/>
            <w:vAlign w:val="bottom"/>
            <w:hideMark/>
          </w:tcPr>
          <w:p w14:paraId="014E3C9A"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150,803 </w:t>
            </w:r>
          </w:p>
        </w:tc>
        <w:tc>
          <w:tcPr>
            <w:tcW w:w="1446" w:type="dxa"/>
            <w:tcBorders>
              <w:top w:val="nil"/>
              <w:left w:val="nil"/>
              <w:bottom w:val="nil"/>
              <w:right w:val="nil"/>
            </w:tcBorders>
            <w:noWrap/>
            <w:vAlign w:val="bottom"/>
            <w:hideMark/>
          </w:tcPr>
          <w:p w14:paraId="3177A2A2"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188,503 </w:t>
            </w:r>
          </w:p>
        </w:tc>
        <w:tc>
          <w:tcPr>
            <w:tcW w:w="1356" w:type="dxa"/>
            <w:tcBorders>
              <w:top w:val="nil"/>
              <w:left w:val="nil"/>
              <w:bottom w:val="nil"/>
              <w:right w:val="nil"/>
            </w:tcBorders>
            <w:noWrap/>
            <w:vAlign w:val="bottom"/>
            <w:hideMark/>
          </w:tcPr>
          <w:p w14:paraId="55A6EDA7"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-18%</w:t>
            </w:r>
          </w:p>
        </w:tc>
      </w:tr>
      <w:tr w:rsidR="00C55849" w:rsidRPr="00131BA8" w14:paraId="469992C2" w14:textId="77777777" w:rsidTr="008F1316">
        <w:trPr>
          <w:trHeight w:val="173"/>
        </w:trPr>
        <w:tc>
          <w:tcPr>
            <w:tcW w:w="1440" w:type="dxa"/>
            <w:tcBorders>
              <w:top w:val="nil"/>
              <w:left w:val="nil"/>
              <w:bottom w:val="nil"/>
              <w:right w:val="nil"/>
            </w:tcBorders>
            <w:noWrap/>
            <w:vAlign w:val="bottom"/>
            <w:hideMark/>
          </w:tcPr>
          <w:p w14:paraId="69F0520E"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8.5%</w:t>
            </w:r>
          </w:p>
        </w:tc>
        <w:tc>
          <w:tcPr>
            <w:tcW w:w="1434" w:type="dxa"/>
            <w:tcBorders>
              <w:top w:val="nil"/>
              <w:left w:val="nil"/>
              <w:bottom w:val="nil"/>
              <w:right w:val="nil"/>
            </w:tcBorders>
            <w:noWrap/>
            <w:vAlign w:val="bottom"/>
            <w:hideMark/>
          </w:tcPr>
          <w:p w14:paraId="4388D401"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143,909 </w:t>
            </w:r>
          </w:p>
        </w:tc>
        <w:tc>
          <w:tcPr>
            <w:tcW w:w="1446" w:type="dxa"/>
            <w:tcBorders>
              <w:top w:val="nil"/>
              <w:left w:val="nil"/>
              <w:bottom w:val="nil"/>
              <w:right w:val="nil"/>
            </w:tcBorders>
            <w:noWrap/>
            <w:vAlign w:val="bottom"/>
            <w:hideMark/>
          </w:tcPr>
          <w:p w14:paraId="7339F9EF"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179,886 </w:t>
            </w:r>
          </w:p>
        </w:tc>
        <w:tc>
          <w:tcPr>
            <w:tcW w:w="1356" w:type="dxa"/>
            <w:tcBorders>
              <w:top w:val="nil"/>
              <w:left w:val="nil"/>
              <w:bottom w:val="nil"/>
              <w:right w:val="nil"/>
            </w:tcBorders>
            <w:noWrap/>
            <w:vAlign w:val="bottom"/>
            <w:hideMark/>
          </w:tcPr>
          <w:p w14:paraId="12364249"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-22%</w:t>
            </w:r>
          </w:p>
        </w:tc>
      </w:tr>
      <w:tr w:rsidR="00C55849" w:rsidRPr="00131BA8" w14:paraId="40014A30" w14:textId="77777777" w:rsidTr="008F1316">
        <w:trPr>
          <w:trHeight w:val="173"/>
        </w:trPr>
        <w:tc>
          <w:tcPr>
            <w:tcW w:w="1440" w:type="dxa"/>
            <w:tcBorders>
              <w:top w:val="nil"/>
              <w:left w:val="nil"/>
              <w:bottom w:val="nil"/>
              <w:right w:val="nil"/>
            </w:tcBorders>
            <w:noWrap/>
            <w:vAlign w:val="bottom"/>
            <w:hideMark/>
          </w:tcPr>
          <w:p w14:paraId="0C9FE4B6"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9.0%</w:t>
            </w:r>
          </w:p>
        </w:tc>
        <w:tc>
          <w:tcPr>
            <w:tcW w:w="1434" w:type="dxa"/>
            <w:tcBorders>
              <w:top w:val="nil"/>
              <w:left w:val="nil"/>
              <w:bottom w:val="nil"/>
              <w:right w:val="nil"/>
            </w:tcBorders>
            <w:noWrap/>
            <w:vAlign w:val="bottom"/>
            <w:hideMark/>
          </w:tcPr>
          <w:p w14:paraId="6D15D17D"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137,522 </w:t>
            </w:r>
          </w:p>
        </w:tc>
        <w:tc>
          <w:tcPr>
            <w:tcW w:w="1446" w:type="dxa"/>
            <w:tcBorders>
              <w:top w:val="nil"/>
              <w:left w:val="nil"/>
              <w:bottom w:val="nil"/>
              <w:right w:val="nil"/>
            </w:tcBorders>
            <w:noWrap/>
            <w:vAlign w:val="bottom"/>
            <w:hideMark/>
          </w:tcPr>
          <w:p w14:paraId="79128B2A"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171,903 </w:t>
            </w:r>
          </w:p>
        </w:tc>
        <w:tc>
          <w:tcPr>
            <w:tcW w:w="1356" w:type="dxa"/>
            <w:tcBorders>
              <w:top w:val="nil"/>
              <w:left w:val="nil"/>
              <w:bottom w:val="nil"/>
              <w:right w:val="nil"/>
            </w:tcBorders>
            <w:noWrap/>
            <w:vAlign w:val="bottom"/>
            <w:hideMark/>
          </w:tcPr>
          <w:p w14:paraId="5771B388"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-25%</w:t>
            </w:r>
          </w:p>
        </w:tc>
      </w:tr>
      <w:tr w:rsidR="00C55849" w:rsidRPr="00131BA8" w14:paraId="0B56417D" w14:textId="77777777" w:rsidTr="008F1316">
        <w:trPr>
          <w:trHeight w:val="173"/>
        </w:trPr>
        <w:tc>
          <w:tcPr>
            <w:tcW w:w="1440" w:type="dxa"/>
            <w:tcBorders>
              <w:top w:val="nil"/>
              <w:left w:val="nil"/>
              <w:bottom w:val="nil"/>
              <w:right w:val="nil"/>
            </w:tcBorders>
            <w:noWrap/>
            <w:vAlign w:val="bottom"/>
            <w:hideMark/>
          </w:tcPr>
          <w:p w14:paraId="0C87EEDA"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9.5%</w:t>
            </w:r>
          </w:p>
        </w:tc>
        <w:tc>
          <w:tcPr>
            <w:tcW w:w="1434" w:type="dxa"/>
            <w:tcBorders>
              <w:top w:val="nil"/>
              <w:left w:val="nil"/>
              <w:bottom w:val="nil"/>
              <w:right w:val="nil"/>
            </w:tcBorders>
            <w:noWrap/>
            <w:vAlign w:val="bottom"/>
            <w:hideMark/>
          </w:tcPr>
          <w:p w14:paraId="55E2EBBF"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131,597 </w:t>
            </w:r>
          </w:p>
        </w:tc>
        <w:tc>
          <w:tcPr>
            <w:tcW w:w="1446" w:type="dxa"/>
            <w:tcBorders>
              <w:top w:val="nil"/>
              <w:left w:val="nil"/>
              <w:bottom w:val="nil"/>
              <w:right w:val="nil"/>
            </w:tcBorders>
            <w:noWrap/>
            <w:vAlign w:val="bottom"/>
            <w:hideMark/>
          </w:tcPr>
          <w:p w14:paraId="7D7AF452"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164,496 </w:t>
            </w:r>
          </w:p>
        </w:tc>
        <w:tc>
          <w:tcPr>
            <w:tcW w:w="1356" w:type="dxa"/>
            <w:tcBorders>
              <w:top w:val="nil"/>
              <w:left w:val="nil"/>
              <w:bottom w:val="nil"/>
              <w:right w:val="nil"/>
            </w:tcBorders>
            <w:noWrap/>
            <w:vAlign w:val="bottom"/>
            <w:hideMark/>
          </w:tcPr>
          <w:p w14:paraId="70FBEA3E"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-29%</w:t>
            </w:r>
          </w:p>
        </w:tc>
      </w:tr>
      <w:tr w:rsidR="00C55849" w:rsidRPr="00131BA8" w14:paraId="37BB389B" w14:textId="77777777" w:rsidTr="008F1316">
        <w:trPr>
          <w:trHeight w:val="173"/>
        </w:trPr>
        <w:tc>
          <w:tcPr>
            <w:tcW w:w="1440" w:type="dxa"/>
            <w:tcBorders>
              <w:top w:val="nil"/>
              <w:left w:val="nil"/>
              <w:bottom w:val="nil"/>
              <w:right w:val="nil"/>
            </w:tcBorders>
            <w:noWrap/>
            <w:vAlign w:val="bottom"/>
            <w:hideMark/>
          </w:tcPr>
          <w:p w14:paraId="071B20B8"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10.0%</w:t>
            </w:r>
          </w:p>
        </w:tc>
        <w:tc>
          <w:tcPr>
            <w:tcW w:w="1434" w:type="dxa"/>
            <w:tcBorders>
              <w:top w:val="nil"/>
              <w:left w:val="nil"/>
              <w:bottom w:val="nil"/>
              <w:right w:val="nil"/>
            </w:tcBorders>
            <w:noWrap/>
            <w:vAlign w:val="bottom"/>
            <w:hideMark/>
          </w:tcPr>
          <w:p w14:paraId="36C2F12F"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126,091 </w:t>
            </w:r>
          </w:p>
        </w:tc>
        <w:tc>
          <w:tcPr>
            <w:tcW w:w="1446" w:type="dxa"/>
            <w:tcBorders>
              <w:top w:val="nil"/>
              <w:left w:val="nil"/>
              <w:bottom w:val="nil"/>
              <w:right w:val="nil"/>
            </w:tcBorders>
            <w:noWrap/>
            <w:vAlign w:val="bottom"/>
            <w:hideMark/>
          </w:tcPr>
          <w:p w14:paraId="6FAB76B5"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157,613 </w:t>
            </w:r>
          </w:p>
        </w:tc>
        <w:tc>
          <w:tcPr>
            <w:tcW w:w="1356" w:type="dxa"/>
            <w:tcBorders>
              <w:top w:val="nil"/>
              <w:left w:val="nil"/>
              <w:bottom w:val="nil"/>
              <w:right w:val="nil"/>
            </w:tcBorders>
            <w:noWrap/>
            <w:vAlign w:val="bottom"/>
            <w:hideMark/>
          </w:tcPr>
          <w:p w14:paraId="1FF5E768" w14:textId="77777777" w:rsidR="00C55849" w:rsidRPr="00131BA8" w:rsidRDefault="00C55849" w:rsidP="008F1316">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-32%</w:t>
            </w:r>
          </w:p>
        </w:tc>
      </w:tr>
      <w:tr w:rsidR="00C55849" w:rsidRPr="00131BA8" w14:paraId="10974C5B" w14:textId="77777777" w:rsidTr="008F1316">
        <w:trPr>
          <w:trHeight w:val="173"/>
        </w:trPr>
        <w:tc>
          <w:tcPr>
            <w:tcW w:w="5676" w:type="dxa"/>
            <w:gridSpan w:val="4"/>
            <w:tcBorders>
              <w:top w:val="nil"/>
              <w:left w:val="nil"/>
              <w:bottom w:val="nil"/>
              <w:right w:val="nil"/>
            </w:tcBorders>
            <w:vAlign w:val="bottom"/>
            <w:hideMark/>
          </w:tcPr>
          <w:p w14:paraId="24775226" w14:textId="77777777" w:rsidR="00C55849" w:rsidRPr="00131BA8" w:rsidRDefault="00C55849" w:rsidP="008F1316">
            <w:pPr>
              <w:keepNext/>
              <w:keepLines/>
              <w:ind w:firstLine="0"/>
              <w:rPr>
                <w:rFonts w:eastAsia="Times New Roman" w:cs="Times New Roman"/>
                <w:i/>
                <w:iCs/>
                <w:color w:val="000000"/>
                <w:sz w:val="18"/>
                <w:szCs w:val="18"/>
                <w:lang w:bidi="ar-SA"/>
              </w:rPr>
            </w:pPr>
            <w:r w:rsidRPr="00131BA8">
              <w:rPr>
                <w:rFonts w:eastAsia="Times New Roman" w:cs="Times New Roman"/>
                <w:i/>
                <w:iCs/>
                <w:color w:val="000000"/>
                <w:sz w:val="18"/>
                <w:szCs w:val="18"/>
                <w:lang w:bidi="ar-SA"/>
              </w:rPr>
              <w:t>Note: An increase in interest rates will have a strongly negative impact on house prices.</w:t>
            </w:r>
          </w:p>
        </w:tc>
      </w:tr>
    </w:tbl>
    <w:p w14:paraId="1758FCA7" w14:textId="77777777" w:rsidR="00135F65" w:rsidRPr="00EF0EDA" w:rsidRDefault="0048152B" w:rsidP="0056372B">
      <w:pPr>
        <w:pStyle w:val="Heading3"/>
      </w:pPr>
      <w:bookmarkStart w:id="137" w:name="_Toc238867344"/>
      <w:r w:rsidRPr="00EF0EDA">
        <w:t xml:space="preserve">Rising </w:t>
      </w:r>
      <w:r w:rsidR="00135F65" w:rsidRPr="00EF0EDA">
        <w:t>Interest Rates</w:t>
      </w:r>
      <w:bookmarkEnd w:id="137"/>
    </w:p>
    <w:p w14:paraId="4BE151FB" w14:textId="77777777" w:rsidR="005F1833" w:rsidRPr="00124B71" w:rsidRDefault="005F1833" w:rsidP="00C55849">
      <w:pPr>
        <w:rPr>
          <w:rFonts w:cs="Times New Roman"/>
        </w:rPr>
      </w:pPr>
      <w:r w:rsidRPr="00124B71">
        <w:rPr>
          <w:rFonts w:cs="Times New Roman"/>
        </w:rPr>
        <w:t>Mortgage interest rates</w:t>
      </w:r>
      <w:r w:rsidR="001858B5">
        <w:rPr>
          <w:rFonts w:cs="Times New Roman"/>
        </w:rPr>
        <w:fldChar w:fldCharType="begin"/>
      </w:r>
      <w:r w:rsidR="00E84A0F">
        <w:instrText xml:space="preserve"> XE "</w:instrText>
      </w:r>
      <w:r w:rsidR="00E84A0F" w:rsidRPr="00D10AE8">
        <w:rPr>
          <w:rFonts w:cs="Times New Roman"/>
        </w:rPr>
        <w:instrText>Mortgage interest rates</w:instrText>
      </w:r>
      <w:r w:rsidR="00E84A0F">
        <w:instrText xml:space="preserve">" </w:instrText>
      </w:r>
      <w:r w:rsidR="001858B5">
        <w:rPr>
          <w:rFonts w:cs="Times New Roman"/>
        </w:rPr>
        <w:fldChar w:fldCharType="end"/>
      </w:r>
      <w:r w:rsidRPr="00124B71">
        <w:rPr>
          <w:rFonts w:cs="Times New Roman"/>
        </w:rPr>
        <w:t xml:space="preserve"> are determined in an open market and are subject to the forces of supply and demand</w:t>
      </w:r>
      <w:r w:rsidR="001858B5">
        <w:rPr>
          <w:rFonts w:cs="Times New Roman"/>
        </w:rPr>
        <w:fldChar w:fldCharType="begin"/>
      </w:r>
      <w:r w:rsidR="002321D5">
        <w:instrText xml:space="preserve"> XE "</w:instrText>
      </w:r>
      <w:r w:rsidR="002321D5" w:rsidRPr="00112EC2">
        <w:rPr>
          <w:rFonts w:cs="Times New Roman"/>
        </w:rPr>
        <w:instrText>supply and demand</w:instrText>
      </w:r>
      <w:r w:rsidR="002321D5">
        <w:instrText xml:space="preserve">" </w:instrText>
      </w:r>
      <w:r w:rsidR="001858B5">
        <w:rPr>
          <w:rFonts w:cs="Times New Roman"/>
        </w:rPr>
        <w:fldChar w:fldCharType="end"/>
      </w:r>
      <w:r w:rsidRPr="00124B71">
        <w:rPr>
          <w:rFonts w:cs="Times New Roman"/>
        </w:rPr>
        <w:t>. These rates are the sum of three main components: riskless rate of return</w:t>
      </w:r>
      <w:r w:rsidR="001858B5">
        <w:rPr>
          <w:rFonts w:cs="Times New Roman"/>
        </w:rPr>
        <w:fldChar w:fldCharType="begin"/>
      </w:r>
      <w:r w:rsidR="00E84A0F">
        <w:instrText xml:space="preserve"> XE "</w:instrText>
      </w:r>
      <w:r w:rsidR="00E84A0F" w:rsidRPr="007049F4">
        <w:rPr>
          <w:rFonts w:cs="Times New Roman"/>
        </w:rPr>
        <w:instrText>riskless rate of return</w:instrText>
      </w:r>
      <w:r w:rsidR="00E84A0F">
        <w:instrText xml:space="preserve">" </w:instrText>
      </w:r>
      <w:r w:rsidR="001858B5">
        <w:rPr>
          <w:rFonts w:cs="Times New Roman"/>
        </w:rPr>
        <w:fldChar w:fldCharType="end"/>
      </w:r>
      <w:r w:rsidRPr="00124B71">
        <w:rPr>
          <w:rFonts w:cs="Times New Roman"/>
        </w:rPr>
        <w:t>, risk premium</w:t>
      </w:r>
      <w:r w:rsidR="001858B5">
        <w:rPr>
          <w:rFonts w:cs="Times New Roman"/>
        </w:rPr>
        <w:fldChar w:fldCharType="begin"/>
      </w:r>
      <w:r w:rsidR="00E84A0F">
        <w:instrText xml:space="preserve"> XE "</w:instrText>
      </w:r>
      <w:r w:rsidR="00E84A0F" w:rsidRPr="00886CD4">
        <w:rPr>
          <w:rFonts w:cs="Times New Roman"/>
        </w:rPr>
        <w:instrText>risk premium</w:instrText>
      </w:r>
      <w:r w:rsidR="00E84A0F">
        <w:instrText xml:space="preserve">" </w:instrText>
      </w:r>
      <w:r w:rsidR="001858B5">
        <w:rPr>
          <w:rFonts w:cs="Times New Roman"/>
        </w:rPr>
        <w:fldChar w:fldCharType="end"/>
      </w:r>
      <w:r w:rsidRPr="00124B71">
        <w:rPr>
          <w:rFonts w:cs="Times New Roman"/>
        </w:rPr>
        <w:t>, and inflation expectation. The Great Housing Bubble was characterized by historic lows in the federal funds rate, risk premiums and inflation expectations</w:t>
      </w:r>
      <w:r w:rsidR="00424156" w:rsidRPr="00124B71">
        <w:rPr>
          <w:rFonts w:cs="Times New Roman"/>
        </w:rPr>
        <w:t xml:space="preserve"> which resulted in the very low mortgage interest rates</w:t>
      </w:r>
      <w:r w:rsidRPr="00124B71">
        <w:rPr>
          <w:rFonts w:cs="Times New Roman"/>
        </w:rPr>
        <w:t xml:space="preserve">. </w:t>
      </w:r>
      <w:r w:rsidR="00A41BD6" w:rsidRPr="00124B71">
        <w:rPr>
          <w:rFonts w:cs="Times New Roman"/>
        </w:rPr>
        <w:t xml:space="preserve"> </w:t>
      </w:r>
      <w:r w:rsidR="0026640C" w:rsidRPr="00124B71">
        <w:rPr>
          <w:rFonts w:cs="Times New Roman"/>
        </w:rPr>
        <w:t>When</w:t>
      </w:r>
      <w:r w:rsidRPr="00124B71">
        <w:rPr>
          <w:rFonts w:cs="Times New Roman"/>
        </w:rPr>
        <w:t xml:space="preserve"> credit tightened as prices started to decline, the federal funds rate was lowered in an attempt to provide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Pr="00124B71">
        <w:rPr>
          <w:rFonts w:cs="Times New Roman"/>
        </w:rPr>
        <w:t xml:space="preserve"> to the financial markets. This did temporarily lower one of the three components of interest rates; however, since </w:t>
      </w:r>
      <w:r w:rsidR="00FA26DC" w:rsidRPr="00124B71">
        <w:rPr>
          <w:rFonts w:cs="Times New Roman"/>
        </w:rPr>
        <w:t>other central banks around the world did not immediate</w:t>
      </w:r>
      <w:r w:rsidR="0026640C" w:rsidRPr="00124B71">
        <w:rPr>
          <w:rFonts w:cs="Times New Roman"/>
        </w:rPr>
        <w:t>ly</w:t>
      </w:r>
      <w:r w:rsidR="00FA26DC" w:rsidRPr="00124B71">
        <w:rPr>
          <w:rFonts w:cs="Times New Roman"/>
        </w:rPr>
        <w:t xml:space="preserve"> follow with similar rate cuts, the value of the dollar declined and inflation began to rise. This increased the inflation expectation among investors. The impact of increased inflation expectation was greater than the drop in short-term interest rates</w:t>
      </w:r>
      <w:r w:rsidR="0026640C" w:rsidRPr="00124B71">
        <w:rPr>
          <w:rFonts w:cs="Times New Roman"/>
        </w:rPr>
        <w:t>,</w:t>
      </w:r>
      <w:r w:rsidR="00FA26DC" w:rsidRPr="00124B71">
        <w:rPr>
          <w:rFonts w:cs="Times New Roman"/>
        </w:rPr>
        <w:t xml:space="preserve"> and mortgage interest rates rose steadily. Declining prices also caused losses </w:t>
      </w:r>
      <w:r w:rsidR="0026640C" w:rsidRPr="00124B71">
        <w:rPr>
          <w:rFonts w:cs="Times New Roman"/>
        </w:rPr>
        <w:t>for</w:t>
      </w:r>
      <w:r w:rsidR="00FA26DC" w:rsidRPr="00124B71">
        <w:rPr>
          <w:rFonts w:cs="Times New Roman"/>
        </w:rPr>
        <w:t xml:space="preserve"> lenders as many borrowers defaulted on their loans and the value of the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00FA26DC" w:rsidRPr="00124B71">
        <w:rPr>
          <w:rFonts w:cs="Times New Roman"/>
        </w:rPr>
        <w:t xml:space="preserve"> was not sufficient to recover the loan balance. As lenders and investors lost money, they began to demand higher risk premiums. The greater risk premiums and higher inflation expectations caused interest rates to rise and house prices to fall.</w:t>
      </w:r>
    </w:p>
    <w:p w14:paraId="1E12F6AF" w14:textId="77777777" w:rsidR="009D2A1B" w:rsidRPr="00124B71" w:rsidRDefault="00FA26DC" w:rsidP="00C55849">
      <w:pPr>
        <w:rPr>
          <w:rFonts w:cs="Times New Roman"/>
        </w:rPr>
      </w:pPr>
      <w:r w:rsidRPr="00124B71">
        <w:rPr>
          <w:rFonts w:cs="Times New Roman"/>
        </w:rPr>
        <w:lastRenderedPageBreak/>
        <w:t>Higher interest rates had a dramatic impact on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Pr="00124B71">
        <w:rPr>
          <w:rFonts w:cs="Times New Roman"/>
        </w:rPr>
        <w:t xml:space="preserve"> as it</w:t>
      </w:r>
      <w:r w:rsidR="00135F65" w:rsidRPr="00124B71">
        <w:rPr>
          <w:rFonts w:cs="Times New Roman"/>
        </w:rPr>
        <w:t xml:space="preserve"> bec</w:t>
      </w:r>
      <w:r w:rsidRPr="00124B71">
        <w:rPr>
          <w:rFonts w:cs="Times New Roman"/>
        </w:rPr>
        <w:t>a</w:t>
      </w:r>
      <w:r w:rsidR="00135F65" w:rsidRPr="00124B71">
        <w:rPr>
          <w:rFonts w:cs="Times New Roman"/>
        </w:rPr>
        <w:t xml:space="preserve">me </w:t>
      </w:r>
      <w:r w:rsidR="00630430" w:rsidRPr="00124B71">
        <w:rPr>
          <w:rFonts w:cs="Times New Roman"/>
        </w:rPr>
        <w:t>more</w:t>
      </w:r>
      <w:r w:rsidR="00135F65" w:rsidRPr="00124B71">
        <w:rPr>
          <w:rFonts w:cs="Times New Roman"/>
        </w:rPr>
        <w:t xml:space="preserve"> expensive for borrowers.</w:t>
      </w:r>
      <w:r w:rsidRPr="00124B71">
        <w:rPr>
          <w:rFonts w:cs="Times New Roman"/>
        </w:rPr>
        <w:t xml:space="preserve"> I</w:t>
      </w:r>
      <w:r w:rsidR="00135F65" w:rsidRPr="00124B71">
        <w:rPr>
          <w:rFonts w:cs="Times New Roman"/>
        </w:rPr>
        <w:t>nterest rate spreads gr</w:t>
      </w:r>
      <w:r w:rsidRPr="00124B71">
        <w:rPr>
          <w:rFonts w:cs="Times New Roman"/>
        </w:rPr>
        <w:t>e</w:t>
      </w:r>
      <w:r w:rsidR="00135F65" w:rsidRPr="00124B71">
        <w:rPr>
          <w:rFonts w:cs="Times New Roman"/>
        </w:rPr>
        <w:t>w and the qualification standards tighten</w:t>
      </w:r>
      <w:r w:rsidRPr="00124B71">
        <w:rPr>
          <w:rFonts w:cs="Times New Roman"/>
        </w:rPr>
        <w:t>ed to the point they were not usable.</w:t>
      </w:r>
      <w:r w:rsidR="009D2A1B" w:rsidRPr="00124B71">
        <w:rPr>
          <w:rFonts w:cs="Times New Roman"/>
        </w:rPr>
        <w:t xml:space="preserve"> This was driven by the defaults and foreclosures. In the heyday of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009D2A1B" w:rsidRPr="00124B71">
        <w:rPr>
          <w:rFonts w:cs="Times New Roman"/>
        </w:rPr>
        <w:t xml:space="preserve"> loans, lenders qualified borrowers based only on the teaser rate payment without regard to whether or not they could afford the payment at reset. For more sophisticated borrowers, lenders allowed stated income or “liar loans.” Basically, borrower</w:t>
      </w:r>
      <w:r w:rsidR="0026640C" w:rsidRPr="00124B71">
        <w:rPr>
          <w:rFonts w:cs="Times New Roman"/>
        </w:rPr>
        <w:t>s</w:t>
      </w:r>
      <w:r w:rsidR="009D2A1B" w:rsidRPr="00124B71">
        <w:rPr>
          <w:rFonts w:cs="Times New Roman"/>
        </w:rPr>
        <w:t xml:space="preserve"> would tell lender</w:t>
      </w:r>
      <w:r w:rsidR="0026640C" w:rsidRPr="00124B71">
        <w:rPr>
          <w:rFonts w:cs="Times New Roman"/>
        </w:rPr>
        <w:t>s</w:t>
      </w:r>
      <w:r w:rsidR="009D2A1B" w:rsidRPr="00124B71">
        <w:rPr>
          <w:rFonts w:cs="Times New Roman"/>
        </w:rPr>
        <w:t xml:space="preserve"> how much they wanted to borrow, and lender</w:t>
      </w:r>
      <w:r w:rsidR="0026640C" w:rsidRPr="00124B71">
        <w:rPr>
          <w:rFonts w:cs="Times New Roman"/>
        </w:rPr>
        <w:t>s</w:t>
      </w:r>
      <w:r w:rsidR="009D2A1B" w:rsidRPr="00124B71">
        <w:rPr>
          <w:rFonts w:cs="Times New Roman"/>
        </w:rPr>
        <w:t xml:space="preserve"> would fill out fraudulent paperwork showing the borrower</w:t>
      </w:r>
      <w:r w:rsidR="0026640C" w:rsidRPr="00124B71">
        <w:rPr>
          <w:rFonts w:cs="Times New Roman"/>
        </w:rPr>
        <w:t>s were</w:t>
      </w:r>
      <w:r w:rsidR="009D2A1B" w:rsidRPr="00124B71">
        <w:rPr>
          <w:rFonts w:cs="Times New Roman"/>
        </w:rPr>
        <w:t xml:space="preserve"> making enough money to afford the payment</w:t>
      </w:r>
      <w:r w:rsidR="0026640C" w:rsidRPr="00124B71">
        <w:rPr>
          <w:rFonts w:cs="Times New Roman"/>
        </w:rPr>
        <w:t>s</w:t>
      </w:r>
      <w:r w:rsidR="009D2A1B" w:rsidRPr="00124B71">
        <w:rPr>
          <w:rFonts w:cs="Times New Roman"/>
        </w:rPr>
        <w:t xml:space="preserve">. This is amazingly irresponsible lending, but it was widespread. </w:t>
      </w:r>
      <w:r w:rsidR="005928E9" w:rsidRPr="00124B71">
        <w:rPr>
          <w:rFonts w:cs="Times New Roman"/>
        </w:rPr>
        <w:t>Once the price crash began,</w:t>
      </w:r>
      <w:r w:rsidR="00135F65" w:rsidRPr="00124B71">
        <w:rPr>
          <w:rFonts w:cs="Times New Roman"/>
        </w:rPr>
        <w:t xml:space="preserve"> lenders requir</w:t>
      </w:r>
      <w:r w:rsidR="005928E9" w:rsidRPr="00124B71">
        <w:rPr>
          <w:rFonts w:cs="Times New Roman"/>
        </w:rPr>
        <w:t>ed</w:t>
      </w:r>
      <w:r w:rsidR="00135F65" w:rsidRPr="00124B71">
        <w:rPr>
          <w:rFonts w:cs="Times New Roman"/>
        </w:rPr>
        <w:t xml:space="preserve"> borrowers </w:t>
      </w:r>
      <w:r w:rsidR="005928E9" w:rsidRPr="00124B71">
        <w:rPr>
          <w:rFonts w:cs="Times New Roman"/>
        </w:rPr>
        <w:t xml:space="preserve">to </w:t>
      </w:r>
      <w:r w:rsidR="00135F65" w:rsidRPr="00124B71">
        <w:rPr>
          <w:rFonts w:cs="Times New Roman"/>
        </w:rPr>
        <w:t xml:space="preserve">be able to actually afford the payments; of course, this makes many borrowers unable to obtain financing. </w:t>
      </w:r>
      <w:r w:rsidR="009D2A1B" w:rsidRPr="00124B71">
        <w:rPr>
          <w:rFonts w:cs="Times New Roman"/>
        </w:rPr>
        <w:t>When a negative amortization loan costs 13.</w:t>
      </w:r>
      <w:r w:rsidR="00424156" w:rsidRPr="00124B71">
        <w:rPr>
          <w:rFonts w:cs="Times New Roman"/>
        </w:rPr>
        <w:t>8</w:t>
      </w:r>
      <w:r w:rsidR="009D2A1B" w:rsidRPr="00124B71">
        <w:rPr>
          <w:rFonts w:cs="Times New Roman"/>
        </w:rPr>
        <w:t>% rather than 3.</w:t>
      </w:r>
      <w:r w:rsidR="00424156" w:rsidRPr="00124B71">
        <w:rPr>
          <w:rFonts w:cs="Times New Roman"/>
        </w:rPr>
        <w:t>8</w:t>
      </w:r>
      <w:r w:rsidR="009D2A1B" w:rsidRPr="00124B71">
        <w:rPr>
          <w:rFonts w:cs="Times New Roman"/>
        </w:rPr>
        <w:t>%, few borrowers wanted it, and if lenders required borrowers to actually afford the 13.</w:t>
      </w:r>
      <w:r w:rsidR="00424156" w:rsidRPr="00124B71">
        <w:rPr>
          <w:rFonts w:cs="Times New Roman"/>
        </w:rPr>
        <w:t>8</w:t>
      </w:r>
      <w:r w:rsidR="009D2A1B" w:rsidRPr="00124B71">
        <w:rPr>
          <w:rFonts w:cs="Times New Roman"/>
        </w:rPr>
        <w:t xml:space="preserve">% interest rate, few borrowers qualified. Either way, negative amortization loans died, and the fate of stated income </w:t>
      </w:r>
      <w:r w:rsidR="00335588" w:rsidRPr="00124B71">
        <w:rPr>
          <w:rFonts w:cs="Times New Roman"/>
        </w:rPr>
        <w:t xml:space="preserve">loans </w:t>
      </w:r>
      <w:r w:rsidR="009D2A1B" w:rsidRPr="00124B71">
        <w:rPr>
          <w:rFonts w:cs="Times New Roman"/>
        </w:rPr>
        <w:t>was no better.</w:t>
      </w:r>
    </w:p>
    <w:p w14:paraId="588E4BA6" w14:textId="77777777" w:rsidR="00335588" w:rsidRPr="00124B71" w:rsidRDefault="00135F65" w:rsidP="00C55849">
      <w:pPr>
        <w:rPr>
          <w:rFonts w:cs="Times New Roman"/>
        </w:rPr>
      </w:pPr>
      <w:r w:rsidRPr="00124B71">
        <w:rPr>
          <w:rFonts w:cs="Times New Roman"/>
        </w:rPr>
        <w:t xml:space="preserve">Mortgage rates for prime customers </w:t>
      </w:r>
      <w:r w:rsidR="00335588" w:rsidRPr="00124B71">
        <w:rPr>
          <w:rFonts w:cs="Times New Roman"/>
        </w:rPr>
        <w:t>we</w:t>
      </w:r>
      <w:r w:rsidRPr="00124B71">
        <w:rPr>
          <w:rFonts w:cs="Times New Roman"/>
        </w:rPr>
        <w:t>re very low because they rarely d</w:t>
      </w:r>
      <w:r w:rsidR="00335588" w:rsidRPr="00124B71">
        <w:rPr>
          <w:rFonts w:cs="Times New Roman"/>
        </w:rPr>
        <w:t xml:space="preserve">efault. During the rally few </w:t>
      </w:r>
      <w:r w:rsidRPr="00124B71">
        <w:rPr>
          <w:rFonts w:cs="Times New Roman"/>
        </w:rPr>
        <w:t>default</w:t>
      </w:r>
      <w:r w:rsidR="00335588" w:rsidRPr="00124B71">
        <w:rPr>
          <w:rFonts w:cs="Times New Roman"/>
        </w:rPr>
        <w:t>ed</w:t>
      </w:r>
      <w:r w:rsidRPr="00124B71">
        <w:rPr>
          <w:rFonts w:cs="Times New Roman"/>
        </w:rPr>
        <w:t xml:space="preserve"> because prices were rising; people just sold if they got in trouble. This allowed banks to originate risky loans at very low interest rates because the loans did</w:t>
      </w:r>
      <w:r w:rsidR="00335588" w:rsidRPr="00124B71">
        <w:rPr>
          <w:rFonts w:cs="Times New Roman"/>
        </w:rPr>
        <w:t xml:space="preserve"> </w:t>
      </w:r>
      <w:r w:rsidRPr="00124B71">
        <w:rPr>
          <w:rFonts w:cs="Times New Roman"/>
        </w:rPr>
        <w:t>n</w:t>
      </w:r>
      <w:r w:rsidR="00335588" w:rsidRPr="00124B71">
        <w:rPr>
          <w:rFonts w:cs="Times New Roman"/>
        </w:rPr>
        <w:t>o</w:t>
      </w:r>
      <w:r w:rsidRPr="00124B71">
        <w:rPr>
          <w:rFonts w:cs="Times New Roman"/>
        </w:rPr>
        <w:t xml:space="preserve">t </w:t>
      </w:r>
      <w:r w:rsidR="00E371EC" w:rsidRPr="00124B71">
        <w:rPr>
          <w:rFonts w:cs="Times New Roman"/>
        </w:rPr>
        <w:t>appear</w:t>
      </w:r>
      <w:r w:rsidRPr="00124B71">
        <w:rPr>
          <w:rFonts w:cs="Times New Roman"/>
        </w:rPr>
        <w:t xml:space="preserve"> risky. </w:t>
      </w:r>
      <w:r w:rsidR="009D2A1B" w:rsidRPr="00124B71">
        <w:rPr>
          <w:rFonts w:cs="Times New Roman"/>
        </w:rPr>
        <w:t>Once</w:t>
      </w:r>
      <w:r w:rsidRPr="00124B71">
        <w:rPr>
          <w:rFonts w:cs="Times New Roman"/>
        </w:rPr>
        <w:t xml:space="preserve"> the market stopped rising, the underlying risk </w:t>
      </w:r>
      <w:r w:rsidR="00335588" w:rsidRPr="00124B71">
        <w:rPr>
          <w:rFonts w:cs="Times New Roman"/>
        </w:rPr>
        <w:t>started</w:t>
      </w:r>
      <w:r w:rsidRPr="00124B71">
        <w:rPr>
          <w:rFonts w:cs="Times New Roman"/>
        </w:rPr>
        <w:t xml:space="preserve"> to show with increasing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E371EC" w:rsidRPr="00124B71">
        <w:rPr>
          <w:rFonts w:cs="Times New Roman"/>
        </w:rPr>
        <w:t xml:space="preserve"> and default losses</w:t>
      </w:r>
      <w:r w:rsidRPr="00124B71">
        <w:rPr>
          <w:rFonts w:cs="Times New Roman"/>
        </w:rPr>
        <w:t>.</w:t>
      </w:r>
      <w:r w:rsidR="00335588" w:rsidRPr="00124B71">
        <w:rPr>
          <w:rFonts w:cs="Times New Roman"/>
        </w:rPr>
        <w:t xml:space="preserve"> When prices crashed, default rates increased for all borrower classes. Prime</w:t>
      </w:r>
      <w:r w:rsidR="001858B5">
        <w:rPr>
          <w:rFonts w:cs="Times New Roman"/>
        </w:rPr>
        <w:fldChar w:fldCharType="begin"/>
      </w:r>
      <w:r w:rsidR="001A53F8">
        <w:instrText xml:space="preserve"> XE "</w:instrText>
      </w:r>
      <w:r w:rsidR="001A53F8" w:rsidRPr="00011BCA">
        <w:rPr>
          <w:rFonts w:cs="Times New Roman"/>
        </w:rPr>
        <w:instrText>Prime</w:instrText>
      </w:r>
      <w:r w:rsidR="001A53F8">
        <w:instrText xml:space="preserve">" </w:instrText>
      </w:r>
      <w:r w:rsidR="001858B5">
        <w:rPr>
          <w:rFonts w:cs="Times New Roman"/>
        </w:rPr>
        <w:fldChar w:fldCharType="end"/>
      </w:r>
      <w:r w:rsidR="00335588" w:rsidRPr="00124B71">
        <w:rPr>
          <w:rFonts w:cs="Times New Roman"/>
        </w:rPr>
        <w:t xml:space="preserve"> borrowers did not default at the high rates of sub-prime borrowers, but they still defaulted at rates higher than in the past; therefore, interest rates increased for prime borrowers as well. The crash in house prices caused </w:t>
      </w:r>
      <w:r w:rsidR="00335588" w:rsidRPr="00124B71">
        <w:rPr>
          <w:rFonts w:cs="Times New Roman"/>
          <w:iCs/>
        </w:rPr>
        <w:t>all</w:t>
      </w:r>
      <w:r w:rsidR="00335588" w:rsidRPr="00124B71">
        <w:rPr>
          <w:rFonts w:cs="Times New Roman"/>
          <w:i/>
          <w:iCs/>
        </w:rPr>
        <w:t xml:space="preserve"> </w:t>
      </w:r>
      <w:r w:rsidR="00335588" w:rsidRPr="00124B71">
        <w:rPr>
          <w:rFonts w:cs="Times New Roman"/>
        </w:rPr>
        <w:t>mortgage interest rates to rise. Banks have to make enough money on their good loans to pay for the losses on their bad loans and still make a profit. Higher interest rates make for lower amounts of borrowing, and this in turn leads to lower house prices.</w:t>
      </w:r>
    </w:p>
    <w:p w14:paraId="65F9025C" w14:textId="77777777" w:rsidR="002D1AD9" w:rsidRPr="00EF0EDA" w:rsidRDefault="000261EF" w:rsidP="002D1AD9">
      <w:pPr>
        <w:pStyle w:val="Heading2"/>
      </w:pPr>
      <w:bookmarkStart w:id="138" w:name="_Toc238867345"/>
      <w:r w:rsidRPr="00EF0EDA">
        <w:t>Summary</w:t>
      </w:r>
      <w:bookmarkEnd w:id="138"/>
      <w:r w:rsidR="002D1AD9" w:rsidRPr="00EF0EDA">
        <w:t xml:space="preserve"> </w:t>
      </w:r>
    </w:p>
    <w:p w14:paraId="1CDC6235" w14:textId="77777777" w:rsidR="002561E8" w:rsidRPr="00124B71" w:rsidRDefault="0026640C" w:rsidP="005C508A">
      <w:pPr>
        <w:rPr>
          <w:rFonts w:cs="Times New Roman"/>
        </w:rPr>
      </w:pPr>
      <w:r w:rsidRPr="00124B71">
        <w:rPr>
          <w:rFonts w:cs="Times New Roman"/>
        </w:rPr>
        <w:t>The ratio of h</w:t>
      </w:r>
      <w:r w:rsidR="002561E8" w:rsidRPr="00124B71">
        <w:rPr>
          <w:rFonts w:cs="Times New Roman"/>
        </w:rPr>
        <w:t xml:space="preserve">ouse prices relative to incomes rose </w:t>
      </w:r>
      <w:r w:rsidR="00E371EC" w:rsidRPr="00124B71">
        <w:rPr>
          <w:rFonts w:cs="Times New Roman"/>
        </w:rPr>
        <w:t>considerably</w:t>
      </w:r>
      <w:r w:rsidR="002561E8" w:rsidRPr="00124B71">
        <w:rPr>
          <w:rFonts w:cs="Times New Roman"/>
        </w:rPr>
        <w:t xml:space="preserve"> during the Great Housing Bubble. Some of this increase was due to lower interest rates, but </w:t>
      </w:r>
      <w:r w:rsidR="00630430" w:rsidRPr="00124B71">
        <w:rPr>
          <w:rFonts w:cs="Times New Roman"/>
        </w:rPr>
        <w:t xml:space="preserve">in bubble markets </w:t>
      </w:r>
      <w:r w:rsidR="002561E8" w:rsidRPr="00124B71">
        <w:rPr>
          <w:rFonts w:cs="Times New Roman"/>
        </w:rPr>
        <w:t>most was due to</w:t>
      </w:r>
      <w:r w:rsidR="00630430" w:rsidRPr="00124B71">
        <w:rPr>
          <w:rFonts w:cs="Times New Roman"/>
        </w:rPr>
        <w:t xml:space="preserve"> supply constraints, regulatory delays, deteriorating credit underwriting standards, and</w:t>
      </w:r>
      <w:r w:rsidR="002561E8" w:rsidRPr="00124B71">
        <w:rPr>
          <w:rFonts w:cs="Times New Roman"/>
        </w:rPr>
        <w:t xml:space="preserve">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002561E8" w:rsidRPr="00124B71">
        <w:rPr>
          <w:rFonts w:cs="Times New Roman"/>
        </w:rPr>
        <w:t xml:space="preserve"> and the belief</w:t>
      </w:r>
      <w:r w:rsidRPr="00124B71">
        <w:rPr>
          <w:rFonts w:cs="Times New Roman"/>
        </w:rPr>
        <w:t xml:space="preserve"> that</w:t>
      </w:r>
      <w:r w:rsidR="002561E8" w:rsidRPr="00124B71">
        <w:rPr>
          <w:rFonts w:cs="Times New Roman"/>
        </w:rPr>
        <w:t xml:space="preserve"> prices were going to rise forever. People stretched to buy real estate as evidenced by the increasing debt service burdens they took on during this time. </w:t>
      </w:r>
      <w:r w:rsidR="00E371EC" w:rsidRPr="00124B71">
        <w:rPr>
          <w:rFonts w:cs="Times New Roman"/>
        </w:rPr>
        <w:t>T</w:t>
      </w:r>
      <w:r w:rsidR="002561E8" w:rsidRPr="00124B71">
        <w:rPr>
          <w:rFonts w:cs="Times New Roman"/>
        </w:rPr>
        <w:t>he rally reache</w:t>
      </w:r>
      <w:r w:rsidR="004B43C1" w:rsidRPr="00124B71">
        <w:rPr>
          <w:rFonts w:cs="Times New Roman"/>
        </w:rPr>
        <w:t>d</w:t>
      </w:r>
      <w:r w:rsidR="002561E8" w:rsidRPr="00124B71">
        <w:rPr>
          <w:rFonts w:cs="Times New Roman"/>
        </w:rPr>
        <w:t xml:space="preserve"> affor</w:t>
      </w:r>
      <w:r w:rsidR="004B43C1" w:rsidRPr="00124B71">
        <w:rPr>
          <w:rFonts w:cs="Times New Roman"/>
        </w:rPr>
        <w:t>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004B43C1" w:rsidRPr="00124B71">
        <w:rPr>
          <w:rFonts w:cs="Times New Roman"/>
        </w:rPr>
        <w:t xml:space="preserve"> limits where buyers could </w:t>
      </w:r>
      <w:r w:rsidR="002561E8" w:rsidRPr="00124B71">
        <w:rPr>
          <w:rFonts w:cs="Times New Roman"/>
        </w:rPr>
        <w:t xml:space="preserve">not push prices any higher. Once these limits </w:t>
      </w:r>
      <w:r w:rsidR="004B43C1" w:rsidRPr="00124B71">
        <w:rPr>
          <w:rFonts w:cs="Times New Roman"/>
        </w:rPr>
        <w:t>we</w:t>
      </w:r>
      <w:r w:rsidR="002561E8" w:rsidRPr="00124B71">
        <w:rPr>
          <w:rFonts w:cs="Times New Roman"/>
        </w:rPr>
        <w:t xml:space="preserve">re reached, lenders </w:t>
      </w:r>
      <w:r w:rsidR="004B43C1" w:rsidRPr="00124B71">
        <w:rPr>
          <w:rFonts w:cs="Times New Roman"/>
        </w:rPr>
        <w:t>were forced</w:t>
      </w:r>
      <w:r w:rsidR="002561E8" w:rsidRPr="00124B71">
        <w:rPr>
          <w:rFonts w:cs="Times New Roman"/>
        </w:rPr>
        <w:t xml:space="preserve"> come up with new programs allowing borrowers to take on even more debt to push prices higher, or the rally w</w:t>
      </w:r>
      <w:r w:rsidR="004B43C1" w:rsidRPr="00124B71">
        <w:rPr>
          <w:rFonts w:cs="Times New Roman"/>
        </w:rPr>
        <w:t>as going to</w:t>
      </w:r>
      <w:r w:rsidR="002561E8" w:rsidRPr="00124B71">
        <w:rPr>
          <w:rFonts w:cs="Times New Roman"/>
        </w:rPr>
        <w:t xml:space="preserve"> end. Once prices stop</w:t>
      </w:r>
      <w:r w:rsidR="004B43C1" w:rsidRPr="00124B71">
        <w:rPr>
          <w:rFonts w:cs="Times New Roman"/>
        </w:rPr>
        <w:t>ped</w:t>
      </w:r>
      <w:r w:rsidR="002561E8" w:rsidRPr="00124B71">
        <w:rPr>
          <w:rFonts w:cs="Times New Roman"/>
        </w:rPr>
        <w:t xml:space="preserve"> rising, people los</w:t>
      </w:r>
      <w:r w:rsidR="004B43C1" w:rsidRPr="00124B71">
        <w:rPr>
          <w:rFonts w:cs="Times New Roman"/>
        </w:rPr>
        <w:t>t</w:t>
      </w:r>
      <w:r w:rsidR="002561E8" w:rsidRPr="00124B71">
        <w:rPr>
          <w:rFonts w:cs="Times New Roman"/>
        </w:rPr>
        <w:t xml:space="preserve"> their incentive to buy and ultimately prices beg</w:t>
      </w:r>
      <w:r w:rsidR="004B43C1" w:rsidRPr="00124B71">
        <w:rPr>
          <w:rFonts w:cs="Times New Roman"/>
        </w:rPr>
        <w:t>a</w:t>
      </w:r>
      <w:r w:rsidR="002561E8" w:rsidRPr="00124B71">
        <w:rPr>
          <w:rFonts w:cs="Times New Roman"/>
        </w:rPr>
        <w:t>n a decline</w:t>
      </w:r>
      <w:r w:rsidR="004B43C1" w:rsidRPr="00124B71">
        <w:rPr>
          <w:rFonts w:cs="Times New Roman"/>
        </w:rPr>
        <w:t>. This decline is expected to continue u</w:t>
      </w:r>
      <w:r w:rsidR="002561E8" w:rsidRPr="00124B71">
        <w:rPr>
          <w:rFonts w:cs="Times New Roman"/>
        </w:rPr>
        <w:t>nabated</w:t>
      </w:r>
      <w:r w:rsidR="004B43C1" w:rsidRPr="00124B71">
        <w:rPr>
          <w:rFonts w:cs="Times New Roman"/>
        </w:rPr>
        <w:t xml:space="preserve"> until prices fall </w:t>
      </w:r>
      <w:r w:rsidR="002561E8" w:rsidRPr="00124B71">
        <w:rPr>
          <w:rFonts w:cs="Times New Roman"/>
        </w:rPr>
        <w:t>back to fundamental valuations</w:t>
      </w:r>
      <w:r w:rsidR="00630430" w:rsidRPr="00124B71">
        <w:rPr>
          <w:rFonts w:cs="Times New Roman"/>
        </w:rPr>
        <w:t>, or perhaps even lower</w:t>
      </w:r>
      <w:r w:rsidR="002561E8" w:rsidRPr="00124B71">
        <w:rPr>
          <w:rFonts w:cs="Times New Roman"/>
        </w:rPr>
        <w:t xml:space="preserve">. </w:t>
      </w:r>
    </w:p>
    <w:p w14:paraId="4DB05C7A" w14:textId="77777777" w:rsidR="000261EF" w:rsidRPr="00124B71" w:rsidRDefault="002D1AD9" w:rsidP="00A56E02">
      <w:pPr>
        <w:rPr>
          <w:rFonts w:cs="Times New Roman"/>
        </w:rPr>
      </w:pPr>
      <w:r w:rsidRPr="00124B71">
        <w:rPr>
          <w:rFonts w:cs="Times New Roman"/>
        </w:rPr>
        <w:lastRenderedPageBreak/>
        <w:t>Credit availability moves in cycles. During the Great Housing Bubble, credit was loosened to a degree not seen before, and it facilitated a price bubble of epic proportions. During periods of credit contraction, lenders seek to avoid risk and they make fewer loans. This causes inflated asset prices to drop precipitously. This cycle of credit contraction leading to asset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Pr="00124B71">
        <w:rPr>
          <w:rFonts w:cs="Times New Roman"/>
        </w:rPr>
        <w:t xml:space="preserve"> feeds on itself until lending standards become too tight and overly cautious when asset prices are their lowest. Of course, this is when credit should be made available to purchase assets at bargain prices. As safety and sanity returns to a financial market, lenders </w:t>
      </w:r>
      <w:r w:rsidR="0026640C" w:rsidRPr="00124B71">
        <w:rPr>
          <w:rFonts w:cs="Times New Roman"/>
        </w:rPr>
        <w:t>realize that</w:t>
      </w:r>
      <w:r w:rsidRPr="00124B71">
        <w:rPr>
          <w:rFonts w:cs="Times New Roman"/>
        </w:rPr>
        <w:t xml:space="preserve"> they became too conservative and loosen their standards allowing more money to flow into capital markets</w:t>
      </w:r>
      <w:r w:rsidR="00CC12B6" w:rsidRPr="00124B71">
        <w:rPr>
          <w:rFonts w:cs="Times New Roman"/>
        </w:rPr>
        <w:t>;</w:t>
      </w:r>
      <w:r w:rsidRPr="00124B71">
        <w:rPr>
          <w:rFonts w:cs="Times New Roman"/>
        </w:rPr>
        <w:t xml:space="preserve"> the whole process </w:t>
      </w:r>
      <w:r w:rsidR="00CC12B6" w:rsidRPr="00124B71">
        <w:rPr>
          <w:rFonts w:cs="Times New Roman"/>
        </w:rPr>
        <w:t>repeats, and the credit cycle</w:t>
      </w:r>
      <w:r w:rsidR="001858B5">
        <w:rPr>
          <w:rFonts w:cs="Times New Roman"/>
        </w:rPr>
        <w:fldChar w:fldCharType="begin"/>
      </w:r>
      <w:r w:rsidR="003852DB">
        <w:instrText xml:space="preserve"> XE "</w:instrText>
      </w:r>
      <w:r w:rsidR="003852DB" w:rsidRPr="00E437D3">
        <w:rPr>
          <w:rFonts w:cs="Times New Roman"/>
        </w:rPr>
        <w:instrText>credit cycle</w:instrText>
      </w:r>
      <w:r w:rsidR="003852DB">
        <w:instrText xml:space="preserve">" </w:instrText>
      </w:r>
      <w:r w:rsidR="001858B5">
        <w:rPr>
          <w:rFonts w:cs="Times New Roman"/>
        </w:rPr>
        <w:fldChar w:fldCharType="end"/>
      </w:r>
      <w:r w:rsidR="00CC12B6" w:rsidRPr="00124B71">
        <w:rPr>
          <w:rFonts w:cs="Times New Roman"/>
        </w:rPr>
        <w:t xml:space="preserve"> continues.</w:t>
      </w:r>
    </w:p>
    <w:p w14:paraId="01D88A44" w14:textId="77777777" w:rsidR="009F7B4C" w:rsidRPr="00124B71" w:rsidRDefault="009F7B4C" w:rsidP="00C55849">
      <w:pPr>
        <w:rPr>
          <w:rFonts w:cs="Times New Roman"/>
        </w:rPr>
        <w:sectPr w:rsidR="009F7B4C" w:rsidRPr="00124B71" w:rsidSect="009729DE">
          <w:headerReference w:type="even" r:id="rId65"/>
          <w:headerReference w:type="default" r:id="rId66"/>
          <w:endnotePr>
            <w:numFmt w:val="decimal"/>
          </w:endnotePr>
          <w:type w:val="oddPage"/>
          <w:pgSz w:w="8640" w:h="12960" w:code="173"/>
          <w:pgMar w:top="1008" w:right="936" w:bottom="1080" w:left="936" w:header="504" w:footer="504" w:gutter="0"/>
          <w:cols w:space="720"/>
          <w:titlePg/>
          <w:docGrid w:linePitch="360"/>
        </w:sectPr>
      </w:pPr>
    </w:p>
    <w:p w14:paraId="6B3D134A" w14:textId="77777777" w:rsidR="00F91679" w:rsidRPr="00EF0EDA" w:rsidRDefault="00F91679" w:rsidP="00F64AE8">
      <w:pPr>
        <w:pStyle w:val="Heading1"/>
      </w:pPr>
      <w:bookmarkStart w:id="139" w:name="_Toc238867346"/>
      <w:r w:rsidRPr="00EF0EDA">
        <w:lastRenderedPageBreak/>
        <w:t>Bubble</w:t>
      </w:r>
      <w:r w:rsidR="00F64AE8" w:rsidRPr="00EF0EDA">
        <w:t xml:space="preserve"> </w:t>
      </w:r>
      <w:r w:rsidR="00BC6D36" w:rsidRPr="00EF0EDA">
        <w:t xml:space="preserve">Market </w:t>
      </w:r>
      <w:r w:rsidR="00F64AE8" w:rsidRPr="00EF0EDA">
        <w:t>Psychology</w:t>
      </w:r>
      <w:bookmarkEnd w:id="139"/>
      <w:r w:rsidRPr="00EF0EDA">
        <w:t xml:space="preserve"> </w:t>
      </w:r>
    </w:p>
    <w:p w14:paraId="2119EDC1" w14:textId="77777777" w:rsidR="00FC1FFB" w:rsidRPr="00124B71" w:rsidRDefault="00FC1FFB" w:rsidP="00A6765F">
      <w:pPr>
        <w:suppressAutoHyphens/>
        <w:rPr>
          <w:rFonts w:cs="Times New Roman"/>
        </w:rPr>
      </w:pPr>
      <w:r w:rsidRPr="00124B71">
        <w:rPr>
          <w:rFonts w:cs="Times New Roman"/>
        </w:rPr>
        <w:t>Financial markets are driven by fear and greed</w:t>
      </w:r>
      <w:r w:rsidR="001858B5">
        <w:rPr>
          <w:rFonts w:cs="Times New Roman"/>
        </w:rPr>
        <w:fldChar w:fldCharType="begin"/>
      </w:r>
      <w:r w:rsidR="001A53F8">
        <w:instrText xml:space="preserve"> XE "</w:instrText>
      </w:r>
      <w:r w:rsidR="001A53F8" w:rsidRPr="00AD3FB7">
        <w:rPr>
          <w:rFonts w:cs="Times New Roman"/>
        </w:rPr>
        <w:instrText>fear and greed</w:instrText>
      </w:r>
      <w:r w:rsidR="001A53F8">
        <w:instrText xml:space="preserve">" </w:instrText>
      </w:r>
      <w:r w:rsidR="001858B5">
        <w:rPr>
          <w:rFonts w:cs="Times New Roman"/>
        </w:rPr>
        <w:fldChar w:fldCharType="end"/>
      </w:r>
      <w:r w:rsidRPr="00124B71">
        <w:rPr>
          <w:rFonts w:cs="Times New Roman"/>
        </w:rPr>
        <w:t>: two basic human emotions.</w:t>
      </w:r>
      <w:r w:rsidR="00546971" w:rsidRPr="00124B71">
        <w:rPr>
          <w:rFonts w:cs="Times New Roman"/>
        </w:rPr>
        <w:t xml:space="preserve"> R</w:t>
      </w:r>
      <w:r w:rsidRPr="00124B71">
        <w:rPr>
          <w:rFonts w:cs="Times New Roman"/>
        </w:rPr>
        <w:t>ationality and careful analysis are not responsible for</w:t>
      </w:r>
      <w:r w:rsidR="00546971" w:rsidRPr="00124B71">
        <w:rPr>
          <w:rFonts w:cs="Times New Roman"/>
        </w:rPr>
        <w:t>,</w:t>
      </w:r>
      <w:r w:rsidRPr="00124B71">
        <w:rPr>
          <w:rFonts w:cs="Times New Roman"/>
        </w:rPr>
        <w:t xml:space="preserve"> or predictive of</w:t>
      </w:r>
      <w:r w:rsidR="00546971" w:rsidRPr="00124B71">
        <w:rPr>
          <w:rFonts w:cs="Times New Roman"/>
        </w:rPr>
        <w:t>,</w:t>
      </w:r>
      <w:r w:rsidRPr="00124B71">
        <w:rPr>
          <w:rFonts w:cs="Times New Roman"/>
        </w:rPr>
        <w:t xml:space="preserve"> current or future price levels</w:t>
      </w:r>
      <w:r w:rsidR="00546971" w:rsidRPr="00124B71">
        <w:rPr>
          <w:rFonts w:cs="Times New Roman"/>
        </w:rPr>
        <w:t xml:space="preserve"> in markets exhibiting bubble pricing as the emotions of buyers and sellers takes over</w:t>
      </w:r>
      <w:r w:rsidR="0035183E" w:rsidRPr="00124B71">
        <w:rPr>
          <w:rFonts w:cs="Times New Roman"/>
        </w:rPr>
        <w:t>.</w:t>
      </w:r>
      <w:r w:rsidR="00546971" w:rsidRPr="00124B71">
        <w:rPr>
          <w:rStyle w:val="EndnoteReference"/>
          <w:rFonts w:cs="Times New Roman"/>
        </w:rPr>
        <w:t xml:space="preserve"> </w:t>
      </w:r>
      <w:r w:rsidR="004D29EA" w:rsidRPr="00124B71">
        <w:rPr>
          <w:rStyle w:val="EndnoteReference"/>
          <w:rFonts w:cs="Times New Roman"/>
        </w:rPr>
        <w:endnoteReference w:id="88"/>
      </w:r>
      <w:r w:rsidRPr="00124B71">
        <w:rPr>
          <w:rFonts w:cs="Times New Roman"/>
        </w:rPr>
        <w:t xml:space="preserve"> The psychology of speculation drives bubble markets, and because of the nature of fear and greed, most speculators are doomed to lose their money. In contrast, true investors are not subject to the emotional cycles of the speculator, and they are more able to make rational decisions based on fundamental valuations. Of course, </w:t>
      </w:r>
      <w:r w:rsidR="00851587" w:rsidRPr="00124B71">
        <w:rPr>
          <w:rFonts w:cs="Times New Roman"/>
        </w:rPr>
        <w:t xml:space="preserve">many </w:t>
      </w:r>
      <w:r w:rsidRPr="00124B71">
        <w:rPr>
          <w:rFonts w:cs="Times New Roman"/>
        </w:rPr>
        <w:t>investors also miss the excitement of a runaway price rally in a speculative bubble.</w:t>
      </w:r>
      <w:r w:rsidR="00546971" w:rsidRPr="00124B71">
        <w:rPr>
          <w:rFonts w:cs="Times New Roman"/>
        </w:rPr>
        <w:t xml:space="preserve"> </w:t>
      </w:r>
      <w:r w:rsidRPr="00124B71">
        <w:rPr>
          <w:rFonts w:cs="Times New Roman"/>
        </w:rPr>
        <w:t xml:space="preserve">The Great Housing Bubble was inflated by people trading houses. Residential real estate took on the character of a commodity, and it became subject to the same chaotic price gyrations </w:t>
      </w:r>
      <w:r w:rsidR="00851587" w:rsidRPr="00124B71">
        <w:rPr>
          <w:rFonts w:cs="Times New Roman"/>
        </w:rPr>
        <w:t>as</w:t>
      </w:r>
      <w:r w:rsidRPr="00124B71">
        <w:rPr>
          <w:rFonts w:cs="Times New Roman"/>
        </w:rPr>
        <w:t xml:space="preserve"> a speculative commodities</w:t>
      </w:r>
      <w:r w:rsidR="001858B5">
        <w:rPr>
          <w:rFonts w:cs="Times New Roman"/>
        </w:rPr>
        <w:fldChar w:fldCharType="begin"/>
      </w:r>
      <w:r w:rsidR="00FF74AC">
        <w:instrText xml:space="preserve"> XE "</w:instrText>
      </w:r>
      <w:r w:rsidR="00FF74AC" w:rsidRPr="00E862A6">
        <w:rPr>
          <w:rFonts w:cs="Times New Roman"/>
        </w:rPr>
        <w:instrText>commodities</w:instrText>
      </w:r>
      <w:r w:rsidR="00FF74AC">
        <w:instrText xml:space="preserve">" </w:instrText>
      </w:r>
      <w:r w:rsidR="001858B5">
        <w:rPr>
          <w:rFonts w:cs="Times New Roman"/>
        </w:rPr>
        <w:fldChar w:fldCharType="end"/>
      </w:r>
      <w:r w:rsidRPr="00124B71">
        <w:rPr>
          <w:rFonts w:cs="Times New Roman"/>
        </w:rPr>
        <w:t xml:space="preserve"> market. This behavior was </w:t>
      </w:r>
      <w:r w:rsidR="001429CA" w:rsidRPr="00124B71">
        <w:rPr>
          <w:rFonts w:cs="Times New Roman"/>
        </w:rPr>
        <w:t>caused</w:t>
      </w:r>
      <w:r w:rsidRPr="00124B71">
        <w:rPr>
          <w:rFonts w:cs="Times New Roman"/>
        </w:rPr>
        <w:t xml:space="preserve"> by lenders who provided the financing terms which enabled speculators to use mortgages as </w:t>
      </w:r>
      <w:r w:rsidR="007324A4" w:rsidRPr="00124B71">
        <w:rPr>
          <w:rFonts w:cs="Times New Roman"/>
        </w:rPr>
        <w:t>option contracts</w:t>
      </w:r>
      <w:r w:rsidR="001858B5">
        <w:rPr>
          <w:rFonts w:cs="Times New Roman"/>
        </w:rPr>
        <w:fldChar w:fldCharType="begin"/>
      </w:r>
      <w:r w:rsidR="001A53F8">
        <w:instrText xml:space="preserve"> XE "</w:instrText>
      </w:r>
      <w:r w:rsidR="001A53F8" w:rsidRPr="00DD217F">
        <w:rPr>
          <w:rFonts w:cs="Times New Roman"/>
        </w:rPr>
        <w:instrText>option contracts</w:instrText>
      </w:r>
      <w:r w:rsidR="001A53F8">
        <w:instrText xml:space="preserve">" </w:instrText>
      </w:r>
      <w:r w:rsidR="001858B5">
        <w:rPr>
          <w:rFonts w:cs="Times New Roman"/>
        </w:rPr>
        <w:fldChar w:fldCharType="end"/>
      </w:r>
      <w:r w:rsidR="007324A4" w:rsidRPr="00124B71">
        <w:rPr>
          <w:rFonts w:cs="Times New Roman"/>
        </w:rPr>
        <w:t xml:space="preserve"> with the risk of loss being transferred to the lenders.</w:t>
      </w:r>
    </w:p>
    <w:p w14:paraId="7AC2D6DB" w14:textId="77777777" w:rsidR="007324A4" w:rsidRPr="00124B71" w:rsidRDefault="007324A4" w:rsidP="006F0D2E">
      <w:pPr>
        <w:rPr>
          <w:rFonts w:cs="Times New Roman"/>
        </w:rPr>
      </w:pPr>
      <w:r w:rsidRPr="00124B71">
        <w:rPr>
          <w:rFonts w:cs="Times New Roman"/>
        </w:rPr>
        <w:t>With any loss, an individual must go through a grieving process</w:t>
      </w:r>
      <w:r w:rsidR="001858B5">
        <w:rPr>
          <w:rFonts w:cs="Times New Roman"/>
        </w:rPr>
        <w:fldChar w:fldCharType="begin"/>
      </w:r>
      <w:r w:rsidR="001A53F8">
        <w:instrText xml:space="preserve"> XE "</w:instrText>
      </w:r>
      <w:r w:rsidR="001A53F8" w:rsidRPr="002733A8">
        <w:rPr>
          <w:rFonts w:cs="Times New Roman"/>
        </w:rPr>
        <w:instrText>grieving process</w:instrText>
      </w:r>
      <w:r w:rsidR="001A53F8">
        <w:instrText xml:space="preserve">" </w:instrText>
      </w:r>
      <w:r w:rsidR="001858B5">
        <w:rPr>
          <w:rFonts w:cs="Times New Roman"/>
        </w:rPr>
        <w:fldChar w:fldCharType="end"/>
      </w:r>
      <w:r w:rsidRPr="00124B71">
        <w:rPr>
          <w:rFonts w:cs="Times New Roman"/>
        </w:rPr>
        <w:t>. Since markets are the collective actions of these individuals, markets experience the same psychological stages which are apparent in the price action. Efficient markets theory attempts to explain market price action through the collective action of rational market participants. This theory fails to explain the irrational behavior exhibited in bubble markets. Behavioral finance theory</w:t>
      </w:r>
      <w:r w:rsidR="001858B5">
        <w:rPr>
          <w:rFonts w:cs="Times New Roman"/>
        </w:rPr>
        <w:fldChar w:fldCharType="begin"/>
      </w:r>
      <w:r w:rsidR="001A53F8">
        <w:instrText xml:space="preserve"> XE "</w:instrText>
      </w:r>
      <w:r w:rsidR="001A53F8" w:rsidRPr="002045BB">
        <w:rPr>
          <w:rFonts w:cs="Times New Roman"/>
        </w:rPr>
        <w:instrText>Behavioral finance theory</w:instrText>
      </w:r>
      <w:r w:rsidR="001A53F8">
        <w:instrText xml:space="preserve">" </w:instrText>
      </w:r>
      <w:r w:rsidR="001858B5">
        <w:rPr>
          <w:rFonts w:cs="Times New Roman"/>
        </w:rPr>
        <w:fldChar w:fldCharType="end"/>
      </w:r>
      <w:r w:rsidR="00546971" w:rsidRPr="00124B71">
        <w:rPr>
          <w:rFonts w:cs="Times New Roman"/>
        </w:rPr>
        <w:t xml:space="preserve"> seeks to</w:t>
      </w:r>
      <w:r w:rsidRPr="00124B71">
        <w:rPr>
          <w:rFonts w:cs="Times New Roman"/>
        </w:rPr>
        <w:t xml:space="preserve"> </w:t>
      </w:r>
      <w:r w:rsidR="00546971" w:rsidRPr="00124B71">
        <w:rPr>
          <w:rFonts w:cs="Times New Roman"/>
        </w:rPr>
        <w:t>explain</w:t>
      </w:r>
      <w:r w:rsidRPr="00124B71">
        <w:rPr>
          <w:rFonts w:cs="Times New Roman"/>
        </w:rPr>
        <w:t xml:space="preserve"> </w:t>
      </w:r>
      <w:r w:rsidR="00546971" w:rsidRPr="00124B71">
        <w:rPr>
          <w:rFonts w:cs="Times New Roman"/>
        </w:rPr>
        <w:t>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Pr="00124B71">
        <w:rPr>
          <w:rFonts w:cs="Times New Roman"/>
        </w:rPr>
        <w:t xml:space="preserve">. The price action in a bubble has other impacts on the beliefs and behaviors of individuals and society as a whole. These beliefs and behaviors may become pathological in nature leading to suffering and social problems. As </w:t>
      </w:r>
      <w:r w:rsidR="00851587" w:rsidRPr="00124B71">
        <w:rPr>
          <w:rFonts w:cs="Times New Roman"/>
        </w:rPr>
        <w:t>with</w:t>
      </w:r>
      <w:r w:rsidRPr="00124B71">
        <w:rPr>
          <w:rFonts w:cs="Times New Roman"/>
        </w:rPr>
        <w:t xml:space="preserve"> any form of mass hardship, there are calls for government action which lead to proposals for bailouts</w:t>
      </w:r>
      <w:r w:rsidR="001858B5">
        <w:rPr>
          <w:rFonts w:cs="Times New Roman"/>
        </w:rPr>
        <w:fldChar w:fldCharType="begin"/>
      </w:r>
      <w:r w:rsidR="001A53F8">
        <w:instrText xml:space="preserve"> XE "</w:instrText>
      </w:r>
      <w:r w:rsidR="001A53F8" w:rsidRPr="009808CE">
        <w:rPr>
          <w:rFonts w:cs="Times New Roman"/>
        </w:rPr>
        <w:instrText>bailouts</w:instrText>
      </w:r>
      <w:r w:rsidR="001A53F8">
        <w:instrText xml:space="preserve">" </w:instrText>
      </w:r>
      <w:r w:rsidR="001858B5">
        <w:rPr>
          <w:rFonts w:cs="Times New Roman"/>
        </w:rPr>
        <w:fldChar w:fldCharType="end"/>
      </w:r>
      <w:r w:rsidRPr="00124B71">
        <w:rPr>
          <w:rFonts w:cs="Times New Roman"/>
        </w:rPr>
        <w:t xml:space="preserve"> and false hopes</w:t>
      </w:r>
      <w:r w:rsidR="001858B5">
        <w:rPr>
          <w:rFonts w:cs="Times New Roman"/>
        </w:rPr>
        <w:fldChar w:fldCharType="begin"/>
      </w:r>
      <w:r w:rsidR="001A53F8">
        <w:instrText xml:space="preserve"> XE "</w:instrText>
      </w:r>
      <w:r w:rsidR="001A53F8" w:rsidRPr="00DC069C">
        <w:rPr>
          <w:rFonts w:cs="Times New Roman"/>
        </w:rPr>
        <w:instrText>false hopes</w:instrText>
      </w:r>
      <w:r w:rsidR="001A53F8">
        <w:instrText xml:space="preserve">" </w:instrText>
      </w:r>
      <w:r w:rsidR="001858B5">
        <w:rPr>
          <w:rFonts w:cs="Times New Roman"/>
        </w:rPr>
        <w:fldChar w:fldCharType="end"/>
      </w:r>
      <w:r w:rsidRPr="00124B71">
        <w:rPr>
          <w:rFonts w:cs="Times New Roman"/>
        </w:rPr>
        <w:t xml:space="preserve"> among the populace.</w:t>
      </w:r>
    </w:p>
    <w:p w14:paraId="1FB99648" w14:textId="77777777" w:rsidR="00BC6D36" w:rsidRPr="00EF0EDA" w:rsidRDefault="00BC6D36" w:rsidP="00F64AE8">
      <w:pPr>
        <w:pStyle w:val="Heading2"/>
      </w:pPr>
      <w:bookmarkStart w:id="140" w:name="_Toc238867347"/>
      <w:r w:rsidRPr="00EF0EDA">
        <w:lastRenderedPageBreak/>
        <w:t>Speculation or Investment?</w:t>
      </w:r>
      <w:bookmarkEnd w:id="140"/>
    </w:p>
    <w:p w14:paraId="2DC71243" w14:textId="77777777" w:rsidR="00BC6D36" w:rsidRPr="00124B71" w:rsidRDefault="00BC6D36" w:rsidP="00F64AE8">
      <w:pPr>
        <w:rPr>
          <w:rFonts w:cs="Times New Roman"/>
        </w:rPr>
      </w:pPr>
      <w:r w:rsidRPr="00124B71">
        <w:rPr>
          <w:rFonts w:cs="Times New Roman"/>
        </w:rPr>
        <w:t>Owner-occupied residential real estate is viewed by many people as a good investment</w:t>
      </w:r>
      <w:r w:rsidR="00431E75" w:rsidRPr="00124B71">
        <w:rPr>
          <w:rFonts w:cs="Times New Roman"/>
        </w:rPr>
        <w:t>.</w:t>
      </w:r>
      <w:r w:rsidR="00635AA0" w:rsidRPr="00124B71">
        <w:rPr>
          <w:rFonts w:cs="Times New Roman"/>
        </w:rPr>
        <w:t xml:space="preserve"> </w:t>
      </w:r>
      <w:r w:rsidR="007C255C" w:rsidRPr="00124B71">
        <w:rPr>
          <w:rStyle w:val="EndnoteReference"/>
          <w:rFonts w:cs="Times New Roman"/>
        </w:rPr>
        <w:endnoteReference w:id="89"/>
      </w:r>
      <w:r w:rsidRPr="00124B71">
        <w:rPr>
          <w:rFonts w:cs="Times New Roman"/>
        </w:rPr>
        <w:t xml:space="preserve"> Realtors</w:t>
      </w:r>
      <w:r w:rsidR="001858B5">
        <w:rPr>
          <w:rFonts w:cs="Times New Roman"/>
        </w:rPr>
        <w:fldChar w:fldCharType="begin"/>
      </w:r>
      <w:r w:rsidR="001A53F8">
        <w:instrText xml:space="preserve"> XE "</w:instrText>
      </w:r>
      <w:r w:rsidR="001A53F8" w:rsidRPr="00957A14">
        <w:rPr>
          <w:rFonts w:cs="Times New Roman"/>
        </w:rPr>
        <w:instrText>Realtors</w:instrText>
      </w:r>
      <w:r w:rsidR="001A53F8">
        <w:instrText xml:space="preserve">" </w:instrText>
      </w:r>
      <w:r w:rsidR="001858B5">
        <w:rPr>
          <w:rFonts w:cs="Times New Roman"/>
        </w:rPr>
        <w:fldChar w:fldCharType="end"/>
      </w:r>
      <w:r w:rsidRPr="00124B71">
        <w:rPr>
          <w:rFonts w:cs="Times New Roman"/>
        </w:rPr>
        <w:t xml:space="preserve"> often use this idea as part of their sales pitch. As mentioned previously, this view is fallacious and it is one of the beliefs responsible for creating an asset price bubble. To understand why houses are not a </w:t>
      </w:r>
      <w:r w:rsidR="00546971" w:rsidRPr="00124B71">
        <w:rPr>
          <w:rFonts w:cs="Times New Roman"/>
        </w:rPr>
        <w:t>great</w:t>
      </w:r>
      <w:r w:rsidRPr="00124B71">
        <w:rPr>
          <w:rFonts w:cs="Times New Roman"/>
        </w:rPr>
        <w:t xml:space="preserve"> investment</w:t>
      </w:r>
      <w:r w:rsidR="00546971" w:rsidRPr="00124B71">
        <w:rPr>
          <w:rFonts w:cs="Times New Roman"/>
        </w:rPr>
        <w:t xml:space="preserve"> in most circumstances</w:t>
      </w:r>
      <w:r w:rsidRPr="00124B71">
        <w:rPr>
          <w:rFonts w:cs="Times New Roman"/>
        </w:rPr>
        <w:t>, one needs to understand the difference between investment and speculation.</w:t>
      </w:r>
    </w:p>
    <w:p w14:paraId="49146077" w14:textId="77777777" w:rsidR="00BC6D36" w:rsidRPr="00124B71" w:rsidRDefault="00BC6D36" w:rsidP="00F64AE8">
      <w:pPr>
        <w:rPr>
          <w:rFonts w:cs="Times New Roman"/>
        </w:rPr>
      </w:pPr>
      <w:r w:rsidRPr="00124B71">
        <w:rPr>
          <w:rFonts w:cs="Times New Roman"/>
        </w:rPr>
        <w:t>An investment is an asset purchased to obtain a predictable and consistent cashflow. This would include things such as bonds and rental properties</w:t>
      </w:r>
      <w:r w:rsidR="001858B5">
        <w:rPr>
          <w:rFonts w:cs="Times New Roman"/>
        </w:rPr>
        <w:fldChar w:fldCharType="begin"/>
      </w:r>
      <w:r w:rsidR="001A53F8">
        <w:instrText xml:space="preserve"> XE "</w:instrText>
      </w:r>
      <w:r w:rsidR="001A53F8" w:rsidRPr="00FA7AFF">
        <w:rPr>
          <w:rFonts w:cs="Times New Roman"/>
        </w:rPr>
        <w:instrText>rental properties</w:instrText>
      </w:r>
      <w:r w:rsidR="001A53F8">
        <w:instrText xml:space="preserve">" </w:instrText>
      </w:r>
      <w:r w:rsidR="001858B5">
        <w:rPr>
          <w:rFonts w:cs="Times New Roman"/>
        </w:rPr>
        <w:fldChar w:fldCharType="end"/>
      </w:r>
      <w:r w:rsidRPr="00124B71">
        <w:rPr>
          <w:rFonts w:cs="Times New Roman"/>
        </w:rPr>
        <w:t xml:space="preserve"> or even cash in a savings account. The value of the asset is based on the cashflow, and this value can be determined in a number of ways. For a “point in time” analysis simple division will yield the rate of return (return = income / investment</w:t>
      </w:r>
      <w:r w:rsidR="00A40CA5" w:rsidRPr="00124B71">
        <w:rPr>
          <w:rFonts w:cs="Times New Roman"/>
        </w:rPr>
        <w:t>).</w:t>
      </w:r>
      <w:r w:rsidRPr="00124B71">
        <w:rPr>
          <w:rFonts w:cs="Times New Roman"/>
        </w:rPr>
        <w:t xml:space="preserve"> Risk is evaluated by comparing the rate of return of the investment to the safe return one can obtain in a savings account or government bonds. For more complex financial structures the value can be determined by a process known as discounted cashflow analysis</w:t>
      </w:r>
      <w:r w:rsidR="001858B5">
        <w:rPr>
          <w:rFonts w:cs="Times New Roman"/>
        </w:rPr>
        <w:fldChar w:fldCharType="begin"/>
      </w:r>
      <w:r w:rsidR="001A53F8">
        <w:instrText xml:space="preserve"> XE "</w:instrText>
      </w:r>
      <w:r w:rsidR="001A53F8" w:rsidRPr="003F609A">
        <w:rPr>
          <w:rFonts w:cs="Times New Roman"/>
        </w:rPr>
        <w:instrText>discounted cashflow analysis</w:instrText>
      </w:r>
      <w:r w:rsidR="001A53F8">
        <w:instrText xml:space="preserve">" </w:instrText>
      </w:r>
      <w:r w:rsidR="001858B5">
        <w:rPr>
          <w:rFonts w:cs="Times New Roman"/>
        </w:rPr>
        <w:fldChar w:fldCharType="end"/>
      </w:r>
      <w:r w:rsidRPr="00124B71">
        <w:rPr>
          <w:rFonts w:cs="Times New Roman"/>
        </w:rPr>
        <w:t>. The sales price at the time of disposition is often not a major factor in the investment decision, particularly if the eventual disposition is many years in the future. In fact, true investments need never be sold to be profitable. As Warren Buffet</w:t>
      </w:r>
      <w:r w:rsidR="001858B5">
        <w:rPr>
          <w:rFonts w:cs="Times New Roman"/>
        </w:rPr>
        <w:fldChar w:fldCharType="begin"/>
      </w:r>
      <w:r w:rsidR="003247C5">
        <w:instrText xml:space="preserve"> XE "</w:instrText>
      </w:r>
      <w:r w:rsidR="003247C5" w:rsidRPr="00414028">
        <w:rPr>
          <w:rFonts w:cs="Times New Roman"/>
        </w:rPr>
        <w:instrText>Warren Buffet</w:instrText>
      </w:r>
      <w:r w:rsidR="003247C5">
        <w:instrText xml:space="preserve">" </w:instrText>
      </w:r>
      <w:r w:rsidR="001858B5">
        <w:rPr>
          <w:rFonts w:cs="Times New Roman"/>
        </w:rPr>
        <w:fldChar w:fldCharType="end"/>
      </w:r>
      <w:r w:rsidRPr="00124B71">
        <w:rPr>
          <w:rFonts w:cs="Times New Roman"/>
        </w:rPr>
        <w:t xml:space="preserve"> noted</w:t>
      </w:r>
      <w:r w:rsidR="00851587" w:rsidRPr="00124B71">
        <w:rPr>
          <w:rFonts w:cs="Times New Roman"/>
        </w:rPr>
        <w:t>,</w:t>
      </w:r>
      <w:r w:rsidRPr="00124B71">
        <w:rPr>
          <w:rFonts w:cs="Times New Roman"/>
        </w:rPr>
        <w:t xml:space="preserve"> “I buy on the assumption that they could close the market the next day and not reopen it for five years.”</w:t>
      </w:r>
      <w:r w:rsidR="00F0648C" w:rsidRPr="00124B71">
        <w:rPr>
          <w:rFonts w:cs="Times New Roman"/>
        </w:rPr>
        <w:t xml:space="preserve"> </w:t>
      </w:r>
      <w:r w:rsidR="0035183E" w:rsidRPr="00124B71">
        <w:rPr>
          <w:rStyle w:val="EndnoteReference"/>
          <w:rFonts w:cs="Times New Roman"/>
        </w:rPr>
        <w:endnoteReference w:id="90"/>
      </w:r>
      <w:r w:rsidR="00851587" w:rsidRPr="00124B71">
        <w:rPr>
          <w:rFonts w:cs="Times New Roman"/>
        </w:rPr>
        <w:t xml:space="preserve"> </w:t>
      </w:r>
      <w:r w:rsidRPr="00124B71">
        <w:rPr>
          <w:rFonts w:cs="Times New Roman"/>
        </w:rPr>
        <w:t xml:space="preserve">In contrast to investment, speculation is the purchase of an asset to sell at a later date at a higher price (Actually, you can also speculate by selling first and buying later in a </w:t>
      </w:r>
      <w:r w:rsidR="0035183E" w:rsidRPr="00124B71">
        <w:rPr>
          <w:rFonts w:cs="Times New Roman"/>
        </w:rPr>
        <w:t>process known as “selling short</w:t>
      </w:r>
      <w:r w:rsidR="001858B5">
        <w:rPr>
          <w:rFonts w:cs="Times New Roman"/>
        </w:rPr>
        <w:fldChar w:fldCharType="begin"/>
      </w:r>
      <w:r w:rsidR="001A53F8">
        <w:instrText xml:space="preserve"> XE "</w:instrText>
      </w:r>
      <w:r w:rsidR="001A53F8" w:rsidRPr="001C281A">
        <w:rPr>
          <w:rFonts w:cs="Times New Roman"/>
        </w:rPr>
        <w:instrText>selling short</w:instrText>
      </w:r>
      <w:r w:rsidR="001A53F8">
        <w:instrText xml:space="preserve">" </w:instrText>
      </w:r>
      <w:r w:rsidR="001858B5">
        <w:rPr>
          <w:rFonts w:cs="Times New Roman"/>
        </w:rPr>
        <w:fldChar w:fldCharType="end"/>
      </w:r>
      <w:r w:rsidRPr="00124B71">
        <w:rPr>
          <w:rFonts w:cs="Times New Roman"/>
        </w:rPr>
        <w:t>”)</w:t>
      </w:r>
      <w:r w:rsidR="0035183E" w:rsidRPr="00124B71">
        <w:rPr>
          <w:rFonts w:cs="Times New Roman"/>
        </w:rPr>
        <w:t>.</w:t>
      </w:r>
      <w:r w:rsidRPr="00124B71">
        <w:rPr>
          <w:rFonts w:cs="Times New Roman"/>
        </w:rPr>
        <w:t xml:space="preserve"> Speculative assets are not valued based on cashflow but instead are valued based on the perceived probability of selling later for a profit. Houses can be purchased as an investment at the right price, but most often when people purchase a property they are engaging in speculation based on the belief they will be able to sell the house for a profit at a later date.</w:t>
      </w:r>
    </w:p>
    <w:p w14:paraId="2DC5A40D" w14:textId="77777777" w:rsidR="00BC6D36" w:rsidRPr="00124B71" w:rsidRDefault="00851587" w:rsidP="00F64AE8">
      <w:pPr>
        <w:rPr>
          <w:rFonts w:cs="Times New Roman"/>
        </w:rPr>
      </w:pPr>
      <w:r w:rsidRPr="00124B71">
        <w:rPr>
          <w:rFonts w:cs="Times New Roman"/>
        </w:rPr>
        <w:t>Since 1890</w:t>
      </w:r>
      <w:r w:rsidR="00BC6D36" w:rsidRPr="00124B71">
        <w:rPr>
          <w:rFonts w:cs="Times New Roman"/>
        </w:rPr>
        <w:t xml:space="preserve"> houses have appreciated at 0.7% over the general rate of inflation. Over the long term house values are tied to incomes because</w:t>
      </w:r>
      <w:r w:rsidRPr="00124B71">
        <w:rPr>
          <w:rFonts w:cs="Times New Roman"/>
        </w:rPr>
        <w:t xml:space="preserve"> most</w:t>
      </w:r>
      <w:r w:rsidR="00BC6D36" w:rsidRPr="00124B71">
        <w:rPr>
          <w:rFonts w:cs="Times New Roman"/>
        </w:rPr>
        <w:t xml:space="preserve"> people buy houses with mortgages for which they must qualify based on their income. Inflation</w:t>
      </w:r>
      <w:r w:rsidR="001858B5">
        <w:rPr>
          <w:rFonts w:cs="Times New Roman"/>
        </w:rPr>
        <w:fldChar w:fldCharType="begin"/>
      </w:r>
      <w:r w:rsidR="00E84A0F">
        <w:instrText xml:space="preserve"> XE "</w:instrText>
      </w:r>
      <w:r w:rsidR="00E84A0F" w:rsidRPr="00725B11">
        <w:rPr>
          <w:rFonts w:cs="Times New Roman"/>
        </w:rPr>
        <w:instrText>Inflation</w:instrText>
      </w:r>
      <w:r w:rsidR="00E84A0F">
        <w:instrText xml:space="preserve">" </w:instrText>
      </w:r>
      <w:r w:rsidR="001858B5">
        <w:rPr>
          <w:rFonts w:cs="Times New Roman"/>
        </w:rPr>
        <w:fldChar w:fldCharType="end"/>
      </w:r>
      <w:r w:rsidR="00BC6D36" w:rsidRPr="00124B71">
        <w:rPr>
          <w:rFonts w:cs="Times New Roman"/>
        </w:rPr>
        <w:t xml:space="preserve"> keeps pace with wage growth because people will bid up the prices of goods and services with their available income. Therefore, </w:t>
      </w:r>
      <w:r w:rsidR="00C869F2" w:rsidRPr="00124B71">
        <w:rPr>
          <w:rFonts w:cs="Times New Roman"/>
        </w:rPr>
        <w:t xml:space="preserve">over the </w:t>
      </w:r>
      <w:r w:rsidR="00BC6D36" w:rsidRPr="00124B71">
        <w:rPr>
          <w:rFonts w:cs="Times New Roman"/>
        </w:rPr>
        <w:t>long</w:t>
      </w:r>
      <w:r w:rsidR="00C869F2" w:rsidRPr="00124B71">
        <w:rPr>
          <w:rFonts w:cs="Times New Roman"/>
        </w:rPr>
        <w:t xml:space="preserve"> </w:t>
      </w:r>
      <w:r w:rsidR="00BC6D36" w:rsidRPr="00124B71">
        <w:rPr>
          <w:rFonts w:cs="Times New Roman"/>
        </w:rPr>
        <w:t xml:space="preserve">term house prices, wages and inflation all move </w:t>
      </w:r>
      <w:r w:rsidR="00C869F2" w:rsidRPr="00124B71">
        <w:rPr>
          <w:rFonts w:cs="Times New Roman"/>
        </w:rPr>
        <w:t>in concert</w:t>
      </w:r>
      <w:r w:rsidR="00BC6D36" w:rsidRPr="00124B71">
        <w:rPr>
          <w:rFonts w:cs="Times New Roman"/>
        </w:rPr>
        <w:t>. There are short-term fluctuations in this relationship due to variations in financing terms</w:t>
      </w:r>
      <w:r w:rsidR="00630430" w:rsidRPr="00124B71">
        <w:rPr>
          <w:rFonts w:cs="Times New Roman"/>
        </w:rPr>
        <w:t>, migration patterns, employment,</w:t>
      </w:r>
      <w:r w:rsidR="00B34E4D" w:rsidRPr="00124B71">
        <w:rPr>
          <w:rFonts w:cs="Times New Roman"/>
        </w:rPr>
        <w:t xml:space="preserve"> local limits on construction</w:t>
      </w:r>
      <w:r w:rsidR="00BC6D36" w:rsidRPr="00124B71">
        <w:rPr>
          <w:rFonts w:cs="Times New Roman"/>
        </w:rPr>
        <w:t xml:space="preserve"> and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00BC6D36" w:rsidRPr="00124B71">
        <w:rPr>
          <w:rFonts w:cs="Times New Roman"/>
        </w:rPr>
        <w:t>, but any such deviations from the mean will be corrected over time by market forces. As an investment, houses serve as a hedge against the corrosive effect of inflation, but over the long term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B34E4D" w:rsidRPr="00124B71">
        <w:rPr>
          <w:rFonts w:cs="Times New Roman"/>
        </w:rPr>
        <w:t xml:space="preserve"> much</w:t>
      </w:r>
      <w:r w:rsidR="00BC6D36" w:rsidRPr="00124B71">
        <w:rPr>
          <w:rFonts w:cs="Times New Roman"/>
        </w:rPr>
        <w:t xml:space="preserve"> in excess of the general rate of inflation is not possible. In this regard, houses are little better than savings accounts as an asset class, and they are inferior to stocks</w:t>
      </w:r>
      <w:r w:rsidR="001858B5">
        <w:rPr>
          <w:rFonts w:cs="Times New Roman"/>
        </w:rPr>
        <w:fldChar w:fldCharType="begin"/>
      </w:r>
      <w:r w:rsidR="00FF74AC">
        <w:instrText xml:space="preserve"> XE "</w:instrText>
      </w:r>
      <w:r w:rsidR="00FF74AC" w:rsidRPr="00D753F0">
        <w:rPr>
          <w:rFonts w:cs="Times New Roman"/>
        </w:rPr>
        <w:instrText>stocks</w:instrText>
      </w:r>
      <w:r w:rsidR="00FF74AC">
        <w:instrText xml:space="preserve">" </w:instrText>
      </w:r>
      <w:r w:rsidR="001858B5">
        <w:rPr>
          <w:rFonts w:cs="Times New Roman"/>
        </w:rPr>
        <w:fldChar w:fldCharType="end"/>
      </w:r>
      <w:r w:rsidR="00BC6D36" w:rsidRPr="00124B71">
        <w:rPr>
          <w:rFonts w:cs="Times New Roman"/>
        </w:rPr>
        <w:t xml:space="preserve"> or bonds in the long term.</w:t>
      </w:r>
    </w:p>
    <w:p w14:paraId="12335301" w14:textId="77777777" w:rsidR="00BC6D36" w:rsidRPr="00EF0EDA" w:rsidRDefault="00BC6D36" w:rsidP="00F64AE8">
      <w:pPr>
        <w:pStyle w:val="Heading3"/>
      </w:pPr>
      <w:bookmarkStart w:id="141" w:name="_Toc238867348"/>
      <w:r w:rsidRPr="00EF0EDA">
        <w:lastRenderedPageBreak/>
        <w:t>Leverage and Debt</w:t>
      </w:r>
      <w:bookmarkEnd w:id="141"/>
    </w:p>
    <w:p w14:paraId="5603FD64" w14:textId="77777777" w:rsidR="00BC6D36" w:rsidRPr="00124B71" w:rsidRDefault="00BC6D36" w:rsidP="00F64AE8">
      <w:pPr>
        <w:rPr>
          <w:rFonts w:cs="Times New Roman"/>
        </w:rPr>
      </w:pPr>
      <w:r w:rsidRPr="00124B71">
        <w:rPr>
          <w:rFonts w:cs="Times New Roman"/>
        </w:rPr>
        <w:t>As a speculative investment, residential real estate has the potential to make or lose vast sums of money due to the impact of financial leverage</w:t>
      </w:r>
      <w:r w:rsidR="001858B5">
        <w:rPr>
          <w:rFonts w:cs="Times New Roman"/>
        </w:rPr>
        <w:fldChar w:fldCharType="begin"/>
      </w:r>
      <w:r w:rsidR="00FF74AC">
        <w:instrText xml:space="preserve"> XE "</w:instrText>
      </w:r>
      <w:r w:rsidR="00FF74AC" w:rsidRPr="00070786">
        <w:rPr>
          <w:rFonts w:cs="Times New Roman"/>
        </w:rPr>
        <w:instrText>leverage</w:instrText>
      </w:r>
      <w:r w:rsidR="00FF74AC">
        <w:instrText xml:space="preserve">" </w:instrText>
      </w:r>
      <w:r w:rsidR="001858B5">
        <w:rPr>
          <w:rFonts w:cs="Times New Roman"/>
        </w:rPr>
        <w:fldChar w:fldCharType="end"/>
      </w:r>
      <w:r w:rsidRPr="00124B71">
        <w:rPr>
          <w:rFonts w:cs="Times New Roman"/>
        </w:rPr>
        <w:t xml:space="preserve"> (debt</w:t>
      </w:r>
      <w:r w:rsidR="00A40CA5" w:rsidRPr="00124B71">
        <w:rPr>
          <w:rFonts w:cs="Times New Roman"/>
        </w:rPr>
        <w:t>).</w:t>
      </w:r>
      <w:r w:rsidRPr="00124B71">
        <w:rPr>
          <w:rFonts w:cs="Times New Roman"/>
        </w:rPr>
        <w:t xml:space="preserve"> Houses are typically leveraged at 80% of their value. During the Great Housing Bubble, this leverage was often provided at 100% by various lenders. Leverage is a powerful ally when prices increase, but leverage works just as strongly against the speculator when prices decrease. For example, if a house is leveraged 80% and it increases in value 5% in one year, the return to the investor is actually 25% due to the 5 times multiplier created by leverage. With the effect of leverage, speculation on housing can far exceed any competing investment strategy. However, the inverse is also true. If a house is leveraged 80% and it decreases in value 5% in one year, the loss to the investor is 25% of </w:t>
      </w:r>
      <w:r w:rsidR="00851587" w:rsidRPr="00124B71">
        <w:rPr>
          <w:rFonts w:cs="Times New Roman"/>
        </w:rPr>
        <w:t>her</w:t>
      </w:r>
      <w:r w:rsidRPr="00124B71">
        <w:rPr>
          <w:rFonts w:cs="Times New Roman"/>
        </w:rPr>
        <w:t xml:space="preserve"> downpayment</w:t>
      </w:r>
      <w:r w:rsidR="00851587" w:rsidRPr="00124B71">
        <w:rPr>
          <w:rFonts w:cs="Times New Roman"/>
        </w:rPr>
        <w:t>,</w:t>
      </w:r>
      <w:r w:rsidRPr="00124B71">
        <w:rPr>
          <w:rFonts w:cs="Times New Roman"/>
        </w:rPr>
        <w:t xml:space="preserve"> not just the 5% the house declined in value. Leverage magnifies both the return and the risk of any speculative venture.</w:t>
      </w:r>
    </w:p>
    <w:p w14:paraId="721CCFB9" w14:textId="77777777" w:rsidR="00BC6D36" w:rsidRPr="00124B71" w:rsidRDefault="00BC6D36" w:rsidP="00F64AE8">
      <w:pPr>
        <w:rPr>
          <w:rFonts w:cs="Times New Roman"/>
        </w:rPr>
      </w:pPr>
      <w:r w:rsidRPr="00124B71">
        <w:rPr>
          <w:rFonts w:cs="Times New Roman"/>
        </w:rPr>
        <w:t>One of the worst mistakes lenders made during the Great Housing Bubble was to allow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and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loans. This was a boon for speculators because it allowed them to participate in the market without any of their own capital and it allowed them to hold the speculative assets with a minimal debt service expense. Plus, there was the implicit idea that they would simply default if the deal did not go in their favor (which of course many did</w:t>
      </w:r>
      <w:r w:rsidR="00A40CA5" w:rsidRPr="00124B71">
        <w:rPr>
          <w:rFonts w:cs="Times New Roman"/>
        </w:rPr>
        <w:t>).</w:t>
      </w:r>
      <w:r w:rsidRPr="00124B71">
        <w:rPr>
          <w:rFonts w:cs="Times New Roman"/>
        </w:rPr>
        <w:t xml:space="preserve"> Combine these facts with the near elimination of loan underwriting standards allowing anyone to participate, and the conditions </w:t>
      </w:r>
      <w:r w:rsidR="00C869F2" w:rsidRPr="00124B71">
        <w:rPr>
          <w:rFonts w:cs="Times New Roman"/>
        </w:rPr>
        <w:t>we</w:t>
      </w:r>
      <w:r w:rsidRPr="00124B71">
        <w:rPr>
          <w:rFonts w:cs="Times New Roman"/>
        </w:rPr>
        <w:t xml:space="preserve">re </w:t>
      </w:r>
      <w:r w:rsidR="00B34E4D" w:rsidRPr="00124B71">
        <w:rPr>
          <w:rFonts w:cs="Times New Roman"/>
        </w:rPr>
        <w:t>perfect for rampant speculation,</w:t>
      </w:r>
      <w:r w:rsidRPr="00124B71">
        <w:rPr>
          <w:rFonts w:cs="Times New Roman"/>
        </w:rPr>
        <w:t xml:space="preserve"> a wild increase in prices</w:t>
      </w:r>
      <w:r w:rsidR="00B34E4D" w:rsidRPr="00124B71">
        <w:rPr>
          <w:rFonts w:cs="Times New Roman"/>
        </w:rPr>
        <w:t xml:space="preserve"> and so much speculative demand that many new and existing home purchases would remain vacant.</w:t>
      </w:r>
    </w:p>
    <w:p w14:paraId="5659E9B6" w14:textId="77777777" w:rsidR="00BC6D36" w:rsidRPr="00EF0EDA" w:rsidRDefault="00BC6D36" w:rsidP="00F64AE8">
      <w:pPr>
        <w:pStyle w:val="Heading3"/>
      </w:pPr>
      <w:bookmarkStart w:id="142" w:name="_Toc238867349"/>
      <w:r w:rsidRPr="00EF0EDA">
        <w:t>Why Speculators Fail</w:t>
      </w:r>
      <w:bookmarkEnd w:id="142"/>
    </w:p>
    <w:p w14:paraId="5267CE8C" w14:textId="77777777" w:rsidR="00C55849" w:rsidRPr="00124B71" w:rsidRDefault="00BC6D36" w:rsidP="00C55849">
      <w:pPr>
        <w:rPr>
          <w:rFonts w:cs="Times New Roman"/>
        </w:rPr>
      </w:pPr>
      <w:r w:rsidRPr="00124B71">
        <w:rPr>
          <w:rFonts w:cs="Times New Roman"/>
        </w:rPr>
        <w:t xml:space="preserve"> Despite the huge price spike in the final two years of the bubble caused by wild speculation, most speculators will lose a great deal of money. The causes are rooted in basic human emotions that work against making the proper decisions to profit in a speculative market. The moment a speculative asset is purchased and the speculator has taken a position in the market, emotions are immediately in play. If the potential resale price in the market is rising, the natural reaction is to want more. Greed takes over and the asset is strongly coveted by the speculator. If possible, the speculator will purchase more of the asset in question. This was common in the bubble when people would take the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from one property and purchase even more residential real estate. The problem with this natural emotional reaction is that it prevents the speculator from selling the asset and taking profits when they are available. People who</w:t>
      </w:r>
      <w:r w:rsidR="00851587" w:rsidRPr="00124B71">
        <w:rPr>
          <w:rFonts w:cs="Times New Roman"/>
        </w:rPr>
        <w:t xml:space="preserve"> successfully</w:t>
      </w:r>
      <w:r w:rsidRPr="00124B71">
        <w:rPr>
          <w:rFonts w:cs="Times New Roman"/>
        </w:rPr>
        <w:t xml:space="preserve"> make a living participating in speculative markets have learned to override this natural instinct and sell when their emotions are telling them to buy more. The average residential real estate speculator does not have this discipline or awareness. </w:t>
      </w:r>
      <w:r w:rsidR="00851587" w:rsidRPr="00124B71">
        <w:rPr>
          <w:rFonts w:cs="Times New Roman"/>
        </w:rPr>
        <w:t>He</w:t>
      </w:r>
      <w:r w:rsidRPr="00124B71">
        <w:rPr>
          <w:rFonts w:cs="Times New Roman"/>
        </w:rPr>
        <w:t xml:space="preserve"> will hold the asset through the good times.</w:t>
      </w:r>
      <w:r w:rsidR="00C55849" w:rsidRPr="00124B71">
        <w:rPr>
          <w:rFonts w:cs="Times New Roman"/>
        </w:rPr>
        <w:t xml:space="preserve"> </w:t>
      </w:r>
    </w:p>
    <w:p w14:paraId="736BAC1F" w14:textId="77777777" w:rsidR="00C55849" w:rsidRPr="00124B71" w:rsidRDefault="00C55849" w:rsidP="00C55849">
      <w:pPr>
        <w:rPr>
          <w:rFonts w:cs="Times New Roman"/>
        </w:rPr>
      </w:pPr>
      <w:r w:rsidRPr="00124B71">
        <w:rPr>
          <w:rFonts w:cs="Times New Roman"/>
        </w:rPr>
        <w:t xml:space="preserve">When prices begin to fall in a speculative market, most speculators immediately lapse into denial. They were so emotionally rewarded by purchasing and holding the asset, they see no reason to believe the first signs of a declining </w:t>
      </w:r>
      <w:r w:rsidRPr="00124B71">
        <w:rPr>
          <w:rFonts w:cs="Times New Roman"/>
        </w:rPr>
        <w:lastRenderedPageBreak/>
        <w:t xml:space="preserve">market are anything other than a temporary aberration. As prices continue to fall, the emotions change: fear begins to creep in, and the battle between denial and fear goes on well past the breakeven point where the speculator could have closed the position without losing any money. </w:t>
      </w:r>
      <w:r w:rsidRPr="00124B71">
        <w:rPr>
          <w:rStyle w:val="EndnoteReference"/>
          <w:rFonts w:cs="Times New Roman"/>
        </w:rPr>
        <w:endnoteReference w:id="91"/>
      </w:r>
      <w:r w:rsidRPr="00124B71">
        <w:rPr>
          <w:rFonts w:cs="Times New Roman"/>
        </w:rPr>
        <w:t xml:space="preserve"> As prices fall further, the fear begins to take an emotional toll and the speculator starts to feel pain. As prices drop further, more pain is inflicted on the speculator. What is the natural reaction to pain? Push it away. As a speculative investment becomes painful, the natural reaction is to want to get rid of it. This prompts the speculator to sell the asset</w:t>
      </w:r>
      <w:r w:rsidR="007C469A">
        <w:rPr>
          <w:rFonts w:cs="Times New Roman"/>
        </w:rPr>
        <w:t>–</w:t>
      </w:r>
      <w:r w:rsidRPr="00124B71">
        <w:rPr>
          <w:rFonts w:cs="Times New Roman"/>
        </w:rPr>
        <w:t>only after he has lost money. Speculator’s emotions always work against them. When the asset is rising in price they want more of it, and when it is falling in price they want less. This is a natural reaction, and it is a primary cause of losses in speculative markets. This is why most speculators fail.</w:t>
      </w:r>
    </w:p>
    <w:p w14:paraId="04B7043F" w14:textId="74045905" w:rsidR="00BC6D36" w:rsidRPr="00EF0EDA" w:rsidRDefault="00CF05FE" w:rsidP="00F64AE8">
      <w:pPr>
        <w:pStyle w:val="Caption"/>
      </w:pPr>
      <w:bookmarkStart w:id="143" w:name="_Toc238867472"/>
      <w:r>
        <w:t>Figure</w:t>
      </w:r>
      <w:r w:rsidR="00BC6D36" w:rsidRPr="00EF0EDA">
        <w:t xml:space="preserve"> </w:t>
      </w:r>
      <w:fldSimple w:instr=" SEQ Figure \* ARABIC ">
        <w:r w:rsidR="00493733">
          <w:rPr>
            <w:noProof/>
          </w:rPr>
          <w:t>31</w:t>
        </w:r>
      </w:fldSimple>
      <w:r w:rsidR="00317936">
        <w:t xml:space="preserve">: </w:t>
      </w:r>
      <w:r w:rsidR="00BC6D36" w:rsidRPr="00EF0EDA">
        <w:t>Speculator Emotional Cycle</w:t>
      </w:r>
      <w:bookmarkEnd w:id="143"/>
    </w:p>
    <w:p w14:paraId="7C2A9669" w14:textId="77777777" w:rsidR="00BC6D36" w:rsidRPr="00EF0EDA" w:rsidRDefault="002703E4" w:rsidP="00C55849">
      <w:pPr>
        <w:pStyle w:val="Graphics"/>
      </w:pPr>
      <w:r>
        <w:drawing>
          <wp:inline distT="0" distB="0" distL="0" distR="0" wp14:anchorId="64B7417A" wp14:editId="6557C839">
            <wp:extent cx="3657600" cy="3447288"/>
            <wp:effectExtent l="19050" t="0" r="0" b="0"/>
            <wp:docPr id="95" name="Picture 94" descr="Speculator Emotional 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ulator Emotional Cycle.jpg"/>
                    <pic:cNvPicPr/>
                  </pic:nvPicPr>
                  <pic:blipFill>
                    <a:blip r:embed="rId67"/>
                    <a:stretch>
                      <a:fillRect/>
                    </a:stretch>
                  </pic:blipFill>
                  <pic:spPr>
                    <a:xfrm>
                      <a:off x="0" y="0"/>
                      <a:ext cx="3657600" cy="3447288"/>
                    </a:xfrm>
                    <a:prstGeom prst="rect">
                      <a:avLst/>
                    </a:prstGeom>
                  </pic:spPr>
                </pic:pic>
              </a:graphicData>
            </a:graphic>
          </wp:inline>
        </w:drawing>
      </w:r>
    </w:p>
    <w:p w14:paraId="08D93CD3" w14:textId="77777777" w:rsidR="00BC6D36" w:rsidRPr="00EF0EDA" w:rsidRDefault="00BC6D36" w:rsidP="00F64AE8">
      <w:pPr>
        <w:pStyle w:val="Heading3"/>
      </w:pPr>
      <w:bookmarkStart w:id="144" w:name="_Toc238867350"/>
      <w:r w:rsidRPr="00EF0EDA">
        <w:t>Two Kinds of Real Estate Investors</w:t>
      </w:r>
      <w:bookmarkEnd w:id="144"/>
    </w:p>
    <w:p w14:paraId="10FF15BD" w14:textId="77777777" w:rsidR="00BC6D36" w:rsidRPr="00124B71" w:rsidRDefault="00BC6D36" w:rsidP="00F64AE8">
      <w:pPr>
        <w:rPr>
          <w:rFonts w:cs="Times New Roman"/>
        </w:rPr>
      </w:pPr>
      <w:r w:rsidRPr="00124B71">
        <w:rPr>
          <w:rFonts w:cs="Times New Roman"/>
        </w:rPr>
        <w:t>There are two types of true real estate investors: Rent Savers</w:t>
      </w:r>
      <w:r w:rsidR="001858B5">
        <w:rPr>
          <w:rFonts w:cs="Times New Roman"/>
        </w:rPr>
        <w:fldChar w:fldCharType="begin"/>
      </w:r>
      <w:r w:rsidR="001A53F8">
        <w:instrText xml:space="preserve"> XE "</w:instrText>
      </w:r>
      <w:r w:rsidR="001A53F8" w:rsidRPr="005F5643">
        <w:rPr>
          <w:rFonts w:cs="Times New Roman"/>
        </w:rPr>
        <w:instrText>Rent Savers</w:instrText>
      </w:r>
      <w:r w:rsidR="001A53F8">
        <w:instrText xml:space="preserve">" </w:instrText>
      </w:r>
      <w:r w:rsidR="001858B5">
        <w:rPr>
          <w:rFonts w:cs="Times New Roman"/>
        </w:rPr>
        <w:fldChar w:fldCharType="end"/>
      </w:r>
      <w:r w:rsidRPr="00124B71">
        <w:rPr>
          <w:rFonts w:cs="Times New Roman"/>
        </w:rPr>
        <w:t xml:space="preserve"> and Cashflow Investors</w:t>
      </w:r>
      <w:r w:rsidR="001858B5">
        <w:rPr>
          <w:rFonts w:cs="Times New Roman"/>
        </w:rPr>
        <w:fldChar w:fldCharType="begin"/>
      </w:r>
      <w:r w:rsidR="001A53F8">
        <w:instrText xml:space="preserve"> XE "</w:instrText>
      </w:r>
      <w:r w:rsidR="001A53F8" w:rsidRPr="00D26324">
        <w:rPr>
          <w:rFonts w:cs="Times New Roman"/>
        </w:rPr>
        <w:instrText>Cashflow Investors</w:instrText>
      </w:r>
      <w:r w:rsidR="001A53F8">
        <w:instrText xml:space="preserve">" </w:instrText>
      </w:r>
      <w:r w:rsidR="001858B5">
        <w:rPr>
          <w:rFonts w:cs="Times New Roman"/>
        </w:rPr>
        <w:fldChar w:fldCharType="end"/>
      </w:r>
      <w:r w:rsidRPr="00124B71">
        <w:rPr>
          <w:rFonts w:cs="Times New Roman"/>
        </w:rPr>
        <w:t>. These two groups will enter a real estate market without regard to future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because either the cash savings or the positive cashflow warrant the purchase price of the asset. These people are largely immune to the emotional pratfalls of speculators because the value </w:t>
      </w:r>
      <w:r w:rsidR="00851587" w:rsidRPr="00124B71">
        <w:rPr>
          <w:rFonts w:cs="Times New Roman"/>
        </w:rPr>
        <w:t>of</w:t>
      </w:r>
      <w:r w:rsidRPr="00124B71">
        <w:rPr>
          <w:rFonts w:cs="Times New Roman"/>
        </w:rPr>
        <w:t xml:space="preserve"> the investment to them is not dependent upon a profit to be garnered when the asset is sold. They </w:t>
      </w:r>
      <w:r w:rsidRPr="00124B71">
        <w:rPr>
          <w:rFonts w:cs="Times New Roman"/>
        </w:rPr>
        <w:lastRenderedPageBreak/>
        <w:t>will hold the asset through any price declines because they are not feeling any pain when prices drop. Since these investors will purchase houses even if prices are declining, they are the ones who move in to create a bottom and end the cycle of declining prices.</w:t>
      </w:r>
    </w:p>
    <w:p w14:paraId="24F1B826" w14:textId="77777777" w:rsidR="00BC6D36" w:rsidRPr="00124B71" w:rsidRDefault="00BC6D36" w:rsidP="00F64AE8">
      <w:pPr>
        <w:rPr>
          <w:rFonts w:cs="Times New Roman"/>
        </w:rPr>
      </w:pPr>
      <w:r w:rsidRPr="00124B71">
        <w:rPr>
          <w:rFonts w:cs="Times New Roman"/>
        </w:rPr>
        <w:t>In a declining market, a market where by definition there is more must-sell</w:t>
      </w:r>
      <w:r w:rsidR="001858B5">
        <w:rPr>
          <w:rFonts w:cs="Times New Roman"/>
        </w:rPr>
        <w:fldChar w:fldCharType="begin"/>
      </w:r>
      <w:r w:rsidR="00C12412">
        <w:instrText xml:space="preserve"> XE "</w:instrText>
      </w:r>
      <w:r w:rsidR="00C12412" w:rsidRPr="0032623E">
        <w:rPr>
          <w:rFonts w:cs="Times New Roman"/>
        </w:rPr>
        <w:instrText>must-sell</w:instrText>
      </w:r>
      <w:r w:rsidR="00C12412">
        <w:instrText xml:space="preserve">" </w:instrText>
      </w:r>
      <w:r w:rsidR="001858B5">
        <w:rPr>
          <w:rFonts w:cs="Times New Roman"/>
        </w:rPr>
        <w:fldChar w:fldCharType="end"/>
      </w:r>
      <w:r w:rsidRPr="00124B71">
        <w:rPr>
          <w:rFonts w:cs="Times New Roman"/>
        </w:rPr>
        <w:t xml:space="preserve"> inventory than there are buyers to absorb it, it takes an influx of new buyers to restore balance. Since it is foolish to buy with the expectation of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in a declining market, the buyers who were frantically bidding up the values of properties in the rally are notably absent from the market. With the exception of the occasional knife-catcher, these potential buyers simply do not buy. This absence of buyers perpetuates the decline once it starts. Add to that the inevitable foreclosures in a price decline, and the result is</w:t>
      </w:r>
      <w:r w:rsidR="00851587" w:rsidRPr="00124B71">
        <w:rPr>
          <w:rFonts w:cs="Times New Roman"/>
        </w:rPr>
        <w:t xml:space="preserve"> an</w:t>
      </w:r>
      <w:r w:rsidRPr="00124B71">
        <w:rPr>
          <w:rFonts w:cs="Times New Roman"/>
        </w:rPr>
        <w:t xml:space="preserve"> unending downward spiral</w:t>
      </w:r>
      <w:r w:rsidR="001858B5">
        <w:rPr>
          <w:rFonts w:cs="Times New Roman"/>
        </w:rPr>
        <w:fldChar w:fldCharType="begin"/>
      </w:r>
      <w:r w:rsidR="001A53F8">
        <w:instrText xml:space="preserve"> XE "</w:instrText>
      </w:r>
      <w:r w:rsidR="001A53F8" w:rsidRPr="00346079">
        <w:rPr>
          <w:rFonts w:cs="Times New Roman"/>
        </w:rPr>
        <w:instrText>downward spiral</w:instrText>
      </w:r>
      <w:r w:rsidR="001A53F8">
        <w:instrText xml:space="preserve">" </w:instrText>
      </w:r>
      <w:r w:rsidR="001858B5">
        <w:rPr>
          <w:rFonts w:cs="Times New Roman"/>
        </w:rPr>
        <w:fldChar w:fldCharType="end"/>
      </w:r>
      <w:r w:rsidRPr="00124B71">
        <w:rPr>
          <w:rFonts w:cs="Times New Roman"/>
        </w:rPr>
        <w:t>. It takes Rent Savers</w:t>
      </w:r>
      <w:r w:rsidR="001858B5">
        <w:rPr>
          <w:rFonts w:cs="Times New Roman"/>
        </w:rPr>
        <w:fldChar w:fldCharType="begin"/>
      </w:r>
      <w:r w:rsidR="001A53F8">
        <w:instrText xml:space="preserve"> XE "</w:instrText>
      </w:r>
      <w:r w:rsidR="001A53F8" w:rsidRPr="005F5643">
        <w:rPr>
          <w:rFonts w:cs="Times New Roman"/>
        </w:rPr>
        <w:instrText>Rent Savers</w:instrText>
      </w:r>
      <w:r w:rsidR="001A53F8">
        <w:instrText xml:space="preserve">" </w:instrText>
      </w:r>
      <w:r w:rsidR="001858B5">
        <w:rPr>
          <w:rFonts w:cs="Times New Roman"/>
        </w:rPr>
        <w:fldChar w:fldCharType="end"/>
      </w:r>
      <w:r w:rsidRPr="00124B71">
        <w:rPr>
          <w:rFonts w:cs="Times New Roman"/>
        </w:rPr>
        <w:t xml:space="preserve"> and Cashflow Investors</w:t>
      </w:r>
      <w:r w:rsidR="001858B5">
        <w:rPr>
          <w:rFonts w:cs="Times New Roman"/>
        </w:rPr>
        <w:fldChar w:fldCharType="begin"/>
      </w:r>
      <w:r w:rsidR="001A53F8">
        <w:instrText xml:space="preserve"> XE "</w:instrText>
      </w:r>
      <w:r w:rsidR="001A53F8" w:rsidRPr="00D26324">
        <w:rPr>
          <w:rFonts w:cs="Times New Roman"/>
        </w:rPr>
        <w:instrText>Cashflow Investors</w:instrText>
      </w:r>
      <w:r w:rsidR="001A53F8">
        <w:instrText xml:space="preserve">" </w:instrText>
      </w:r>
      <w:r w:rsidR="001858B5">
        <w:rPr>
          <w:rFonts w:cs="Times New Roman"/>
        </w:rPr>
        <w:fldChar w:fldCharType="end"/>
      </w:r>
      <w:r w:rsidRPr="00124B71">
        <w:rPr>
          <w:rFonts w:cs="Times New Roman"/>
        </w:rPr>
        <w:t xml:space="preserve"> </w:t>
      </w:r>
      <w:r w:rsidR="00851587" w:rsidRPr="00124B71">
        <w:rPr>
          <w:rFonts w:cs="Times New Roman"/>
        </w:rPr>
        <w:t>entering</w:t>
      </w:r>
      <w:r w:rsidRPr="00124B71">
        <w:rPr>
          <w:rFonts w:cs="Times New Roman"/>
        </w:rPr>
        <w:t xml:space="preserve"> the market to provide support, break the cycle and create a bottom.</w:t>
      </w:r>
    </w:p>
    <w:p w14:paraId="68323E07" w14:textId="77777777" w:rsidR="00BC6D36" w:rsidRPr="00124B71" w:rsidRDefault="00BC6D36" w:rsidP="00F64AE8">
      <w:pPr>
        <w:rPr>
          <w:rFonts w:cs="Times New Roman"/>
        </w:rPr>
      </w:pPr>
      <w:r w:rsidRPr="00124B71">
        <w:rPr>
          <w:rFonts w:cs="Times New Roman"/>
        </w:rPr>
        <w:t>Rent Savers</w:t>
      </w:r>
      <w:r w:rsidR="001858B5">
        <w:rPr>
          <w:rFonts w:cs="Times New Roman"/>
        </w:rPr>
        <w:fldChar w:fldCharType="begin"/>
      </w:r>
      <w:r w:rsidR="001A53F8">
        <w:instrText xml:space="preserve"> XE "</w:instrText>
      </w:r>
      <w:r w:rsidR="001A53F8" w:rsidRPr="005F5643">
        <w:rPr>
          <w:rFonts w:cs="Times New Roman"/>
        </w:rPr>
        <w:instrText>Rent Savers</w:instrText>
      </w:r>
      <w:r w:rsidR="001A53F8">
        <w:instrText xml:space="preserve">" </w:instrText>
      </w:r>
      <w:r w:rsidR="001858B5">
        <w:rPr>
          <w:rFonts w:cs="Times New Roman"/>
        </w:rPr>
        <w:fldChar w:fldCharType="end"/>
      </w:r>
      <w:r w:rsidRPr="00124B71">
        <w:rPr>
          <w:rFonts w:cs="Times New Roman"/>
        </w:rPr>
        <w:t xml:space="preserve"> are buyers who enter the market when it is less expensive to own than to rent. It does not matter to these people what houses</w:t>
      </w:r>
      <w:r w:rsidR="00851587" w:rsidRPr="00124B71">
        <w:rPr>
          <w:rFonts w:cs="Times New Roman"/>
        </w:rPr>
        <w:t xml:space="preserve"> will</w:t>
      </w:r>
      <w:r w:rsidRPr="00124B71">
        <w:rPr>
          <w:rFonts w:cs="Times New Roman"/>
        </w:rPr>
        <w:t xml:space="preserve"> trade for in the market in the future. They are not buying with fantasies of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They just know they are saving money over renting, and that is good enough for them. Cashflow Investors</w:t>
      </w:r>
      <w:r w:rsidR="001858B5">
        <w:rPr>
          <w:rFonts w:cs="Times New Roman"/>
        </w:rPr>
        <w:fldChar w:fldCharType="begin"/>
      </w:r>
      <w:r w:rsidR="001A53F8">
        <w:instrText xml:space="preserve"> XE "</w:instrText>
      </w:r>
      <w:r w:rsidR="001A53F8" w:rsidRPr="00D26324">
        <w:rPr>
          <w:rFonts w:cs="Times New Roman"/>
        </w:rPr>
        <w:instrText>Cashflow Investors</w:instrText>
      </w:r>
      <w:r w:rsidR="001A53F8">
        <w:instrText xml:space="preserve">" </w:instrText>
      </w:r>
      <w:r w:rsidR="001858B5">
        <w:rPr>
          <w:rFonts w:cs="Times New Roman"/>
        </w:rPr>
        <w:fldChar w:fldCharType="end"/>
      </w:r>
      <w:r w:rsidRPr="00124B71">
        <w:rPr>
          <w:rFonts w:cs="Times New Roman"/>
        </w:rPr>
        <w:t xml:space="preserve"> have a different agenda; they want to turn a monthly profit from ownership. For them,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must be less than prevailing rent for them to make a return on their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investment. Cashflow Investors form a durable bottom. If prices drop low enough for this group to get into the market, the influx of investment capital can be extraordinary.</w:t>
      </w:r>
    </w:p>
    <w:p w14:paraId="6A828388" w14:textId="77777777" w:rsidR="00BC6D36" w:rsidRPr="00EF0EDA" w:rsidRDefault="00BC6D36" w:rsidP="00F64AE8">
      <w:pPr>
        <w:pStyle w:val="Heading3"/>
      </w:pPr>
      <w:bookmarkStart w:id="145" w:name="_Toc238867351"/>
      <w:r w:rsidRPr="00EF0EDA">
        <w:t>Buyer Support Levels</w:t>
      </w:r>
      <w:bookmarkEnd w:id="145"/>
    </w:p>
    <w:p w14:paraId="2BFCF550" w14:textId="77777777" w:rsidR="00BC6D36" w:rsidRPr="00124B71" w:rsidRDefault="00BC6D36" w:rsidP="00F64AE8">
      <w:pPr>
        <w:rPr>
          <w:rFonts w:cs="Times New Roman"/>
        </w:rPr>
      </w:pPr>
      <w:r w:rsidRPr="00124B71">
        <w:rPr>
          <w:rFonts w:cs="Times New Roman"/>
        </w:rPr>
        <w:t>When do Rent Savers</w:t>
      </w:r>
      <w:r w:rsidR="001858B5">
        <w:rPr>
          <w:rFonts w:cs="Times New Roman"/>
        </w:rPr>
        <w:fldChar w:fldCharType="begin"/>
      </w:r>
      <w:r w:rsidR="001A53F8">
        <w:instrText xml:space="preserve"> XE "</w:instrText>
      </w:r>
      <w:r w:rsidR="001A53F8" w:rsidRPr="005F5643">
        <w:rPr>
          <w:rFonts w:cs="Times New Roman"/>
        </w:rPr>
        <w:instrText>Rent Savers</w:instrText>
      </w:r>
      <w:r w:rsidR="001A53F8">
        <w:instrText xml:space="preserve">" </w:instrText>
      </w:r>
      <w:r w:rsidR="001858B5">
        <w:rPr>
          <w:rFonts w:cs="Times New Roman"/>
        </w:rPr>
        <w:fldChar w:fldCharType="end"/>
      </w:r>
      <w:r w:rsidRPr="00124B71">
        <w:rPr>
          <w:rFonts w:cs="Times New Roman"/>
        </w:rPr>
        <w:t xml:space="preserve"> and Cashflow Investors</w:t>
      </w:r>
      <w:r w:rsidR="001858B5">
        <w:rPr>
          <w:rFonts w:cs="Times New Roman"/>
        </w:rPr>
        <w:fldChar w:fldCharType="begin"/>
      </w:r>
      <w:r w:rsidR="001A53F8">
        <w:instrText xml:space="preserve"> XE "</w:instrText>
      </w:r>
      <w:r w:rsidR="001A53F8" w:rsidRPr="00D26324">
        <w:rPr>
          <w:rFonts w:cs="Times New Roman"/>
        </w:rPr>
        <w:instrText>Cashflow Investors</w:instrText>
      </w:r>
      <w:r w:rsidR="001A53F8">
        <w:instrText xml:space="preserve">" </w:instrText>
      </w:r>
      <w:r w:rsidR="001858B5">
        <w:rPr>
          <w:rFonts w:cs="Times New Roman"/>
        </w:rPr>
        <w:fldChar w:fldCharType="end"/>
      </w:r>
      <w:r w:rsidRPr="00124B71">
        <w:rPr>
          <w:rFonts w:cs="Times New Roman"/>
        </w:rPr>
        <w:t xml:space="preserve"> move in to a market and create a bottom? When comparative rents come into alignment with the total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Rent Savers enter the market and begin purchasing real estate. It makes sense for them to do so because ownership becomes a savings over renting (hence the term Rent Saver</w:t>
      </w:r>
      <w:r w:rsidR="00A40CA5" w:rsidRPr="00124B71">
        <w:rPr>
          <w:rFonts w:cs="Times New Roman"/>
        </w:rPr>
        <w:t>).</w:t>
      </w:r>
      <w:r w:rsidRPr="00124B71">
        <w:rPr>
          <w:rFonts w:cs="Times New Roman"/>
        </w:rPr>
        <w:t xml:space="preserve"> The "return" on the investment is the hedge against inflation the Rent Saver obtains by locking in the cost of housing with a 30-year, fixed-rate, fully-amortized mortgage. As rents in the area continue to increase, these costs are not borne by the Rent Saver. Utilizing the </w:t>
      </w:r>
      <w:r w:rsidR="005265D6" w:rsidRPr="00124B71">
        <w:rPr>
          <w:rFonts w:cs="Times New Roman"/>
        </w:rPr>
        <w:t>price-to-rent</w:t>
      </w:r>
      <w:r w:rsidR="001858B5">
        <w:rPr>
          <w:rFonts w:cs="Times New Roman"/>
        </w:rPr>
        <w:fldChar w:fldCharType="begin"/>
      </w:r>
      <w:r w:rsidR="00180E6F">
        <w:instrText xml:space="preserve"> XE "</w:instrText>
      </w:r>
      <w:r w:rsidR="00180E6F" w:rsidRPr="0007121C">
        <w:rPr>
          <w:rFonts w:cs="Times New Roman"/>
        </w:rPr>
        <w:instrText>price-to-rent</w:instrText>
      </w:r>
      <w:r w:rsidR="00180E6F">
        <w:instrText xml:space="preserve">" </w:instrText>
      </w:r>
      <w:r w:rsidR="001858B5">
        <w:rPr>
          <w:rFonts w:cs="Times New Roman"/>
        </w:rPr>
        <w:fldChar w:fldCharType="end"/>
      </w:r>
      <w:r w:rsidRPr="00124B71">
        <w:rPr>
          <w:rFonts w:cs="Times New Roman"/>
        </w:rPr>
        <w:t xml:space="preserve"> concept, the Rent Savers</w:t>
      </w:r>
      <w:r w:rsidR="005265D6" w:rsidRPr="00124B71">
        <w:rPr>
          <w:rFonts w:cs="Times New Roman"/>
        </w:rPr>
        <w:t xml:space="preserve"> will enter the market when this ratio </w:t>
      </w:r>
      <w:r w:rsidRPr="00124B71">
        <w:rPr>
          <w:rFonts w:cs="Times New Roman"/>
        </w:rPr>
        <w:t>falls to 1</w:t>
      </w:r>
      <w:r w:rsidR="005265D6" w:rsidRPr="00124B71">
        <w:rPr>
          <w:rFonts w:cs="Times New Roman"/>
        </w:rPr>
        <w:t>54</w:t>
      </w:r>
      <w:r w:rsidRPr="00124B71">
        <w:rPr>
          <w:rFonts w:cs="Times New Roman"/>
        </w:rPr>
        <w:t xml:space="preserve"> (based on financing terms available in 2007</w:t>
      </w:r>
      <w:r w:rsidR="00A40CA5" w:rsidRPr="00124B71">
        <w:rPr>
          <w:rFonts w:cs="Times New Roman"/>
        </w:rPr>
        <w:t>).</w:t>
      </w:r>
      <w:r w:rsidRPr="00124B71">
        <w:rPr>
          <w:rFonts w:cs="Times New Roman"/>
        </w:rPr>
        <w:t xml:space="preserve"> There will be </w:t>
      </w:r>
      <w:r w:rsidR="00C869F2" w:rsidRPr="00124B71">
        <w:rPr>
          <w:rFonts w:cs="Times New Roman"/>
        </w:rPr>
        <w:t>some buyers</w:t>
      </w:r>
      <w:r w:rsidRPr="00124B71">
        <w:rPr>
          <w:rFonts w:cs="Times New Roman"/>
        </w:rPr>
        <w:t xml:space="preserve"> who enter at higher prices, but there will not be enough of them to stabilize the market. It takes a decline in prices to where it is less expensive to own than to rent before enough new buyers enter the market to create a bottom. However, there are some properties that Rent Savers </w:t>
      </w:r>
      <w:r w:rsidR="00851587" w:rsidRPr="00124B71">
        <w:rPr>
          <w:rFonts w:cs="Times New Roman"/>
        </w:rPr>
        <w:t>will not purchase</w:t>
      </w:r>
      <w:r w:rsidRPr="00124B71">
        <w:rPr>
          <w:rFonts w:cs="Times New Roman"/>
        </w:rPr>
        <w:t xml:space="preserve"> because they really do not want to live in them. This includes transitory housing like apartments or small apartment-like condominiums. Prices on these properties will generally drop below the 1</w:t>
      </w:r>
      <w:r w:rsidR="005265D6" w:rsidRPr="00124B71">
        <w:rPr>
          <w:rFonts w:cs="Times New Roman"/>
        </w:rPr>
        <w:t>54</w:t>
      </w:r>
      <w:r w:rsidRPr="00124B71">
        <w:rPr>
          <w:rFonts w:cs="Times New Roman"/>
        </w:rPr>
        <w:t xml:space="preserve"> </w:t>
      </w:r>
      <w:r w:rsidR="005265D6" w:rsidRPr="00124B71">
        <w:rPr>
          <w:rFonts w:cs="Times New Roman"/>
        </w:rPr>
        <w:t>price-to-rent</w:t>
      </w:r>
      <w:r w:rsidRPr="00124B71">
        <w:rPr>
          <w:rFonts w:cs="Times New Roman"/>
        </w:rPr>
        <w:t xml:space="preserve"> breakeven for owner occupants until they reach price levels where Cashflow Investors will purchase them as rental properties</w:t>
      </w:r>
      <w:r w:rsidR="001858B5">
        <w:rPr>
          <w:rFonts w:cs="Times New Roman"/>
        </w:rPr>
        <w:fldChar w:fldCharType="begin"/>
      </w:r>
      <w:r w:rsidR="001A53F8">
        <w:instrText xml:space="preserve"> XE "</w:instrText>
      </w:r>
      <w:r w:rsidR="001A53F8" w:rsidRPr="00FA7AFF">
        <w:rPr>
          <w:rFonts w:cs="Times New Roman"/>
        </w:rPr>
        <w:instrText>rental properties</w:instrText>
      </w:r>
      <w:r w:rsidR="001A53F8">
        <w:instrText xml:space="preserve">" </w:instrText>
      </w:r>
      <w:r w:rsidR="001858B5">
        <w:rPr>
          <w:rFonts w:cs="Times New Roman"/>
        </w:rPr>
        <w:fldChar w:fldCharType="end"/>
      </w:r>
      <w:r w:rsidRPr="00124B71">
        <w:rPr>
          <w:rFonts w:cs="Times New Roman"/>
        </w:rPr>
        <w:t xml:space="preserve">. Since these investors do not want to merely break even, the price must be low enough for the rental rate to exceed </w:t>
      </w:r>
      <w:r w:rsidRPr="00124B71">
        <w:rPr>
          <w:rFonts w:cs="Times New Roman"/>
        </w:rPr>
        <w:lastRenderedPageBreak/>
        <w:t xml:space="preserve">the cost of ownership by enough to provide a return on the investor's capital. Historically, </w:t>
      </w:r>
      <w:r w:rsidR="005265D6" w:rsidRPr="00124B71">
        <w:rPr>
          <w:rFonts w:cs="Times New Roman"/>
        </w:rPr>
        <w:t>price-to-rent ratios</w:t>
      </w:r>
      <w:r w:rsidRPr="00124B71">
        <w:rPr>
          <w:rFonts w:cs="Times New Roman"/>
        </w:rPr>
        <w:t xml:space="preserve"> from 100-120 are required to create the conditions necessa</w:t>
      </w:r>
      <w:r w:rsidR="00851587" w:rsidRPr="00124B71">
        <w:rPr>
          <w:rFonts w:cs="Times New Roman"/>
        </w:rPr>
        <w:t>ry to attract Cashflow Investor</w:t>
      </w:r>
      <w:r w:rsidRPr="00124B71">
        <w:rPr>
          <w:rFonts w:cs="Times New Roman"/>
        </w:rPr>
        <w:t>s</w:t>
      </w:r>
      <w:r w:rsidR="00851587" w:rsidRPr="00124B71">
        <w:rPr>
          <w:rFonts w:cs="Times New Roman"/>
        </w:rPr>
        <w:t>’</w:t>
      </w:r>
      <w:r w:rsidRPr="00124B71">
        <w:rPr>
          <w:rFonts w:cs="Times New Roman"/>
        </w:rPr>
        <w:t xml:space="preserve"> capital.</w:t>
      </w:r>
    </w:p>
    <w:p w14:paraId="225BD009" w14:textId="77777777" w:rsidR="00BC6D36" w:rsidRPr="00124B71" w:rsidRDefault="00BC6D36" w:rsidP="00F64AE8">
      <w:pPr>
        <w:rPr>
          <w:rFonts w:cs="Times New Roman"/>
        </w:rPr>
      </w:pPr>
      <w:r w:rsidRPr="00124B71">
        <w:rPr>
          <w:rFonts w:cs="Times New Roman"/>
        </w:rPr>
        <w:t xml:space="preserve">When it comes time to consider purchasing a house, </w:t>
      </w:r>
      <w:r w:rsidR="00851587" w:rsidRPr="00124B71">
        <w:rPr>
          <w:rFonts w:cs="Times New Roman"/>
        </w:rPr>
        <w:t>each person should evaluate if their</w:t>
      </w:r>
      <w:r w:rsidRPr="00124B71">
        <w:rPr>
          <w:rFonts w:cs="Times New Roman"/>
        </w:rPr>
        <w:t xml:space="preserve"> motivation is one of an investor or one of a speculator. Investment in real estate requires an accurate assessment of the revenue (or savings) and the costs associated with the property. If the cashflow from the property warrants the purchase of the investment</w:t>
      </w:r>
      <w:r w:rsidR="007C469A">
        <w:rPr>
          <w:rFonts w:cs="Times New Roman"/>
        </w:rPr>
        <w:t>–</w:t>
      </w:r>
      <w:r w:rsidRPr="00124B71">
        <w:rPr>
          <w:rFonts w:cs="Times New Roman"/>
        </w:rPr>
        <w:t>without regard to future asset value</w:t>
      </w:r>
      <w:r w:rsidR="007C469A">
        <w:rPr>
          <w:rFonts w:cs="Times New Roman"/>
        </w:rPr>
        <w:t>–</w:t>
      </w:r>
      <w:r w:rsidRPr="00124B71">
        <w:rPr>
          <w:rFonts w:cs="Times New Roman"/>
        </w:rPr>
        <w:t>then it is a true investment, and the risks of ownership are much reduced. If the property’s asset resale value were to decline, the investment value</w:t>
      </w:r>
      <w:r w:rsidR="001858B5">
        <w:rPr>
          <w:rFonts w:cs="Times New Roman"/>
        </w:rPr>
        <w:fldChar w:fldCharType="begin"/>
      </w:r>
      <w:r w:rsidR="00FF74AC">
        <w:instrText xml:space="preserve"> XE "</w:instrText>
      </w:r>
      <w:r w:rsidR="00FF74AC" w:rsidRPr="000E370D">
        <w:rPr>
          <w:rFonts w:cs="Times New Roman"/>
        </w:rPr>
        <w:instrText>investment value</w:instrText>
      </w:r>
      <w:r w:rsidR="00FF74AC">
        <w:instrText xml:space="preserve">" </w:instrText>
      </w:r>
      <w:r w:rsidR="001858B5">
        <w:rPr>
          <w:rFonts w:cs="Times New Roman"/>
        </w:rPr>
        <w:fldChar w:fldCharType="end"/>
      </w:r>
      <w:r w:rsidRPr="00124B71">
        <w:rPr>
          <w:rFonts w:cs="Times New Roman"/>
        </w:rPr>
        <w:t xml:space="preserve"> would still be there, and the investor would feel no pain and no pressure to sell. In contrast, speculation is a loser’s game, and if the motivation is to capture a windfall from future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there is a good chance it may not work out as planned because the emotions of a speculator will cause a sale at the worst possible time. A few can put their emotions aside and properly evaluate the market and trade the asset, but most who profit from speculation simply </w:t>
      </w:r>
      <w:r w:rsidR="00851587" w:rsidRPr="00124B71">
        <w:rPr>
          <w:rFonts w:cs="Times New Roman"/>
        </w:rPr>
        <w:t>sell</w:t>
      </w:r>
      <w:r w:rsidRPr="00124B71">
        <w:rPr>
          <w:rFonts w:cs="Times New Roman"/>
        </w:rPr>
        <w:t xml:space="preserve"> at the right time due to life’s circumstances. In short, they </w:t>
      </w:r>
      <w:r w:rsidR="00851587" w:rsidRPr="00124B71">
        <w:rPr>
          <w:rFonts w:cs="Times New Roman"/>
        </w:rPr>
        <w:t>get</w:t>
      </w:r>
      <w:r w:rsidRPr="00124B71">
        <w:rPr>
          <w:rFonts w:cs="Times New Roman"/>
        </w:rPr>
        <w:t xml:space="preserve"> lucky. The people who bought late in the rally and are holding on to the asset while they drift further and further underwater</w:t>
      </w:r>
      <w:r w:rsidR="007C469A">
        <w:rPr>
          <w:rFonts w:cs="Times New Roman"/>
        </w:rPr>
        <w:t>–</w:t>
      </w:r>
      <w:r w:rsidRPr="00124B71">
        <w:rPr>
          <w:rFonts w:cs="Times New Roman"/>
        </w:rPr>
        <w:t>they are not so lucky.</w:t>
      </w:r>
    </w:p>
    <w:p w14:paraId="3748B82B" w14:textId="77777777" w:rsidR="00F64AE8" w:rsidRPr="00EF0EDA" w:rsidRDefault="00BC6D36" w:rsidP="00F64AE8">
      <w:pPr>
        <w:pStyle w:val="Heading2"/>
      </w:pPr>
      <w:bookmarkStart w:id="146" w:name="_Toc238867352"/>
      <w:r w:rsidRPr="00EF0EDA">
        <w:t>Trading Houses</w:t>
      </w:r>
      <w:bookmarkEnd w:id="146"/>
    </w:p>
    <w:p w14:paraId="7BCE2DB9" w14:textId="77777777" w:rsidR="00BC6D36" w:rsidRPr="00124B71" w:rsidRDefault="003C542D" w:rsidP="00F64AE8">
      <w:pPr>
        <w:rPr>
          <w:rFonts w:cs="Times New Roman"/>
        </w:rPr>
      </w:pPr>
      <w:r w:rsidRPr="00124B71">
        <w:rPr>
          <w:rFonts w:cs="Times New Roman"/>
        </w:rPr>
        <w:t>During the Great Housing Bubble, many speculators tried to make money through trading houses. The vast majority of these traders were not professionals but amateurs who thought they could be professionals. Most amateurs ended up losing money because they did not understand what it takes to be successful in a speculative market</w:t>
      </w:r>
      <w:r w:rsidR="00F0648C" w:rsidRPr="00124B71">
        <w:rPr>
          <w:rFonts w:cs="Times New Roman"/>
        </w:rPr>
        <w:t xml:space="preserve">. </w:t>
      </w:r>
      <w:r w:rsidR="007C3F24" w:rsidRPr="00124B71">
        <w:rPr>
          <w:rStyle w:val="EndnoteReference"/>
          <w:rFonts w:cs="Times New Roman"/>
        </w:rPr>
        <w:endnoteReference w:id="92"/>
      </w:r>
      <w:r w:rsidRPr="00124B71">
        <w:rPr>
          <w:rFonts w:cs="Times New Roman"/>
        </w:rPr>
        <w:t xml:space="preserve"> </w:t>
      </w:r>
      <w:r w:rsidR="00BC6D36" w:rsidRPr="00124B71">
        <w:rPr>
          <w:rFonts w:cs="Times New Roman"/>
        </w:rPr>
        <w:t>The first and most obvious difference</w:t>
      </w:r>
      <w:r w:rsidRPr="00124B71">
        <w:rPr>
          <w:rFonts w:cs="Times New Roman"/>
        </w:rPr>
        <w:t xml:space="preserve"> in the investment strategy</w:t>
      </w:r>
      <w:r w:rsidR="00BC6D36" w:rsidRPr="00124B71">
        <w:rPr>
          <w:rFonts w:cs="Times New Roman"/>
        </w:rPr>
        <w:t xml:space="preserve"> between </w:t>
      </w:r>
      <w:r w:rsidRPr="00124B71">
        <w:rPr>
          <w:rFonts w:cs="Times New Roman"/>
        </w:rPr>
        <w:t xml:space="preserve">professional </w:t>
      </w:r>
      <w:r w:rsidR="00BC6D36" w:rsidRPr="00124B71">
        <w:rPr>
          <w:rFonts w:cs="Times New Roman"/>
        </w:rPr>
        <w:t>traders and the</w:t>
      </w:r>
      <w:r w:rsidRPr="00124B71">
        <w:rPr>
          <w:rFonts w:cs="Times New Roman"/>
        </w:rPr>
        <w:t xml:space="preserve"> amateurs in the</w:t>
      </w:r>
      <w:r w:rsidR="00BC6D36" w:rsidRPr="00124B71">
        <w:rPr>
          <w:rFonts w:cs="Times New Roman"/>
        </w:rPr>
        <w:t xml:space="preserve"> general public is their holding time. Traders buy with </w:t>
      </w:r>
      <w:r w:rsidR="00851587" w:rsidRPr="00124B71">
        <w:rPr>
          <w:rFonts w:cs="Times New Roman"/>
        </w:rPr>
        <w:t xml:space="preserve">the </w:t>
      </w:r>
      <w:r w:rsidR="00BC6D36" w:rsidRPr="00124B71">
        <w:rPr>
          <w:rFonts w:cs="Times New Roman"/>
        </w:rPr>
        <w:t>intent</w:t>
      </w:r>
      <w:r w:rsidR="00851587" w:rsidRPr="00124B71">
        <w:rPr>
          <w:rFonts w:cs="Times New Roman"/>
        </w:rPr>
        <w:t xml:space="preserve"> </w:t>
      </w:r>
      <w:r w:rsidR="00BC6D36" w:rsidRPr="00124B71">
        <w:rPr>
          <w:rFonts w:cs="Times New Roman"/>
        </w:rPr>
        <w:t xml:space="preserve">to sell for a profit at a later date. Traders know why they are entering a trade, and they have a well thought out </w:t>
      </w:r>
      <w:r w:rsidR="00851587" w:rsidRPr="00124B71">
        <w:rPr>
          <w:rFonts w:cs="Times New Roman"/>
        </w:rPr>
        <w:t>exit strategy</w:t>
      </w:r>
      <w:r w:rsidR="00BC6D36" w:rsidRPr="00124B71">
        <w:rPr>
          <w:rFonts w:cs="Times New Roman"/>
        </w:rPr>
        <w:t>. The general public adopts a “buy and hold</w:t>
      </w:r>
      <w:r w:rsidR="001858B5">
        <w:rPr>
          <w:rFonts w:cs="Times New Roman"/>
        </w:rPr>
        <w:fldChar w:fldCharType="begin"/>
      </w:r>
      <w:r w:rsidR="001A53F8">
        <w:instrText xml:space="preserve"> XE "</w:instrText>
      </w:r>
      <w:r w:rsidR="001A53F8" w:rsidRPr="004B721E">
        <w:rPr>
          <w:rFonts w:cs="Times New Roman"/>
        </w:rPr>
        <w:instrText>buy and hold</w:instrText>
      </w:r>
      <w:r w:rsidR="001A53F8">
        <w:instrText xml:space="preserve">" </w:instrText>
      </w:r>
      <w:r w:rsidR="001858B5">
        <w:rPr>
          <w:rFonts w:cs="Times New Roman"/>
        </w:rPr>
        <w:fldChar w:fldCharType="end"/>
      </w:r>
      <w:r w:rsidR="00BC6D36" w:rsidRPr="00124B71">
        <w:rPr>
          <w:rFonts w:cs="Times New Roman"/>
        </w:rPr>
        <w:t>” mentality where assets are accumulated with a supposed eye to the long term. Everyone wants to be the next Warren Buffet</w:t>
      </w:r>
      <w:r w:rsidR="001858B5">
        <w:rPr>
          <w:rFonts w:cs="Times New Roman"/>
        </w:rPr>
        <w:fldChar w:fldCharType="begin"/>
      </w:r>
      <w:r w:rsidR="003247C5">
        <w:instrText xml:space="preserve"> XE "</w:instrText>
      </w:r>
      <w:r w:rsidR="003247C5" w:rsidRPr="00414028">
        <w:rPr>
          <w:rFonts w:cs="Times New Roman"/>
        </w:rPr>
        <w:instrText>Warren Buffet</w:instrText>
      </w:r>
      <w:r w:rsidR="003247C5">
        <w:instrText xml:space="preserve">" </w:instrText>
      </w:r>
      <w:r w:rsidR="001858B5">
        <w:rPr>
          <w:rFonts w:cs="Times New Roman"/>
        </w:rPr>
        <w:fldChar w:fldCharType="end"/>
      </w:r>
      <w:r w:rsidR="00BC6D36" w:rsidRPr="00124B71">
        <w:rPr>
          <w:rFonts w:cs="Times New Roman"/>
        </w:rPr>
        <w:t>. In reality this buy-and-hold strategy is often a “buy and hope</w:t>
      </w:r>
      <w:r w:rsidR="001858B5">
        <w:rPr>
          <w:rFonts w:cs="Times New Roman"/>
        </w:rPr>
        <w:fldChar w:fldCharType="begin"/>
      </w:r>
      <w:r w:rsidR="001A53F8">
        <w:instrText xml:space="preserve"> XE "</w:instrText>
      </w:r>
      <w:r w:rsidR="001A53F8" w:rsidRPr="001C6E87">
        <w:rPr>
          <w:rFonts w:cs="Times New Roman"/>
        </w:rPr>
        <w:instrText>buy and hope</w:instrText>
      </w:r>
      <w:r w:rsidR="001A53F8">
        <w:instrText xml:space="preserve">" </w:instrText>
      </w:r>
      <w:r w:rsidR="001858B5">
        <w:rPr>
          <w:rFonts w:cs="Times New Roman"/>
        </w:rPr>
        <w:fldChar w:fldCharType="end"/>
      </w:r>
      <w:r w:rsidR="00BC6D36" w:rsidRPr="00124B71">
        <w:rPr>
          <w:rFonts w:cs="Times New Roman"/>
        </w:rPr>
        <w:t>” strategy</w:t>
      </w:r>
      <w:r w:rsidR="007C469A">
        <w:rPr>
          <w:rFonts w:cs="Times New Roman"/>
        </w:rPr>
        <w:t>–</w:t>
      </w:r>
      <w:r w:rsidR="00BC6D36" w:rsidRPr="00124B71">
        <w:rPr>
          <w:rFonts w:cs="Times New Roman"/>
        </w:rPr>
        <w:t xml:space="preserve">a greed-induced, emotional purchase without proper analysis or any exit </w:t>
      </w:r>
      <w:r w:rsidR="00851587" w:rsidRPr="00124B71">
        <w:rPr>
          <w:rFonts w:cs="Times New Roman"/>
        </w:rPr>
        <w:t>plan</w:t>
      </w:r>
      <w:r w:rsidR="00BC6D36" w:rsidRPr="00124B71">
        <w:rPr>
          <w:rFonts w:cs="Times New Roman"/>
        </w:rPr>
        <w:t>. Since they have no exit strategy, and since they are ruled by their emotions, they will end up selling only when the pain of loss compels them</w:t>
      </w:r>
      <w:r w:rsidR="00851587" w:rsidRPr="00124B71">
        <w:rPr>
          <w:rFonts w:cs="Times New Roman"/>
        </w:rPr>
        <w:t xml:space="preserve"> to</w:t>
      </w:r>
      <w:r w:rsidR="00BC6D36" w:rsidRPr="00124B71">
        <w:rPr>
          <w:rFonts w:cs="Times New Roman"/>
        </w:rPr>
        <w:t>. In short, it is an investment method guaranteed to be a disaster.</w:t>
      </w:r>
    </w:p>
    <w:p w14:paraId="2FBD05D3" w14:textId="77777777" w:rsidR="00AD3B67" w:rsidRPr="00124B71" w:rsidRDefault="00AD3B67" w:rsidP="00F64AE8">
      <w:pPr>
        <w:rPr>
          <w:rFonts w:cs="Times New Roman"/>
        </w:rPr>
      </w:pPr>
      <w:r w:rsidRPr="00124B71">
        <w:rPr>
          <w:rFonts w:cs="Times New Roman"/>
        </w:rPr>
        <w:t xml:space="preserve">There is evidence </w:t>
      </w:r>
      <w:r w:rsidR="006F5177" w:rsidRPr="00124B71">
        <w:rPr>
          <w:rFonts w:cs="Times New Roman"/>
        </w:rPr>
        <w:t xml:space="preserve">that </w:t>
      </w:r>
      <w:r w:rsidRPr="00124B71">
        <w:rPr>
          <w:rFonts w:cs="Times New Roman"/>
        </w:rPr>
        <w:t>houses</w:t>
      </w:r>
      <w:r w:rsidR="00851587" w:rsidRPr="00124B71">
        <w:rPr>
          <w:rFonts w:cs="Times New Roman"/>
        </w:rPr>
        <w:t xml:space="preserve"> </w:t>
      </w:r>
      <w:r w:rsidRPr="00124B71">
        <w:rPr>
          <w:rFonts w:cs="Times New Roman"/>
        </w:rPr>
        <w:t>were used as a speculative commodity during the Great Housing Bubble. Since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greatly exceeded the cashflow from the property if used as a rental, the property was not purchased for positive cashflow, and by definition, it was a speculative purchase. Confirming evidence for speculative activity comes from the unusual and significant increase in vacant houses in the</w:t>
      </w:r>
      <w:r w:rsidR="00AF44C1" w:rsidRPr="00124B71">
        <w:rPr>
          <w:rFonts w:cs="Times New Roman"/>
        </w:rPr>
        <w:t xml:space="preserve"> residential </w:t>
      </w:r>
      <w:r w:rsidRPr="00124B71">
        <w:rPr>
          <w:rFonts w:cs="Times New Roman"/>
        </w:rPr>
        <w:t>real estate market.</w:t>
      </w:r>
      <w:r w:rsidR="00AF44C1" w:rsidRPr="00124B71">
        <w:rPr>
          <w:rFonts w:cs="Times New Roman"/>
        </w:rPr>
        <w:t xml:space="preserve"> </w:t>
      </w:r>
    </w:p>
    <w:p w14:paraId="01952D9F" w14:textId="77777777" w:rsidR="00AF44C1" w:rsidRPr="00124B71" w:rsidRDefault="00AF44C1" w:rsidP="00AF44C1">
      <w:pPr>
        <w:rPr>
          <w:rFonts w:cs="Times New Roman"/>
        </w:rPr>
      </w:pPr>
      <w:r w:rsidRPr="00124B71">
        <w:rPr>
          <w:rFonts w:cs="Times New Roman"/>
        </w:rPr>
        <w:t>If markets had not been gripped by speculative fervor, vacancy rates</w:t>
      </w:r>
      <w:r w:rsidR="001858B5">
        <w:rPr>
          <w:rFonts w:cs="Times New Roman"/>
        </w:rPr>
        <w:fldChar w:fldCharType="begin"/>
      </w:r>
      <w:r w:rsidR="00A7313A">
        <w:instrText xml:space="preserve"> XE "</w:instrText>
      </w:r>
      <w:r w:rsidR="00A7313A" w:rsidRPr="00593577">
        <w:rPr>
          <w:rFonts w:cs="Times New Roman"/>
        </w:rPr>
        <w:instrText>vacancy rates</w:instrText>
      </w:r>
      <w:r w:rsidR="00A7313A">
        <w:instrText xml:space="preserve">" </w:instrText>
      </w:r>
      <w:r w:rsidR="001858B5">
        <w:rPr>
          <w:rFonts w:cs="Times New Roman"/>
        </w:rPr>
        <w:fldChar w:fldCharType="end"/>
      </w:r>
      <w:r w:rsidRPr="00124B71">
        <w:rPr>
          <w:rFonts w:cs="Times New Roman"/>
        </w:rPr>
        <w:t xml:space="preserve"> would not have risen so far above historic norms. If houses had been purchased for </w:t>
      </w:r>
      <w:r w:rsidRPr="00124B71">
        <w:rPr>
          <w:rFonts w:cs="Times New Roman"/>
        </w:rPr>
        <w:lastRenderedPageBreak/>
        <w:t>investment purposes to make money from rental income, the houses would have been occupied after purchase and vacancy rates would not have gone up. A rise in vacancy rates would have resulted in downward pressure on rents, and the investment opportunity</w:t>
      </w:r>
      <w:r w:rsidR="007C469A">
        <w:rPr>
          <w:rFonts w:cs="Times New Roman"/>
        </w:rPr>
        <w:t>–</w:t>
      </w:r>
      <w:r w:rsidRPr="00124B71">
        <w:rPr>
          <w:rFonts w:cs="Times New Roman"/>
        </w:rPr>
        <w:t>if it had existed initially (which it did not)</w:t>
      </w:r>
      <w:r w:rsidR="007C469A">
        <w:rPr>
          <w:rFonts w:cs="Times New Roman"/>
        </w:rPr>
        <w:t>–</w:t>
      </w:r>
      <w:r w:rsidRPr="00124B71">
        <w:rPr>
          <w:rFonts w:cs="Times New Roman"/>
        </w:rPr>
        <w:t>would have disappeared with the declining rent. There is only one reasonable explanation for increasing house prices and increasing rents during a period when house vacancy rates increased 64%: people were purchasing houses for speculative gains and leaving them unoccupied while the owners waited for prices to rise</w:t>
      </w:r>
      <w:r w:rsidR="0035183E" w:rsidRPr="00124B71">
        <w:rPr>
          <w:rFonts w:cs="Times New Roman"/>
        </w:rPr>
        <w:t>.</w:t>
      </w:r>
      <w:r w:rsidR="00F0648C" w:rsidRPr="00124B71">
        <w:rPr>
          <w:rFonts w:cs="Times New Roman"/>
        </w:rPr>
        <w:t xml:space="preserve"> </w:t>
      </w:r>
      <w:r w:rsidR="0078569C" w:rsidRPr="00124B71">
        <w:rPr>
          <w:rStyle w:val="EndnoteReference"/>
          <w:rFonts w:cs="Times New Roman"/>
        </w:rPr>
        <w:endnoteReference w:id="93"/>
      </w:r>
    </w:p>
    <w:p w14:paraId="5303E88E" w14:textId="63E99D34" w:rsidR="00C55849" w:rsidRPr="00EF0EDA" w:rsidRDefault="00C55849" w:rsidP="00C55849">
      <w:pPr>
        <w:pStyle w:val="Caption"/>
        <w:rPr>
          <w:noProof/>
        </w:rPr>
      </w:pPr>
      <w:bookmarkStart w:id="147" w:name="_Toc238867473"/>
      <w:r>
        <w:t>Figure</w:t>
      </w:r>
      <w:r w:rsidRPr="00EF0EDA">
        <w:t xml:space="preserve"> </w:t>
      </w:r>
      <w:fldSimple w:instr=" SEQ Figure \* ARABIC ">
        <w:r w:rsidR="00493733">
          <w:rPr>
            <w:noProof/>
          </w:rPr>
          <w:t>32</w:t>
        </w:r>
      </w:fldSimple>
      <w:r w:rsidR="00317936">
        <w:t xml:space="preserve">: </w:t>
      </w:r>
      <w:r w:rsidRPr="00EF0EDA">
        <w:t>National Homeowner Vacancy Rate</w:t>
      </w:r>
      <w:r w:rsidRPr="00EF0EDA">
        <w:rPr>
          <w:noProof/>
        </w:rPr>
        <w:t>, 1986-2007</w:t>
      </w:r>
      <w:bookmarkEnd w:id="147"/>
    </w:p>
    <w:p w14:paraId="57FD677A" w14:textId="77777777" w:rsidR="00C55849" w:rsidRPr="00EF0EDA" w:rsidRDefault="002703E4" w:rsidP="00C55849">
      <w:pPr>
        <w:pStyle w:val="Graphics"/>
      </w:pPr>
      <w:r>
        <w:drawing>
          <wp:inline distT="0" distB="0" distL="0" distR="0" wp14:anchorId="73A929EA" wp14:editId="3BB9F5D6">
            <wp:extent cx="3657600" cy="2834640"/>
            <wp:effectExtent l="19050" t="0" r="0" b="0"/>
            <wp:docPr id="96" name="Picture 95" descr="National Homeowner Vacancy Rate, 1986-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Homeowner Vacancy Rate, 1986-2007.jpg"/>
                    <pic:cNvPicPr/>
                  </pic:nvPicPr>
                  <pic:blipFill>
                    <a:blip r:embed="rId68"/>
                    <a:stretch>
                      <a:fillRect/>
                    </a:stretch>
                  </pic:blipFill>
                  <pic:spPr>
                    <a:xfrm>
                      <a:off x="0" y="0"/>
                      <a:ext cx="3657600" cy="2834640"/>
                    </a:xfrm>
                    <a:prstGeom prst="rect">
                      <a:avLst/>
                    </a:prstGeom>
                  </pic:spPr>
                </pic:pic>
              </a:graphicData>
            </a:graphic>
          </wp:inline>
        </w:drawing>
      </w:r>
    </w:p>
    <w:p w14:paraId="2F779B19" w14:textId="77777777" w:rsidR="00AF44C1" w:rsidRPr="00124B71" w:rsidRDefault="00AF44C1" w:rsidP="00AF44C1">
      <w:pPr>
        <w:rPr>
          <w:rFonts w:cs="Times New Roman"/>
        </w:rPr>
      </w:pPr>
      <w:r w:rsidRPr="00124B71">
        <w:rPr>
          <w:rFonts w:cs="Times New Roman"/>
        </w:rPr>
        <w:t>When house prices stopped their dizzying ascent, many speculators found themselves with large monthly debt service costs and no income to offset expenses. Many chose to quit paying their mortgage obligations and allowed the property to be auctioned at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Many chose to rent the properties to reduce their monthly cashflow drain, and they became accidental landlords. </w:t>
      </w:r>
      <w:r w:rsidR="00725CFF" w:rsidRPr="00124B71">
        <w:rPr>
          <w:rFonts w:cs="Times New Roman"/>
        </w:rPr>
        <w:t>I</w:t>
      </w:r>
      <w:r w:rsidRPr="00124B71">
        <w:rPr>
          <w:rFonts w:cs="Times New Roman"/>
        </w:rPr>
        <w:t>n the vernacular of the time, they became floplords</w:t>
      </w:r>
      <w:r w:rsidR="001858B5">
        <w:rPr>
          <w:rFonts w:cs="Times New Roman"/>
        </w:rPr>
        <w:fldChar w:fldCharType="begin"/>
      </w:r>
      <w:r w:rsidR="00A7313A">
        <w:instrText xml:space="preserve"> XE "</w:instrText>
      </w:r>
      <w:r w:rsidR="00A7313A" w:rsidRPr="00474DCB">
        <w:rPr>
          <w:rFonts w:cs="Times New Roman"/>
        </w:rPr>
        <w:instrText>floplords</w:instrText>
      </w:r>
      <w:r w:rsidR="00A7313A">
        <w:instrText xml:space="preserve">" </w:instrText>
      </w:r>
      <w:r w:rsidR="001858B5">
        <w:rPr>
          <w:rFonts w:cs="Times New Roman"/>
        </w:rPr>
        <w:fldChar w:fldCharType="end"/>
      </w:r>
      <w:r w:rsidR="007C469A">
        <w:rPr>
          <w:rFonts w:cs="Times New Roman"/>
        </w:rPr>
        <w:t>–</w:t>
      </w:r>
      <w:r w:rsidRPr="00124B71">
        <w:rPr>
          <w:rFonts w:cs="Times New Roman"/>
        </w:rPr>
        <w:t>flippers turned landlords</w:t>
      </w:r>
      <w:r w:rsidR="001858B5">
        <w:rPr>
          <w:rFonts w:cs="Times New Roman"/>
        </w:rPr>
        <w:fldChar w:fldCharType="begin"/>
      </w:r>
      <w:r w:rsidR="00A7313A">
        <w:instrText xml:space="preserve"> XE "</w:instrText>
      </w:r>
      <w:r w:rsidR="00A7313A" w:rsidRPr="00147DE6">
        <w:rPr>
          <w:rFonts w:cs="Times New Roman"/>
        </w:rPr>
        <w:instrText>landlords</w:instrText>
      </w:r>
      <w:r w:rsidR="00A7313A">
        <w:instrText>" \t "</w:instrText>
      </w:r>
      <w:r w:rsidR="00A7313A" w:rsidRPr="00241E13">
        <w:rPr>
          <w:rFonts w:asciiTheme="minorHAnsi" w:hAnsiTheme="minorHAnsi"/>
          <w:i/>
        </w:rPr>
        <w:instrText>See</w:instrText>
      </w:r>
      <w:r w:rsidR="00A7313A" w:rsidRPr="00241E13">
        <w:rPr>
          <w:rFonts w:asciiTheme="minorHAnsi" w:hAnsiTheme="minorHAnsi"/>
        </w:rPr>
        <w:instrText xml:space="preserve"> floplords</w:instrText>
      </w:r>
      <w:r w:rsidR="00A7313A">
        <w:instrText xml:space="preserve">" </w:instrText>
      </w:r>
      <w:r w:rsidR="001858B5">
        <w:rPr>
          <w:rFonts w:cs="Times New Roman"/>
        </w:rPr>
        <w:fldChar w:fldCharType="end"/>
      </w:r>
      <w:r w:rsidRPr="00124B71">
        <w:rPr>
          <w:rFonts w:cs="Times New Roman"/>
        </w:rPr>
        <w:t>.</w:t>
      </w:r>
    </w:p>
    <w:p w14:paraId="1A85D784" w14:textId="77777777" w:rsidR="00341982" w:rsidRPr="00124B71" w:rsidRDefault="00AF44C1" w:rsidP="00AF44C1">
      <w:pPr>
        <w:rPr>
          <w:rFonts w:cs="Times New Roman"/>
        </w:rPr>
      </w:pPr>
      <w:r w:rsidRPr="00124B71">
        <w:rPr>
          <w:rFonts w:cs="Times New Roman"/>
        </w:rPr>
        <w:t xml:space="preserve">Becoming a floplord was fraught with problems. First, they were not covering their </w:t>
      </w:r>
      <w:r w:rsidR="00341982" w:rsidRPr="00124B71">
        <w:rPr>
          <w:rFonts w:cs="Times New Roman"/>
        </w:rPr>
        <w:t>monthly</w:t>
      </w:r>
      <w:r w:rsidRPr="00124B71">
        <w:rPr>
          <w:rFonts w:cs="Times New Roman"/>
        </w:rPr>
        <w:t xml:space="preserve"> expenses, so the losses on the</w:t>
      </w:r>
      <w:r w:rsidR="00725CFF" w:rsidRPr="00124B71">
        <w:rPr>
          <w:rFonts w:cs="Times New Roman"/>
        </w:rPr>
        <w:t xml:space="preserve"> </w:t>
      </w:r>
      <w:r w:rsidR="006F5177">
        <w:rPr>
          <w:rFonts w:cs="Times New Roman"/>
        </w:rPr>
        <w:t>“</w:t>
      </w:r>
      <w:r w:rsidRPr="00124B71">
        <w:rPr>
          <w:rFonts w:cs="Times New Roman"/>
        </w:rPr>
        <w:t xml:space="preserve">investment” continued to mount. </w:t>
      </w:r>
      <w:r w:rsidR="00F35A76" w:rsidRPr="00124B71">
        <w:rPr>
          <w:rFonts w:cs="Times New Roman"/>
        </w:rPr>
        <w:t>For houses purchased near the peak in 2006, rent only covered half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00F35A76" w:rsidRPr="00124B71">
        <w:rPr>
          <w:rFonts w:cs="Times New Roman"/>
        </w:rPr>
        <w:t xml:space="preserve"> unless the speculator used an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00F35A76" w:rsidRPr="00124B71">
        <w:rPr>
          <w:rFonts w:cs="Times New Roman"/>
        </w:rPr>
        <w:t xml:space="preserve"> with a very low teaser rate (which many did</w:t>
      </w:r>
      <w:r w:rsidR="00A40CA5" w:rsidRPr="00124B71">
        <w:rPr>
          <w:rFonts w:cs="Times New Roman"/>
        </w:rPr>
        <w:t>).</w:t>
      </w:r>
      <w:r w:rsidR="00F35A76" w:rsidRPr="00124B71">
        <w:rPr>
          <w:rFonts w:cs="Times New Roman"/>
        </w:rPr>
        <w:t xml:space="preserve"> Becoming a floplord</w:t>
      </w:r>
      <w:r w:rsidRPr="00124B71">
        <w:rPr>
          <w:rFonts w:cs="Times New Roman"/>
        </w:rPr>
        <w:t xml:space="preserve"> was a convenient form of denial for losing speculators because they believed they were buying themselves time until prices rose again</w:t>
      </w:r>
      <w:r w:rsidR="00C66A73" w:rsidRPr="00124B71">
        <w:rPr>
          <w:rFonts w:cs="Times New Roman"/>
        </w:rPr>
        <w:t>,</w:t>
      </w:r>
      <w:r w:rsidRPr="00124B71">
        <w:rPr>
          <w:rFonts w:cs="Times New Roman"/>
        </w:rPr>
        <w:t xml:space="preserve"> allowing them to sell later either at breakeven or for a profit. Since they bought in a speculative mani</w:t>
      </w:r>
      <w:r w:rsidR="00341982" w:rsidRPr="00124B71">
        <w:rPr>
          <w:rFonts w:cs="Times New Roman"/>
        </w:rPr>
        <w:t>a</w:t>
      </w:r>
      <w:r w:rsidR="001858B5">
        <w:rPr>
          <w:rFonts w:cs="Times New Roman"/>
        </w:rPr>
        <w:fldChar w:fldCharType="begin"/>
      </w:r>
      <w:r w:rsidR="00FA2AEF">
        <w:instrText xml:space="preserve"> XE "</w:instrText>
      </w:r>
      <w:r w:rsidR="00FA2AEF" w:rsidRPr="009244C7">
        <w:rPr>
          <w:rFonts w:cs="Times New Roman"/>
        </w:rPr>
        <w:instrText>speculative mania</w:instrText>
      </w:r>
      <w:r w:rsidR="00FA2AEF">
        <w:instrText xml:space="preserve">" </w:instrText>
      </w:r>
      <w:r w:rsidR="001858B5">
        <w:rPr>
          <w:rFonts w:cs="Times New Roman"/>
        </w:rPr>
        <w:fldChar w:fldCharType="end"/>
      </w:r>
      <w:r w:rsidRPr="00124B71">
        <w:rPr>
          <w:rFonts w:cs="Times New Roman"/>
        </w:rPr>
        <w:t xml:space="preserve">, prices were not going to </w:t>
      </w:r>
      <w:r w:rsidR="00341982" w:rsidRPr="00124B71">
        <w:rPr>
          <w:rFonts w:cs="Times New Roman"/>
        </w:rPr>
        <w:t>recover</w:t>
      </w:r>
      <w:r w:rsidRPr="00124B71">
        <w:rPr>
          <w:rFonts w:cs="Times New Roman"/>
        </w:rPr>
        <w:t xml:space="preserve"> quickly and the denial soon evolved into fear, anger and finally acceptance of their fate.</w:t>
      </w:r>
      <w:r w:rsidR="00C869F2" w:rsidRPr="00124B71">
        <w:rPr>
          <w:rFonts w:cs="Times New Roman"/>
        </w:rPr>
        <w:t xml:space="preserve"> </w:t>
      </w:r>
      <w:r w:rsidR="00341982" w:rsidRPr="00124B71">
        <w:rPr>
          <w:rFonts w:cs="Times New Roman"/>
        </w:rPr>
        <w:t>Another problem floplords</w:t>
      </w:r>
      <w:r w:rsidR="001858B5">
        <w:rPr>
          <w:rFonts w:cs="Times New Roman"/>
        </w:rPr>
        <w:fldChar w:fldCharType="begin"/>
      </w:r>
      <w:r w:rsidR="00A7313A">
        <w:instrText xml:space="preserve"> XE "</w:instrText>
      </w:r>
      <w:r w:rsidR="00A7313A" w:rsidRPr="00474DCB">
        <w:rPr>
          <w:rFonts w:cs="Times New Roman"/>
        </w:rPr>
        <w:instrText>floplords</w:instrText>
      </w:r>
      <w:r w:rsidR="00A7313A">
        <w:instrText xml:space="preserve">" </w:instrText>
      </w:r>
      <w:r w:rsidR="001858B5">
        <w:rPr>
          <w:rFonts w:cs="Times New Roman"/>
        </w:rPr>
        <w:fldChar w:fldCharType="end"/>
      </w:r>
      <w:r w:rsidR="00341982" w:rsidRPr="00124B71">
        <w:rPr>
          <w:rFonts w:cs="Times New Roman"/>
        </w:rPr>
        <w:t xml:space="preserve"> faced was their own </w:t>
      </w:r>
      <w:r w:rsidR="00341982" w:rsidRPr="00124B71">
        <w:rPr>
          <w:rFonts w:cs="Times New Roman"/>
        </w:rPr>
        <w:lastRenderedPageBreak/>
        <w:t>inexperience at managing rental properties</w:t>
      </w:r>
      <w:r w:rsidR="001858B5">
        <w:rPr>
          <w:rFonts w:cs="Times New Roman"/>
        </w:rPr>
        <w:fldChar w:fldCharType="begin"/>
      </w:r>
      <w:r w:rsidR="001A53F8">
        <w:instrText xml:space="preserve"> XE "</w:instrText>
      </w:r>
      <w:r w:rsidR="001A53F8" w:rsidRPr="00FA7AFF">
        <w:rPr>
          <w:rFonts w:cs="Times New Roman"/>
        </w:rPr>
        <w:instrText>rental properties</w:instrText>
      </w:r>
      <w:r w:rsidR="001A53F8">
        <w:instrText xml:space="preserve">" </w:instrText>
      </w:r>
      <w:r w:rsidR="001858B5">
        <w:rPr>
          <w:rFonts w:cs="Times New Roman"/>
        </w:rPr>
        <w:fldChar w:fldCharType="end"/>
      </w:r>
      <w:r w:rsidR="00341982" w:rsidRPr="00124B71">
        <w:rPr>
          <w:rFonts w:cs="Times New Roman"/>
        </w:rPr>
        <w:t>. Most had never owned or managed a rental property, and none of them purchased the property with this contingency in mind. They often found poor tenants who did not reliably pay the rent or properly care for the property. This created even more financial distress and greater loss of property value as the property deteriorate</w:t>
      </w:r>
      <w:r w:rsidR="00077E37" w:rsidRPr="00124B71">
        <w:rPr>
          <w:rFonts w:cs="Times New Roman"/>
        </w:rPr>
        <w:t>d</w:t>
      </w:r>
      <w:r w:rsidR="00341982" w:rsidRPr="00124B71">
        <w:rPr>
          <w:rFonts w:cs="Times New Roman"/>
        </w:rPr>
        <w:t xml:space="preserve"> through misuse. </w:t>
      </w:r>
    </w:p>
    <w:p w14:paraId="1BA996BB" w14:textId="77777777" w:rsidR="00341982" w:rsidRPr="00124B71" w:rsidRDefault="00341982" w:rsidP="00AF44C1">
      <w:pPr>
        <w:rPr>
          <w:rFonts w:cs="Times New Roman"/>
        </w:rPr>
      </w:pPr>
      <w:r w:rsidRPr="00124B71">
        <w:rPr>
          <w:rFonts w:cs="Times New Roman"/>
        </w:rPr>
        <w:t>The problems of renting were not confined to the floplords</w:t>
      </w:r>
      <w:r w:rsidR="001858B5">
        <w:rPr>
          <w:rFonts w:cs="Times New Roman"/>
        </w:rPr>
        <w:fldChar w:fldCharType="begin"/>
      </w:r>
      <w:r w:rsidR="00A7313A">
        <w:instrText xml:space="preserve"> XE "</w:instrText>
      </w:r>
      <w:r w:rsidR="00A7313A" w:rsidRPr="00474DCB">
        <w:rPr>
          <w:rFonts w:cs="Times New Roman"/>
        </w:rPr>
        <w:instrText>floplords</w:instrText>
      </w:r>
      <w:r w:rsidR="00A7313A">
        <w:instrText xml:space="preserve">" </w:instrText>
      </w:r>
      <w:r w:rsidR="001858B5">
        <w:rPr>
          <w:rFonts w:cs="Times New Roman"/>
        </w:rPr>
        <w:fldChar w:fldCharType="end"/>
      </w:r>
      <w:r w:rsidRPr="00124B71">
        <w:rPr>
          <w:rFonts w:cs="Times New Roman"/>
        </w:rPr>
        <w:t xml:space="preserve">. Sometimes </w:t>
      </w:r>
      <w:r w:rsidR="00C66A73" w:rsidRPr="00124B71">
        <w:rPr>
          <w:rFonts w:cs="Times New Roman"/>
        </w:rPr>
        <w:t>innocent</w:t>
      </w:r>
      <w:r w:rsidRPr="00124B71">
        <w:rPr>
          <w:rFonts w:cs="Times New Roman"/>
        </w:rPr>
        <w:t xml:space="preserve"> renters were the ones who suffered. Many floplords collected large security deposits and monthly rent checks from tenants and </w:t>
      </w:r>
      <w:r w:rsidR="00C66A73" w:rsidRPr="00124B71">
        <w:rPr>
          <w:rFonts w:cs="Times New Roman"/>
        </w:rPr>
        <w:t xml:space="preserve">yet </w:t>
      </w:r>
      <w:r w:rsidRPr="00124B71">
        <w:rPr>
          <w:rFonts w:cs="Times New Roman"/>
        </w:rPr>
        <w:t>failed to pay their mortgage obligations. This situation is called “rent skimming</w:t>
      </w:r>
      <w:r w:rsidR="001858B5">
        <w:rPr>
          <w:rFonts w:cs="Times New Roman"/>
        </w:rPr>
        <w:fldChar w:fldCharType="begin"/>
      </w:r>
      <w:r w:rsidR="00A7313A">
        <w:instrText xml:space="preserve"> XE "</w:instrText>
      </w:r>
      <w:r w:rsidR="00A7313A" w:rsidRPr="00575F92">
        <w:rPr>
          <w:rFonts w:cs="Times New Roman"/>
        </w:rPr>
        <w:instrText>rent skimming</w:instrText>
      </w:r>
      <w:r w:rsidR="00A7313A">
        <w:instrText xml:space="preserve">" </w:instrText>
      </w:r>
      <w:r w:rsidR="001858B5">
        <w:rPr>
          <w:rFonts w:cs="Times New Roman"/>
        </w:rPr>
        <w:fldChar w:fldCharType="end"/>
      </w:r>
      <w:r w:rsidRPr="00124B71">
        <w:rPr>
          <w:rFonts w:cs="Times New Roman"/>
        </w:rPr>
        <w:t>,” and it is illegal in most jurisdictions, but this crime is seldom prosecuted. Most of the time, the first indication a renter had that their rent was being skimmed was finding a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notice on their front door. By the time of notification, several months of rental payments were gone and the renters were evicted soon after the foreclosure. Renters seldom recovered their security deposits.</w:t>
      </w:r>
    </w:p>
    <w:p w14:paraId="54084B1D" w14:textId="77777777" w:rsidR="00F64AE8" w:rsidRPr="00EF0EDA" w:rsidRDefault="00BC6D36" w:rsidP="00F64AE8">
      <w:pPr>
        <w:pStyle w:val="Heading3"/>
      </w:pPr>
      <w:bookmarkStart w:id="148" w:name="_Toc238867353"/>
      <w:r w:rsidRPr="00EF0EDA">
        <w:t>Houses as Commodities</w:t>
      </w:r>
      <w:bookmarkEnd w:id="148"/>
    </w:p>
    <w:p w14:paraId="5D3686CD" w14:textId="77777777" w:rsidR="00F64E70" w:rsidRPr="00124B71" w:rsidRDefault="00F64E70" w:rsidP="00F64AE8">
      <w:pPr>
        <w:rPr>
          <w:rFonts w:cs="Times New Roman"/>
        </w:rPr>
      </w:pPr>
      <w:r w:rsidRPr="00124B71">
        <w:rPr>
          <w:rFonts w:cs="Times New Roman"/>
        </w:rPr>
        <w:t xml:space="preserve">Commodities are items of value and uniform quality produced in large quantities and sold in an open market. Although every residential real estate property is unique, these properties became uniformly desired by investors because all real estate prices rose during the Great Housing Bubble. The commoditization of real estate and the active, open-market trading it inspires </w:t>
      </w:r>
      <w:r w:rsidR="00806A9F" w:rsidRPr="00124B71">
        <w:rPr>
          <w:rFonts w:cs="Times New Roman"/>
        </w:rPr>
        <w:t xml:space="preserve">caused houses to lose their identity as places to live and call home. Houses became </w:t>
      </w:r>
      <w:r w:rsidR="00C66A73" w:rsidRPr="00124B71">
        <w:rPr>
          <w:rFonts w:cs="Times New Roman"/>
        </w:rPr>
        <w:t>tradable</w:t>
      </w:r>
      <w:r w:rsidR="00806A9F" w:rsidRPr="00124B71">
        <w:rPr>
          <w:rFonts w:cs="Times New Roman"/>
        </w:rPr>
        <w:t xml:space="preserve"> stucco boxes similar to baseball playing cards</w:t>
      </w:r>
      <w:r w:rsidRPr="00124B71">
        <w:rPr>
          <w:rFonts w:cs="Times New Roman"/>
        </w:rPr>
        <w:t xml:space="preserve"> </w:t>
      </w:r>
      <w:r w:rsidR="00806A9F" w:rsidRPr="00124B71">
        <w:rPr>
          <w:rFonts w:cs="Times New Roman"/>
        </w:rPr>
        <w:t>where buying and selling had nothing to do with possession and use and everything to do with making money in the transaction</w:t>
      </w:r>
      <w:r w:rsidR="0035183E" w:rsidRPr="00124B71">
        <w:rPr>
          <w:rFonts w:cs="Times New Roman"/>
        </w:rPr>
        <w:t>.</w:t>
      </w:r>
      <w:r w:rsidR="00F0648C" w:rsidRPr="00124B71">
        <w:rPr>
          <w:rFonts w:cs="Times New Roman"/>
        </w:rPr>
        <w:t xml:space="preserve"> </w:t>
      </w:r>
      <w:r w:rsidR="00EA43DC" w:rsidRPr="00124B71">
        <w:rPr>
          <w:rStyle w:val="EndnoteReference"/>
          <w:rFonts w:cs="Times New Roman"/>
        </w:rPr>
        <w:endnoteReference w:id="94"/>
      </w:r>
    </w:p>
    <w:p w14:paraId="0FDE5C90" w14:textId="77777777" w:rsidR="00984985" w:rsidRPr="00124B71" w:rsidRDefault="00984985" w:rsidP="00984985">
      <w:pPr>
        <w:rPr>
          <w:rFonts w:cs="Times New Roman"/>
        </w:rPr>
      </w:pPr>
      <w:r w:rsidRPr="00124B71">
        <w:rPr>
          <w:rFonts w:cs="Times New Roman"/>
        </w:rPr>
        <w:t>In a commodities</w:t>
      </w:r>
      <w:r w:rsidR="001858B5">
        <w:rPr>
          <w:rFonts w:cs="Times New Roman"/>
        </w:rPr>
        <w:fldChar w:fldCharType="begin"/>
      </w:r>
      <w:r w:rsidR="00FF74AC">
        <w:instrText xml:space="preserve"> XE "</w:instrText>
      </w:r>
      <w:r w:rsidR="00FF74AC" w:rsidRPr="00E862A6">
        <w:rPr>
          <w:rFonts w:cs="Times New Roman"/>
        </w:rPr>
        <w:instrText>commodities</w:instrText>
      </w:r>
      <w:r w:rsidR="00FF74AC">
        <w:instrText xml:space="preserve">" </w:instrText>
      </w:r>
      <w:r w:rsidR="001858B5">
        <w:rPr>
          <w:rFonts w:cs="Times New Roman"/>
        </w:rPr>
        <w:fldChar w:fldCharType="end"/>
      </w:r>
      <w:r w:rsidRPr="00124B71">
        <w:rPr>
          <w:rFonts w:cs="Times New Roman"/>
        </w:rPr>
        <w:t xml:space="preserve"> or securities market, rallies unsupported by valuation measures fall back to fundamental values. It is very clear the rally in house prices was not caused by a rally in the fundamental valuation measures of rent or income. Many people forgot the primary purpose of a house is to provide shelter</w:t>
      </w:r>
      <w:r w:rsidR="007C469A">
        <w:rPr>
          <w:rFonts w:cs="Times New Roman"/>
        </w:rPr>
        <w:t>–</w:t>
      </w:r>
      <w:r w:rsidRPr="00124B71">
        <w:rPr>
          <w:rFonts w:cs="Times New Roman"/>
        </w:rPr>
        <w:t>something which can be obtained without ownership by renting. Ownership ceased to be about providing shelter and instead became a way to access one of the world’s largest and most highly leveraged commodity markets: residential real estate.</w:t>
      </w:r>
    </w:p>
    <w:p w14:paraId="6091BDFA" w14:textId="77777777" w:rsidR="00984985" w:rsidRPr="00124B71" w:rsidRDefault="00806A9F" w:rsidP="00F64AE8">
      <w:pPr>
        <w:rPr>
          <w:rFonts w:cs="Times New Roman"/>
        </w:rPr>
      </w:pPr>
      <w:r w:rsidRPr="00124B71">
        <w:rPr>
          <w:rFonts w:cs="Times New Roman"/>
        </w:rPr>
        <w:t>Commodities markets are notoriously volatile. In fact, this volatility is the primary draw of commodities</w:t>
      </w:r>
      <w:r w:rsidR="001858B5">
        <w:rPr>
          <w:rFonts w:cs="Times New Roman"/>
        </w:rPr>
        <w:fldChar w:fldCharType="begin"/>
      </w:r>
      <w:r w:rsidR="00FF74AC">
        <w:instrText xml:space="preserve"> XE "</w:instrText>
      </w:r>
      <w:r w:rsidR="00FF74AC" w:rsidRPr="00E862A6">
        <w:rPr>
          <w:rFonts w:cs="Times New Roman"/>
        </w:rPr>
        <w:instrText>commodities</w:instrText>
      </w:r>
      <w:r w:rsidR="00FF74AC">
        <w:instrText xml:space="preserve">" </w:instrText>
      </w:r>
      <w:r w:rsidR="001858B5">
        <w:rPr>
          <w:rFonts w:cs="Times New Roman"/>
        </w:rPr>
        <w:fldChar w:fldCharType="end"/>
      </w:r>
      <w:r w:rsidRPr="00124B71">
        <w:rPr>
          <w:rFonts w:cs="Times New Roman"/>
        </w:rPr>
        <w:t xml:space="preserve"> trading. If market prices did not move significantly, traders would not be interested in the market, and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Pr="00124B71">
        <w:rPr>
          <w:rFonts w:cs="Times New Roman"/>
        </w:rPr>
        <w:t xml:space="preserve"> would not be present. Without this liquidity, hedgers could not sell futures contracts and transfer their risk to other parties, and the whole market would cease to function. Commodities markets exist to transfer risk from a party that does not want it to a party who is willing to assume this risk for the potential to profit from it. The commodities exchange</w:t>
      </w:r>
      <w:r w:rsidR="001858B5">
        <w:rPr>
          <w:rFonts w:cs="Times New Roman"/>
        </w:rPr>
        <w:fldChar w:fldCharType="begin"/>
      </w:r>
      <w:r w:rsidR="00A7313A">
        <w:instrText xml:space="preserve"> XE "</w:instrText>
      </w:r>
      <w:r w:rsidR="00A7313A" w:rsidRPr="00D26357">
        <w:rPr>
          <w:rFonts w:cs="Times New Roman"/>
        </w:rPr>
        <w:instrText>commodities exchange</w:instrText>
      </w:r>
      <w:r w:rsidR="00A7313A">
        <w:instrText xml:space="preserve">" </w:instrText>
      </w:r>
      <w:r w:rsidR="001858B5">
        <w:rPr>
          <w:rFonts w:cs="Times New Roman"/>
        </w:rPr>
        <w:fldChar w:fldCharType="end"/>
      </w:r>
      <w:r w:rsidRPr="00124B71">
        <w:rPr>
          <w:rFonts w:cs="Times New Roman"/>
        </w:rPr>
        <w:t xml:space="preserve"> controls the volatility of the market through the regulation of leverage</w:t>
      </w:r>
      <w:r w:rsidR="001858B5">
        <w:rPr>
          <w:rFonts w:cs="Times New Roman"/>
        </w:rPr>
        <w:fldChar w:fldCharType="begin"/>
      </w:r>
      <w:r w:rsidR="00FF74AC">
        <w:instrText xml:space="preserve"> XE "</w:instrText>
      </w:r>
      <w:r w:rsidR="00FF74AC" w:rsidRPr="00070786">
        <w:rPr>
          <w:rFonts w:cs="Times New Roman"/>
        </w:rPr>
        <w:instrText>leverage</w:instrText>
      </w:r>
      <w:r w:rsidR="00FF74AC">
        <w:instrText xml:space="preserve">" </w:instrText>
      </w:r>
      <w:r w:rsidR="001858B5">
        <w:rPr>
          <w:rFonts w:cs="Times New Roman"/>
        </w:rPr>
        <w:fldChar w:fldCharType="end"/>
      </w:r>
      <w:r w:rsidRPr="00124B71">
        <w:rPr>
          <w:rFonts w:cs="Times New Roman"/>
        </w:rPr>
        <w:t>. It is the exchange that sets the amount of a particular commodity that is controlled by a futures contract. They can raise or lower the amount of leverage to create a degree of volatility attractive to traders</w:t>
      </w:r>
      <w:r w:rsidR="00984985" w:rsidRPr="00124B71">
        <w:rPr>
          <w:rFonts w:cs="Times New Roman"/>
        </w:rPr>
        <w:t xml:space="preserve">. If they </w:t>
      </w:r>
      <w:r w:rsidR="00984985" w:rsidRPr="00124B71">
        <w:rPr>
          <w:rFonts w:cs="Times New Roman"/>
        </w:rPr>
        <w:lastRenderedPageBreak/>
        <w:t xml:space="preserve">create too much leverage, </w:t>
      </w:r>
      <w:r w:rsidR="00C869F2" w:rsidRPr="00124B71">
        <w:rPr>
          <w:rFonts w:cs="Times New Roman"/>
        </w:rPr>
        <w:t xml:space="preserve">the accounts of </w:t>
      </w:r>
      <w:r w:rsidR="00984985" w:rsidRPr="00124B71">
        <w:rPr>
          <w:rFonts w:cs="Times New Roman"/>
        </w:rPr>
        <w:t xml:space="preserve">traders can be wiped out by small market price movements. If they create too little leverage, traders lose interest. </w:t>
      </w:r>
    </w:p>
    <w:p w14:paraId="52320C77" w14:textId="77777777" w:rsidR="00984985" w:rsidRPr="00124B71" w:rsidRDefault="00984985" w:rsidP="00F64AE8">
      <w:pPr>
        <w:rPr>
          <w:rFonts w:cs="Times New Roman"/>
        </w:rPr>
      </w:pPr>
      <w:r w:rsidRPr="00124B71">
        <w:rPr>
          <w:rFonts w:cs="Times New Roman"/>
        </w:rPr>
        <w:t>The same principles of leverage</w:t>
      </w:r>
      <w:r w:rsidR="001858B5">
        <w:rPr>
          <w:rFonts w:cs="Times New Roman"/>
        </w:rPr>
        <w:fldChar w:fldCharType="begin"/>
      </w:r>
      <w:r w:rsidR="00FF74AC">
        <w:instrText xml:space="preserve"> XE "</w:instrText>
      </w:r>
      <w:r w:rsidR="00FF74AC" w:rsidRPr="00070786">
        <w:rPr>
          <w:rFonts w:cs="Times New Roman"/>
        </w:rPr>
        <w:instrText>leverage</w:instrText>
      </w:r>
      <w:r w:rsidR="00FF74AC">
        <w:instrText xml:space="preserve">" </w:instrText>
      </w:r>
      <w:r w:rsidR="001858B5">
        <w:rPr>
          <w:rFonts w:cs="Times New Roman"/>
        </w:rPr>
        <w:fldChar w:fldCharType="end"/>
      </w:r>
      <w:r w:rsidR="00806A9F" w:rsidRPr="00124B71">
        <w:rPr>
          <w:rFonts w:cs="Times New Roman"/>
        </w:rPr>
        <w:t xml:space="preserve"> </w:t>
      </w:r>
      <w:r w:rsidRPr="00124B71">
        <w:rPr>
          <w:rFonts w:cs="Times New Roman"/>
        </w:rPr>
        <w:t>that govern commodities</w:t>
      </w:r>
      <w:r w:rsidR="001858B5">
        <w:rPr>
          <w:rFonts w:cs="Times New Roman"/>
        </w:rPr>
        <w:fldChar w:fldCharType="begin"/>
      </w:r>
      <w:r w:rsidR="00FF74AC">
        <w:instrText xml:space="preserve"> XE "</w:instrText>
      </w:r>
      <w:r w:rsidR="00FF74AC" w:rsidRPr="00E862A6">
        <w:rPr>
          <w:rFonts w:cs="Times New Roman"/>
        </w:rPr>
        <w:instrText>commodities</w:instrText>
      </w:r>
      <w:r w:rsidR="00FF74AC">
        <w:instrText xml:space="preserve">" </w:instrText>
      </w:r>
      <w:r w:rsidR="001858B5">
        <w:rPr>
          <w:rFonts w:cs="Times New Roman"/>
        </w:rPr>
        <w:fldChar w:fldCharType="end"/>
      </w:r>
      <w:r w:rsidRPr="00124B71">
        <w:rPr>
          <w:rFonts w:cs="Times New Roman"/>
        </w:rPr>
        <w:t xml:space="preserve"> markets also work to influence the behavior of speculators in residential real estate markets. If leverage is very low (large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Pr="00124B71">
        <w:rPr>
          <w:rFonts w:cs="Times New Roman"/>
        </w:rPr>
        <w:t xml:space="preserve"> or low CLTV</w:t>
      </w:r>
      <w:r w:rsidR="001858B5">
        <w:rPr>
          <w:rFonts w:cs="Times New Roman"/>
        </w:rPr>
        <w:fldChar w:fldCharType="begin"/>
      </w:r>
      <w:r w:rsidR="003247C5">
        <w:instrText xml:space="preserve"> XE "</w:instrText>
      </w:r>
      <w:r w:rsidR="003247C5" w:rsidRPr="00BA40EB">
        <w:rPr>
          <w:rFonts w:cs="Times New Roman"/>
        </w:rPr>
        <w:instrText>CLTV</w:instrText>
      </w:r>
      <w:r w:rsidR="003247C5">
        <w:instrText xml:space="preserve">" </w:instrText>
      </w:r>
      <w:r w:rsidR="001858B5">
        <w:rPr>
          <w:rFonts w:cs="Times New Roman"/>
        </w:rPr>
        <w:fldChar w:fldCharType="end"/>
      </w:r>
      <w:r w:rsidRPr="00124B71">
        <w:rPr>
          <w:rFonts w:cs="Times New Roman"/>
        </w:rPr>
        <w:t xml:space="preserve"> limits,) then speculators have to use large amounts of their own money to capture what become relatively small price movements. If leverage is very high (small downpayments or high CLTV limits,) then speculators do not have to put up much money to capture what become relatively large price movements. The more leverage (debt) that can be applied to residential real estate, the greater the degree of speculative activity that market will see. Also, the smaller the amount of money required to speculate in a </w:t>
      </w:r>
      <w:r w:rsidR="00963F28" w:rsidRPr="00124B71">
        <w:rPr>
          <w:rFonts w:cs="Times New Roman"/>
        </w:rPr>
        <w:t>given market, the more people will be able to do so because more people will have the funds necessary to participate. When lenders began to offer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00963F28" w:rsidRPr="00124B71">
        <w:rPr>
          <w:rFonts w:cs="Times New Roman"/>
        </w:rPr>
        <w:t>, it was an open invitation to rampant speculation. This makes the return on investment</w:t>
      </w:r>
      <w:r w:rsidR="001858B5">
        <w:rPr>
          <w:rFonts w:cs="Times New Roman"/>
        </w:rPr>
        <w:fldChar w:fldCharType="begin"/>
      </w:r>
      <w:r w:rsidR="00180E6F">
        <w:instrText xml:space="preserve"> XE "</w:instrText>
      </w:r>
      <w:r w:rsidR="00180E6F" w:rsidRPr="006170A6">
        <w:rPr>
          <w:rFonts w:cs="Times New Roman"/>
        </w:rPr>
        <w:instrText>return on investment</w:instrText>
      </w:r>
      <w:r w:rsidR="00180E6F">
        <w:instrText xml:space="preserve">" </w:instrText>
      </w:r>
      <w:r w:rsidR="001858B5">
        <w:rPr>
          <w:rFonts w:cs="Times New Roman"/>
        </w:rPr>
        <w:fldChar w:fldCharType="end"/>
      </w:r>
      <w:r w:rsidR="00963F28" w:rsidRPr="00124B71">
        <w:rPr>
          <w:rFonts w:cs="Times New Roman"/>
        </w:rPr>
        <w:t xml:space="preserve"> infinite because no investment is required by the speculator, and it eliminates all barriers to entry to the speculative market. In a regulated commodities market, the trader is responsible for all losses in the account. In a mortgage market dominated by non-recourse</w:t>
      </w:r>
      <w:r w:rsidR="001858B5">
        <w:rPr>
          <w:rFonts w:cs="Times New Roman"/>
        </w:rPr>
        <w:fldChar w:fldCharType="begin"/>
      </w:r>
      <w:r w:rsidR="00A7313A">
        <w:instrText xml:space="preserve"> XE "</w:instrText>
      </w:r>
      <w:r w:rsidR="00A7313A" w:rsidRPr="003432A5">
        <w:rPr>
          <w:rFonts w:cs="Times New Roman"/>
        </w:rPr>
        <w:instrText>non-recourse</w:instrText>
      </w:r>
      <w:r w:rsidR="00A7313A">
        <w:instrText xml:space="preserve">" </w:instrText>
      </w:r>
      <w:r w:rsidR="001858B5">
        <w:rPr>
          <w:rFonts w:cs="Times New Roman"/>
        </w:rPr>
        <w:fldChar w:fldCharType="end"/>
      </w:r>
      <w:r w:rsidR="00963F28" w:rsidRPr="00124B71">
        <w:rPr>
          <w:rFonts w:cs="Times New Roman"/>
        </w:rPr>
        <w:t xml:space="preserve"> purchase money mortgages, lenders end up assuming liability for losses in the speculative residential real estate market.</w:t>
      </w:r>
    </w:p>
    <w:p w14:paraId="6515199B" w14:textId="77777777" w:rsidR="00F64AE8" w:rsidRPr="00EF0EDA" w:rsidRDefault="00BC6D36" w:rsidP="00F64AE8">
      <w:pPr>
        <w:pStyle w:val="Heading3"/>
      </w:pPr>
      <w:bookmarkStart w:id="149" w:name="_Toc238867354"/>
      <w:r w:rsidRPr="00EF0EDA">
        <w:t xml:space="preserve">Mortgages as </w:t>
      </w:r>
      <w:r w:rsidR="00F64AE8" w:rsidRPr="00EF0EDA">
        <w:t>Options</w:t>
      </w:r>
      <w:bookmarkEnd w:id="149"/>
    </w:p>
    <w:p w14:paraId="75842A1E" w14:textId="77777777" w:rsidR="006F0D2E" w:rsidRPr="00124B71" w:rsidRDefault="00F72495" w:rsidP="006F0D2E">
      <w:pPr>
        <w:rPr>
          <w:rFonts w:cs="Times New Roman"/>
        </w:rPr>
      </w:pPr>
      <w:r w:rsidRPr="00124B71">
        <w:rPr>
          <w:rFonts w:cs="Times New Roman"/>
        </w:rPr>
        <w:t>An option contract</w:t>
      </w:r>
      <w:r w:rsidR="00987FDA">
        <w:rPr>
          <w:rFonts w:cs="Times New Roman"/>
        </w:rPr>
        <w:t xml:space="preserve"> </w:t>
      </w:r>
      <w:r w:rsidRPr="00124B71">
        <w:rPr>
          <w:rFonts w:cs="Times New Roman"/>
        </w:rPr>
        <w:t>provides the contract holder</w:t>
      </w:r>
      <w:r w:rsidR="00554EB3" w:rsidRPr="00124B71">
        <w:rPr>
          <w:rFonts w:cs="Times New Roman"/>
        </w:rPr>
        <w:t xml:space="preserve"> the option</w:t>
      </w:r>
      <w:r w:rsidRPr="00124B71">
        <w:rPr>
          <w:rFonts w:cs="Times New Roman"/>
        </w:rPr>
        <w:t xml:space="preserve"> to force the contract writer to either buy or sell a particular asset at a given p</w:t>
      </w:r>
      <w:r w:rsidR="003B58BD" w:rsidRPr="00124B71">
        <w:rPr>
          <w:rFonts w:cs="Times New Roman"/>
        </w:rPr>
        <w:t>rice. A typical option contract</w:t>
      </w:r>
      <w:r w:rsidRPr="00124B71">
        <w:rPr>
          <w:rFonts w:cs="Times New Roman"/>
        </w:rPr>
        <w:t xml:space="preserve"> has an expiration date, and if the contract holder does not exercise </w:t>
      </w:r>
      <w:r w:rsidR="00855388" w:rsidRPr="00124B71">
        <w:rPr>
          <w:rFonts w:cs="Times New Roman"/>
        </w:rPr>
        <w:t>his</w:t>
      </w:r>
      <w:r w:rsidRPr="00124B71">
        <w:rPr>
          <w:rFonts w:cs="Times New Roman"/>
        </w:rPr>
        <w:t xml:space="preserve"> contract rights by a given date, </w:t>
      </w:r>
      <w:r w:rsidR="00855388" w:rsidRPr="00124B71">
        <w:rPr>
          <w:rFonts w:cs="Times New Roman"/>
        </w:rPr>
        <w:t>he</w:t>
      </w:r>
      <w:r w:rsidRPr="00124B71">
        <w:rPr>
          <w:rFonts w:cs="Times New Roman"/>
        </w:rPr>
        <w:t xml:space="preserve"> lose</w:t>
      </w:r>
      <w:r w:rsidR="00855388" w:rsidRPr="00124B71">
        <w:rPr>
          <w:rFonts w:cs="Times New Roman"/>
        </w:rPr>
        <w:t>s</w:t>
      </w:r>
      <w:r w:rsidRPr="00124B71">
        <w:rPr>
          <w:rFonts w:cs="Times New Roman"/>
        </w:rPr>
        <w:t xml:space="preserve"> </w:t>
      </w:r>
      <w:r w:rsidR="00855388" w:rsidRPr="00124B71">
        <w:rPr>
          <w:rFonts w:cs="Times New Roman"/>
        </w:rPr>
        <w:t>his</w:t>
      </w:r>
      <w:r w:rsidRPr="00124B71">
        <w:rPr>
          <w:rFonts w:cs="Times New Roman"/>
        </w:rPr>
        <w:t xml:space="preserve"> contractual right to do so. An option giving the holder the right to buy is a “call” option</w:t>
      </w:r>
      <w:r w:rsidR="001858B5">
        <w:rPr>
          <w:rFonts w:cs="Times New Roman"/>
        </w:rPr>
        <w:fldChar w:fldCharType="begin"/>
      </w:r>
      <w:r w:rsidR="00A7313A">
        <w:instrText xml:space="preserve"> XE "</w:instrText>
      </w:r>
      <w:r w:rsidR="00A7313A" w:rsidRPr="0035476D">
        <w:rPr>
          <w:rFonts w:cs="Times New Roman"/>
        </w:rPr>
        <w:instrText>call option</w:instrText>
      </w:r>
      <w:r w:rsidR="00A7313A">
        <w:instrText xml:space="preserve">" </w:instrText>
      </w:r>
      <w:r w:rsidR="001858B5">
        <w:rPr>
          <w:rFonts w:cs="Times New Roman"/>
        </w:rPr>
        <w:fldChar w:fldCharType="end"/>
      </w:r>
      <w:r w:rsidRPr="00124B71">
        <w:rPr>
          <w:rFonts w:cs="Times New Roman"/>
        </w:rPr>
        <w:t>, and the option giving the holder the right to sell is a “put” option</w:t>
      </w:r>
      <w:r w:rsidR="001858B5">
        <w:rPr>
          <w:rFonts w:cs="Times New Roman"/>
        </w:rPr>
        <w:fldChar w:fldCharType="begin"/>
      </w:r>
      <w:r w:rsidR="00A7313A">
        <w:instrText xml:space="preserve"> XE "</w:instrText>
      </w:r>
      <w:r w:rsidR="00A7313A" w:rsidRPr="00DD1A9C">
        <w:rPr>
          <w:rFonts w:cs="Times New Roman"/>
        </w:rPr>
        <w:instrText>put option</w:instrText>
      </w:r>
      <w:r w:rsidR="00A7313A">
        <w:instrText xml:space="preserve">" </w:instrText>
      </w:r>
      <w:r w:rsidR="001858B5">
        <w:rPr>
          <w:rFonts w:cs="Times New Roman"/>
        </w:rPr>
        <w:fldChar w:fldCharType="end"/>
      </w:r>
      <w:r w:rsidRPr="00124B71">
        <w:rPr>
          <w:rFonts w:cs="Times New Roman"/>
        </w:rPr>
        <w:t xml:space="preserve">. </w:t>
      </w:r>
      <w:r w:rsidR="00855388" w:rsidRPr="00124B71">
        <w:rPr>
          <w:rFonts w:cs="Times New Roman"/>
        </w:rPr>
        <w:t>W</w:t>
      </w:r>
      <w:r w:rsidRPr="00124B71">
        <w:rPr>
          <w:rFonts w:cs="Times New Roman"/>
        </w:rPr>
        <w:t>riter</w:t>
      </w:r>
      <w:r w:rsidR="00855388" w:rsidRPr="00124B71">
        <w:rPr>
          <w:rFonts w:cs="Times New Roman"/>
        </w:rPr>
        <w:t>s</w:t>
      </w:r>
      <w:r w:rsidRPr="00124B71">
        <w:rPr>
          <w:rFonts w:cs="Times New Roman"/>
        </w:rPr>
        <w:t xml:space="preserve"> of option contract</w:t>
      </w:r>
      <w:r w:rsidR="00855388" w:rsidRPr="00124B71">
        <w:rPr>
          <w:rFonts w:cs="Times New Roman"/>
        </w:rPr>
        <w:t>s</w:t>
      </w:r>
      <w:r w:rsidR="001858B5">
        <w:rPr>
          <w:rFonts w:cs="Times New Roman"/>
        </w:rPr>
        <w:fldChar w:fldCharType="begin"/>
      </w:r>
      <w:r w:rsidR="001A53F8">
        <w:instrText xml:space="preserve"> XE "</w:instrText>
      </w:r>
      <w:r w:rsidR="001A53F8" w:rsidRPr="00DD217F">
        <w:rPr>
          <w:rFonts w:cs="Times New Roman"/>
        </w:rPr>
        <w:instrText>option contracts</w:instrText>
      </w:r>
      <w:r w:rsidR="001A53F8">
        <w:instrText xml:space="preserve">" </w:instrText>
      </w:r>
      <w:r w:rsidR="001858B5">
        <w:rPr>
          <w:rFonts w:cs="Times New Roman"/>
        </w:rPr>
        <w:fldChar w:fldCharType="end"/>
      </w:r>
      <w:r w:rsidRPr="00124B71">
        <w:rPr>
          <w:rFonts w:cs="Times New Roman"/>
        </w:rPr>
        <w:t xml:space="preserve"> </w:t>
      </w:r>
      <w:r w:rsidR="00855388" w:rsidRPr="00124B71">
        <w:rPr>
          <w:rFonts w:cs="Times New Roman"/>
        </w:rPr>
        <w:t>typically obtain a price</w:t>
      </w:r>
      <w:r w:rsidRPr="00124B71">
        <w:rPr>
          <w:rFonts w:cs="Times New Roman"/>
        </w:rPr>
        <w:t xml:space="preserve"> premium for taking on the risk that prices may move against their position and the contract holder may exercise </w:t>
      </w:r>
      <w:r w:rsidR="00855388" w:rsidRPr="00124B71">
        <w:rPr>
          <w:rFonts w:cs="Times New Roman"/>
        </w:rPr>
        <w:t>his</w:t>
      </w:r>
      <w:r w:rsidRPr="00124B71">
        <w:rPr>
          <w:rFonts w:cs="Times New Roman"/>
        </w:rPr>
        <w:t xml:space="preserve"> right. The holder of an options contract willingly pays this premium to limit </w:t>
      </w:r>
      <w:r w:rsidR="00855388" w:rsidRPr="00124B71">
        <w:rPr>
          <w:rFonts w:cs="Times New Roman"/>
        </w:rPr>
        <w:t>his</w:t>
      </w:r>
      <w:r w:rsidRPr="00124B71">
        <w:rPr>
          <w:rFonts w:cs="Times New Roman"/>
        </w:rPr>
        <w:t xml:space="preserve"> losses to the premium paid </w:t>
      </w:r>
      <w:r w:rsidR="00F31181" w:rsidRPr="00124B71">
        <w:rPr>
          <w:rFonts w:cs="Times New Roman"/>
        </w:rPr>
        <w:t>i</w:t>
      </w:r>
      <w:r w:rsidRPr="00124B71">
        <w:rPr>
          <w:rFonts w:cs="Times New Roman"/>
        </w:rPr>
        <w:t>f the investment does not go as planned. Most options expire worthless.</w:t>
      </w:r>
    </w:p>
    <w:p w14:paraId="6A50C6CB" w14:textId="77777777" w:rsidR="006E35D5" w:rsidRPr="00124B71" w:rsidRDefault="00F72495" w:rsidP="006E35D5">
      <w:pPr>
        <w:rPr>
          <w:rFonts w:cs="Times New Roman"/>
        </w:rPr>
      </w:pPr>
      <w:r w:rsidRPr="00124B71">
        <w:rPr>
          <w:rFonts w:cs="Times New Roman"/>
        </w:rPr>
        <w:t xml:space="preserve">Mortgages took on the characteristics of options contracts in </w:t>
      </w:r>
      <w:r w:rsidR="001A34D5">
        <w:rPr>
          <w:rFonts w:cs="Times New Roman"/>
        </w:rPr>
        <w:t>the Great Housing Bubble</w:t>
      </w:r>
      <w:r w:rsidRPr="00124B71">
        <w:rPr>
          <w:rFonts w:cs="Times New Roman"/>
        </w:rPr>
        <w:t>. Speculators utilized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and Option ARMs with low teaser rates to minimize the acquisition and holding costs of a particular property. The small amount they were paying was the “call premium” they were providing the lender. If prices went up, the speculator got to keep all the gains from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and if prices went down, the speculator could simply walk away from the </w:t>
      </w:r>
      <w:r w:rsidR="006E35D5" w:rsidRPr="00124B71">
        <w:rPr>
          <w:rFonts w:cs="Times New Roman"/>
        </w:rPr>
        <w:t>mortgage and only lose the cost of the payments made, particularly when this debt was a non</w:t>
      </w:r>
      <w:r w:rsidR="00C97D54" w:rsidRPr="00124B71">
        <w:rPr>
          <w:rFonts w:cs="Times New Roman"/>
        </w:rPr>
        <w:t>-</w:t>
      </w:r>
      <w:r w:rsidR="006E35D5" w:rsidRPr="00124B71">
        <w:rPr>
          <w:rFonts w:cs="Times New Roman"/>
        </w:rPr>
        <w:t>recourse</w:t>
      </w:r>
      <w:r w:rsidR="001858B5">
        <w:rPr>
          <w:rFonts w:cs="Times New Roman"/>
        </w:rPr>
        <w:fldChar w:fldCharType="begin"/>
      </w:r>
      <w:r w:rsidR="00A7313A">
        <w:instrText xml:space="preserve"> XE "</w:instrText>
      </w:r>
      <w:r w:rsidR="00A7313A" w:rsidRPr="003432A5">
        <w:rPr>
          <w:rFonts w:cs="Times New Roman"/>
        </w:rPr>
        <w:instrText>non-recourse</w:instrText>
      </w:r>
      <w:r w:rsidR="00A7313A">
        <w:instrText xml:space="preserve">" </w:instrText>
      </w:r>
      <w:r w:rsidR="001858B5">
        <w:rPr>
          <w:rFonts w:cs="Times New Roman"/>
        </w:rPr>
        <w:fldChar w:fldCharType="end"/>
      </w:r>
      <w:r w:rsidR="006E35D5" w:rsidRPr="00124B71">
        <w:rPr>
          <w:rFonts w:cs="Times New Roman"/>
        </w:rPr>
        <w:t>, purchase-money mortgage</w:t>
      </w:r>
      <w:r w:rsidR="001858B5">
        <w:rPr>
          <w:rFonts w:cs="Times New Roman"/>
        </w:rPr>
        <w:fldChar w:fldCharType="begin"/>
      </w:r>
      <w:r w:rsidR="00A7313A">
        <w:instrText xml:space="preserve"> XE "</w:instrText>
      </w:r>
      <w:r w:rsidR="00A7313A" w:rsidRPr="008F6A76">
        <w:rPr>
          <w:rFonts w:cs="Times New Roman"/>
        </w:rPr>
        <w:instrText>purchase-money mortgage</w:instrText>
      </w:r>
      <w:r w:rsidR="00A7313A">
        <w:instrText xml:space="preserve">" </w:instrText>
      </w:r>
      <w:r w:rsidR="001858B5">
        <w:rPr>
          <w:rFonts w:cs="Times New Roman"/>
        </w:rPr>
        <w:fldChar w:fldCharType="end"/>
      </w:r>
      <w:r w:rsidR="006E35D5" w:rsidRPr="00124B71">
        <w:rPr>
          <w:rFonts w:cs="Times New Roman"/>
        </w:rPr>
        <w:t>. Another method speculators and homeowners alike used was the “put” option</w:t>
      </w:r>
      <w:r w:rsidR="001858B5">
        <w:rPr>
          <w:rFonts w:cs="Times New Roman"/>
        </w:rPr>
        <w:fldChar w:fldCharType="begin"/>
      </w:r>
      <w:r w:rsidR="00A7313A">
        <w:instrText xml:space="preserve"> XE "</w:instrText>
      </w:r>
      <w:r w:rsidR="00A7313A" w:rsidRPr="00DD1A9C">
        <w:rPr>
          <w:rFonts w:cs="Times New Roman"/>
        </w:rPr>
        <w:instrText>put option</w:instrText>
      </w:r>
      <w:r w:rsidR="00A7313A">
        <w:instrText xml:space="preserve">" </w:instrText>
      </w:r>
      <w:r w:rsidR="001858B5">
        <w:rPr>
          <w:rFonts w:cs="Times New Roman"/>
        </w:rPr>
        <w:fldChar w:fldCharType="end"/>
      </w:r>
      <w:r w:rsidR="006E35D5" w:rsidRPr="00124B71">
        <w:rPr>
          <w:rFonts w:cs="Times New Roman"/>
        </w:rPr>
        <w:t xml:space="preserve"> refinance</w:t>
      </w:r>
      <w:r w:rsidR="00F0648C" w:rsidRPr="00124B71">
        <w:rPr>
          <w:rFonts w:cs="Times New Roman"/>
        </w:rPr>
        <w:t xml:space="preserve">. </w:t>
      </w:r>
      <w:r w:rsidR="004877DD" w:rsidRPr="00124B71">
        <w:rPr>
          <w:rStyle w:val="EndnoteReference"/>
          <w:rFonts w:cs="Times New Roman"/>
        </w:rPr>
        <w:endnoteReference w:id="95"/>
      </w:r>
      <w:r w:rsidR="006E35D5" w:rsidRPr="00124B71">
        <w:rPr>
          <w:rFonts w:cs="Times New Roman"/>
        </w:rPr>
        <w:t xml:space="preserve"> Late in the bubble when prices were near their peak, many homeowners refinanced their properties and took out 100% of the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6E35D5" w:rsidRPr="00124B71">
        <w:rPr>
          <w:rFonts w:cs="Times New Roman"/>
        </w:rPr>
        <w:t xml:space="preserve"> in their homes</w:t>
      </w:r>
      <w:r w:rsidR="00C97D54" w:rsidRPr="00124B71">
        <w:rPr>
          <w:rFonts w:cs="Times New Roman"/>
        </w:rPr>
        <w:t xml:space="preserve">. In the process, they were buying a “put” from the lender: if prices went </w:t>
      </w:r>
      <w:r w:rsidR="00C97D54" w:rsidRPr="00124B71">
        <w:rPr>
          <w:rFonts w:cs="Times New Roman"/>
        </w:rPr>
        <w:lastRenderedPageBreak/>
        <w:t>down (which they did,) they already had the sales proceeds as if they had actually sold the property at the peak; if prices went up, they got to keep those profits as well. The only price for this “put” option</w:t>
      </w:r>
      <w:r w:rsidR="001858B5">
        <w:rPr>
          <w:rFonts w:cs="Times New Roman"/>
        </w:rPr>
        <w:fldChar w:fldCharType="begin"/>
      </w:r>
      <w:r w:rsidR="00A7313A">
        <w:instrText xml:space="preserve"> XE "</w:instrText>
      </w:r>
      <w:r w:rsidR="00A7313A" w:rsidRPr="00DD1A9C">
        <w:rPr>
          <w:rFonts w:cs="Times New Roman"/>
        </w:rPr>
        <w:instrText>put option</w:instrText>
      </w:r>
      <w:r w:rsidR="00A7313A">
        <w:instrText xml:space="preserve">" </w:instrText>
      </w:r>
      <w:r w:rsidR="001858B5">
        <w:rPr>
          <w:rFonts w:cs="Times New Roman"/>
        </w:rPr>
        <w:fldChar w:fldCharType="end"/>
      </w:r>
      <w:r w:rsidR="00C97D54" w:rsidRPr="00124B71">
        <w:rPr>
          <w:rFonts w:cs="Times New Roman"/>
        </w:rPr>
        <w:t xml:space="preserve"> was the small increase in monthly payments they had to make on the large sum they refinanced. </w:t>
      </w:r>
      <w:r w:rsidR="006E35D5" w:rsidRPr="00124B71">
        <w:rPr>
          <w:rFonts w:cs="Times New Roman"/>
        </w:rPr>
        <w:t>I</w:t>
      </w:r>
      <w:r w:rsidR="00855388" w:rsidRPr="00124B71">
        <w:rPr>
          <w:rFonts w:cs="Times New Roman"/>
        </w:rPr>
        <w:t>n</w:t>
      </w:r>
      <w:r w:rsidR="006E35D5" w:rsidRPr="00124B71">
        <w:rPr>
          <w:rFonts w:cs="Times New Roman"/>
        </w:rPr>
        <w:t xml:space="preserve"> fact, on a relative cost basis, the premium charged to these speculators </w:t>
      </w:r>
      <w:r w:rsidR="00C97D54" w:rsidRPr="00124B71">
        <w:rPr>
          <w:rFonts w:cs="Times New Roman"/>
        </w:rPr>
        <w:t xml:space="preserve">and homeowners </w:t>
      </w:r>
      <w:r w:rsidR="006E35D5" w:rsidRPr="00124B71">
        <w:rPr>
          <w:rFonts w:cs="Times New Roman"/>
        </w:rPr>
        <w:t>was a small fraction of the premiums similar options cost on stocks</w:t>
      </w:r>
      <w:r w:rsidR="001858B5">
        <w:rPr>
          <w:rFonts w:cs="Times New Roman"/>
        </w:rPr>
        <w:fldChar w:fldCharType="begin"/>
      </w:r>
      <w:r w:rsidR="00FF74AC">
        <w:instrText xml:space="preserve"> XE "</w:instrText>
      </w:r>
      <w:r w:rsidR="00FF74AC" w:rsidRPr="00D753F0">
        <w:rPr>
          <w:rFonts w:cs="Times New Roman"/>
        </w:rPr>
        <w:instrText>stocks</w:instrText>
      </w:r>
      <w:r w:rsidR="00FF74AC">
        <w:instrText xml:space="preserve">" </w:instrText>
      </w:r>
      <w:r w:rsidR="001858B5">
        <w:rPr>
          <w:rFonts w:cs="Times New Roman"/>
        </w:rPr>
        <w:fldChar w:fldCharType="end"/>
      </w:r>
      <w:r w:rsidR="006E35D5" w:rsidRPr="00124B71">
        <w:rPr>
          <w:rFonts w:cs="Times New Roman"/>
        </w:rPr>
        <w:t>. Of course, mortgages are not option contracts</w:t>
      </w:r>
      <w:r w:rsidR="001858B5">
        <w:rPr>
          <w:rFonts w:cs="Times New Roman"/>
        </w:rPr>
        <w:fldChar w:fldCharType="begin"/>
      </w:r>
      <w:r w:rsidR="001A53F8">
        <w:instrText xml:space="preserve"> XE "</w:instrText>
      </w:r>
      <w:r w:rsidR="001A53F8" w:rsidRPr="00DD217F">
        <w:rPr>
          <w:rFonts w:cs="Times New Roman"/>
        </w:rPr>
        <w:instrText>option contracts</w:instrText>
      </w:r>
      <w:r w:rsidR="001A53F8">
        <w:instrText xml:space="preserve">" </w:instrText>
      </w:r>
      <w:r w:rsidR="001858B5">
        <w:rPr>
          <w:rFonts w:cs="Times New Roman"/>
        </w:rPr>
        <w:fldChar w:fldCharType="end"/>
      </w:r>
      <w:r w:rsidR="006E35D5" w:rsidRPr="00124B71">
        <w:rPr>
          <w:rFonts w:cs="Times New Roman"/>
        </w:rPr>
        <w:t>, and lenders did not view themselves as selling option premiums to profit from the premium payments; however, speculators certainly did view mortgages in this manner and treated them accordingly.</w:t>
      </w:r>
    </w:p>
    <w:p w14:paraId="37E74A5D" w14:textId="77777777" w:rsidR="00554EB3" w:rsidRPr="00124B71" w:rsidRDefault="00554EB3" w:rsidP="00554EB3">
      <w:pPr>
        <w:rPr>
          <w:rFonts w:cs="Times New Roman"/>
        </w:rPr>
      </w:pPr>
      <w:r w:rsidRPr="00124B71">
        <w:rPr>
          <w:rFonts w:cs="Times New Roman"/>
        </w:rPr>
        <w:t>The "put" and "call" option features of mortgages during the bubble are the direct result of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Speculators and homeowners have too little to lose to behave responsibly when 100% financing is available. Without increasing the cost to speculators through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Pr="00124B71">
        <w:rPr>
          <w:rFonts w:cs="Times New Roman"/>
        </w:rPr>
        <w:t xml:space="preserve"> or a loan-to-value</w:t>
      </w:r>
      <w:r w:rsidR="001858B5">
        <w:rPr>
          <w:rFonts w:cs="Times New Roman"/>
        </w:rPr>
        <w:fldChar w:fldCharType="begin"/>
      </w:r>
      <w:r w:rsidR="001A53F8">
        <w:instrText xml:space="preserve"> XE "</w:instrText>
      </w:r>
      <w:r w:rsidR="001A53F8" w:rsidRPr="00DB4DD4">
        <w:rPr>
          <w:rFonts w:cs="Times New Roman"/>
        </w:rPr>
        <w:instrText>loan-to-value</w:instrText>
      </w:r>
      <w:r w:rsidR="001A53F8">
        <w:instrText xml:space="preserve">" </w:instrText>
      </w:r>
      <w:r w:rsidR="001858B5">
        <w:rPr>
          <w:rFonts w:cs="Times New Roman"/>
        </w:rPr>
        <w:fldChar w:fldCharType="end"/>
      </w:r>
      <w:r w:rsidRPr="00124B71">
        <w:rPr>
          <w:rFonts w:cs="Times New Roman"/>
        </w:rPr>
        <w:t xml:space="preserve"> limit on refinances, speculators are going to utilize these mortgage products in ways they were not intended. There </w:t>
      </w:r>
      <w:r w:rsidR="00C869F2" w:rsidRPr="00124B71">
        <w:rPr>
          <w:rFonts w:cs="Times New Roman"/>
        </w:rPr>
        <w:t>a</w:t>
      </w:r>
      <w:r w:rsidRPr="00124B71">
        <w:rPr>
          <w:rFonts w:cs="Times New Roman"/>
        </w:rPr>
        <w:t xml:space="preserve">re many expensive lessons learned by lenders concerning 100% financing during the Great Housing Bubble. </w:t>
      </w:r>
    </w:p>
    <w:p w14:paraId="3F1CABD9" w14:textId="77777777" w:rsidR="00652DA3" w:rsidRPr="00EF0EDA" w:rsidRDefault="00652DA3" w:rsidP="00F64AE8">
      <w:pPr>
        <w:pStyle w:val="Heading2"/>
      </w:pPr>
      <w:bookmarkStart w:id="150" w:name="_Toc238867355"/>
      <w:r w:rsidRPr="00EF0EDA">
        <w:t>The Stages of Grief</w:t>
      </w:r>
      <w:bookmarkEnd w:id="150"/>
      <w:r w:rsidRPr="00EF0EDA">
        <w:t xml:space="preserve"> </w:t>
      </w:r>
    </w:p>
    <w:p w14:paraId="49F98A69" w14:textId="77777777" w:rsidR="00652DA3" w:rsidRPr="00124B71" w:rsidRDefault="00652DA3" w:rsidP="00F64AE8">
      <w:pPr>
        <w:rPr>
          <w:rFonts w:cs="Times New Roman"/>
        </w:rPr>
      </w:pPr>
      <w:r w:rsidRPr="00124B71">
        <w:rPr>
          <w:rFonts w:cs="Times New Roman"/>
        </w:rPr>
        <w:t xml:space="preserve">Markets are the collective actions of individuals, and the psychology of the markets can be broken down to the psychology of the individual participants who make it up. When </w:t>
      </w:r>
      <w:r w:rsidR="00DF3E58" w:rsidRPr="00124B71">
        <w:rPr>
          <w:rFonts w:cs="Times New Roman"/>
        </w:rPr>
        <w:t xml:space="preserve">price levels </w:t>
      </w:r>
      <w:r w:rsidR="00855388" w:rsidRPr="00124B71">
        <w:rPr>
          <w:rFonts w:cs="Times New Roman"/>
        </w:rPr>
        <w:t xml:space="preserve">in </w:t>
      </w:r>
      <w:r w:rsidRPr="00124B71">
        <w:rPr>
          <w:rFonts w:cs="Times New Roman"/>
        </w:rPr>
        <w:t xml:space="preserve">a financial market collapse, </w:t>
      </w:r>
      <w:r w:rsidR="00DF3E58" w:rsidRPr="00124B71">
        <w:rPr>
          <w:rFonts w:cs="Times New Roman"/>
        </w:rPr>
        <w:t xml:space="preserve">most </w:t>
      </w:r>
      <w:r w:rsidRPr="00124B71">
        <w:rPr>
          <w:rFonts w:cs="Times New Roman"/>
        </w:rPr>
        <w:t xml:space="preserve">people lose money. Any loss has a psychological impact on the individual causing </w:t>
      </w:r>
      <w:r w:rsidR="00855388" w:rsidRPr="00124B71">
        <w:rPr>
          <w:rFonts w:cs="Times New Roman"/>
        </w:rPr>
        <w:t>her</w:t>
      </w:r>
      <w:r w:rsidRPr="00124B71">
        <w:rPr>
          <w:rFonts w:cs="Times New Roman"/>
        </w:rPr>
        <w:t xml:space="preserve"> to experience grief. The grieving process</w:t>
      </w:r>
      <w:r w:rsidR="001858B5">
        <w:rPr>
          <w:rFonts w:cs="Times New Roman"/>
        </w:rPr>
        <w:fldChar w:fldCharType="begin"/>
      </w:r>
      <w:r w:rsidR="001A53F8">
        <w:instrText xml:space="preserve"> XE "</w:instrText>
      </w:r>
      <w:r w:rsidR="001A53F8" w:rsidRPr="002733A8">
        <w:rPr>
          <w:rFonts w:cs="Times New Roman"/>
        </w:rPr>
        <w:instrText>grieving process</w:instrText>
      </w:r>
      <w:r w:rsidR="001A53F8">
        <w:instrText xml:space="preserve">" </w:instrText>
      </w:r>
      <w:r w:rsidR="001858B5">
        <w:rPr>
          <w:rFonts w:cs="Times New Roman"/>
        </w:rPr>
        <w:fldChar w:fldCharType="end"/>
      </w:r>
      <w:r w:rsidRPr="00124B71">
        <w:rPr>
          <w:rFonts w:cs="Times New Roman"/>
        </w:rPr>
        <w:t xml:space="preserve"> is generally divided into several overlapping stages: denial, anger, bargaining, and acceptance. These stages are also apparent in the mass psychology of the market.</w:t>
      </w:r>
    </w:p>
    <w:p w14:paraId="053FAB2D" w14:textId="77777777" w:rsidR="00652DA3" w:rsidRPr="00124B71" w:rsidRDefault="00652DA3" w:rsidP="00F64AE8">
      <w:pPr>
        <w:rPr>
          <w:rFonts w:cs="Times New Roman"/>
        </w:rPr>
      </w:pPr>
      <w:r w:rsidRPr="00124B71">
        <w:rPr>
          <w:rFonts w:cs="Times New Roman"/>
        </w:rPr>
        <w:t>When prices first drop</w:t>
      </w:r>
      <w:r w:rsidR="009074CE" w:rsidRPr="00124B71">
        <w:rPr>
          <w:rFonts w:cs="Times New Roman"/>
        </w:rPr>
        <w:t>,</w:t>
      </w:r>
      <w:r w:rsidRPr="00124B71">
        <w:rPr>
          <w:rFonts w:cs="Times New Roman"/>
        </w:rPr>
        <w:t xml:space="preserve"> the individual market participants feel confusion and attempt to avoid the truth.</w:t>
      </w:r>
      <w:r w:rsidR="009074CE" w:rsidRPr="00124B71">
        <w:rPr>
          <w:rFonts w:cs="Times New Roman"/>
        </w:rPr>
        <w:t xml:space="preserve"> They feel denial.</w:t>
      </w:r>
      <w:r w:rsidRPr="00124B71">
        <w:rPr>
          <w:rFonts w:cs="Times New Roman"/>
        </w:rPr>
        <w:t xml:space="preserve"> This is motivated by fear</w:t>
      </w:r>
      <w:r w:rsidR="004E563C" w:rsidRPr="00124B71">
        <w:rPr>
          <w:rFonts w:cs="Times New Roman"/>
        </w:rPr>
        <w:t xml:space="preserve"> (or truth)</w:t>
      </w:r>
      <w:r w:rsidRPr="00124B71">
        <w:rPr>
          <w:rFonts w:cs="Times New Roman"/>
        </w:rPr>
        <w:t xml:space="preserve"> they may have been wrong to purchase when they did, and they might lose money. They seek ways to quell these fears. Rather than attempt to objectively review facts to ascertain whether or not the unexpected market behavior is the beginning of a new trend, most market participants will seek out data consistent with their original assessment. Denial is a natural reaction, but it is a very costly one when applied to a financial market.</w:t>
      </w:r>
    </w:p>
    <w:p w14:paraId="76968655" w14:textId="77777777" w:rsidR="00652DA3" w:rsidRPr="00124B71" w:rsidRDefault="00652DA3" w:rsidP="00F64AE8">
      <w:pPr>
        <w:rPr>
          <w:rFonts w:cs="Times New Roman"/>
        </w:rPr>
      </w:pPr>
      <w:r w:rsidRPr="00124B71">
        <w:rPr>
          <w:rFonts w:cs="Times New Roman"/>
        </w:rPr>
        <w:t>When the initial price drops in the market begin to show the signs of a new trend, market participants become fearful. They work to maintain their denial, but there are moments when the awful truth cannot be contained.</w:t>
      </w:r>
      <w:r w:rsidR="007726E9" w:rsidRPr="00124B71">
        <w:rPr>
          <w:rFonts w:cs="Times New Roman"/>
        </w:rPr>
        <w:t xml:space="preserve"> T</w:t>
      </w:r>
      <w:r w:rsidRPr="00124B71">
        <w:rPr>
          <w:rFonts w:cs="Times New Roman"/>
        </w:rPr>
        <w:t xml:space="preserve">he little, fearful voice inside of each buyer gets louder and louder. This boils over into anger, frustration, </w:t>
      </w:r>
      <w:r w:rsidR="00C869F2" w:rsidRPr="00124B71">
        <w:rPr>
          <w:rFonts w:cs="Times New Roman"/>
        </w:rPr>
        <w:t xml:space="preserve">and </w:t>
      </w:r>
      <w:r w:rsidRPr="00124B71">
        <w:rPr>
          <w:rFonts w:cs="Times New Roman"/>
        </w:rPr>
        <w:t xml:space="preserve">anxiety. The individual desperately is seeking ways to maintain denial, but reality becomes stronger than denial. </w:t>
      </w:r>
      <w:r w:rsidR="00855388" w:rsidRPr="00124B71">
        <w:rPr>
          <w:rFonts w:cs="Times New Roman"/>
        </w:rPr>
        <w:t>She</w:t>
      </w:r>
      <w:r w:rsidRPr="00124B71">
        <w:rPr>
          <w:rFonts w:cs="Times New Roman"/>
        </w:rPr>
        <w:t xml:space="preserve"> imagine</w:t>
      </w:r>
      <w:r w:rsidR="00855388" w:rsidRPr="00124B71">
        <w:rPr>
          <w:rFonts w:cs="Times New Roman"/>
        </w:rPr>
        <w:t>s</w:t>
      </w:r>
      <w:r w:rsidRPr="00124B71">
        <w:rPr>
          <w:rFonts w:cs="Times New Roman"/>
        </w:rPr>
        <w:t xml:space="preserve"> the possibility that </w:t>
      </w:r>
      <w:r w:rsidR="008219F4">
        <w:rPr>
          <w:rFonts w:cs="Times New Roman"/>
        </w:rPr>
        <w:t xml:space="preserve">the </w:t>
      </w:r>
      <w:r w:rsidRPr="00124B71">
        <w:rPr>
          <w:rFonts w:cs="Times New Roman"/>
        </w:rPr>
        <w:t xml:space="preserve">reality </w:t>
      </w:r>
      <w:r w:rsidR="00855388" w:rsidRPr="00124B71">
        <w:rPr>
          <w:rFonts w:cs="Times New Roman"/>
        </w:rPr>
        <w:t>she is</w:t>
      </w:r>
      <w:r w:rsidRPr="00124B71">
        <w:rPr>
          <w:rFonts w:cs="Times New Roman"/>
        </w:rPr>
        <w:t xml:space="preserve"> trying to deny is the truth. This leads to depression and detachment as reality is too painful to accept. The sadness of the imagined loss is often suppressed or glossed over with a veneer of anger.</w:t>
      </w:r>
    </w:p>
    <w:p w14:paraId="07AC526F" w14:textId="77777777" w:rsidR="007726E9" w:rsidRPr="00124B71" w:rsidRDefault="00652DA3" w:rsidP="00F64AE8">
      <w:pPr>
        <w:rPr>
          <w:rFonts w:cs="Times New Roman"/>
        </w:rPr>
      </w:pPr>
      <w:r w:rsidRPr="00124B71">
        <w:rPr>
          <w:rFonts w:cs="Times New Roman"/>
        </w:rPr>
        <w:t xml:space="preserve">Finally, “as the going gets tough, the tough get going,” and the individual seeks ways to get out of the problem through emotional bargaining. This </w:t>
      </w:r>
      <w:r w:rsidRPr="00124B71">
        <w:rPr>
          <w:rFonts w:cs="Times New Roman"/>
        </w:rPr>
        <w:lastRenderedPageBreak/>
        <w:t>behavior often takes the form of a negotiation with Fate or the market. One amusing example of this behavior is the purchase of a St. Joseph statue</w:t>
      </w:r>
      <w:r w:rsidR="001858B5">
        <w:rPr>
          <w:rFonts w:cs="Times New Roman"/>
        </w:rPr>
        <w:fldChar w:fldCharType="begin"/>
      </w:r>
      <w:r w:rsidR="00B26DFF">
        <w:instrText xml:space="preserve"> XE "</w:instrText>
      </w:r>
      <w:r w:rsidR="00B26DFF" w:rsidRPr="006764B5">
        <w:rPr>
          <w:rFonts w:cs="Times New Roman"/>
        </w:rPr>
        <w:instrText>St. Joseph statue</w:instrText>
      </w:r>
      <w:r w:rsidR="00B26DFF">
        <w:instrText xml:space="preserve">" </w:instrText>
      </w:r>
      <w:r w:rsidR="001858B5">
        <w:rPr>
          <w:rFonts w:cs="Times New Roman"/>
        </w:rPr>
        <w:fldChar w:fldCharType="end"/>
      </w:r>
      <w:r w:rsidR="0035183E" w:rsidRPr="00124B71">
        <w:rPr>
          <w:rFonts w:cs="Times New Roman"/>
        </w:rPr>
        <w:t>.</w:t>
      </w:r>
      <w:r w:rsidR="00F0648C" w:rsidRPr="00124B71">
        <w:rPr>
          <w:rFonts w:cs="Times New Roman"/>
        </w:rPr>
        <w:t xml:space="preserve"> </w:t>
      </w:r>
      <w:r w:rsidR="00364802" w:rsidRPr="00124B71">
        <w:rPr>
          <w:rStyle w:val="EndnoteReference"/>
          <w:rFonts w:cs="Times New Roman"/>
        </w:rPr>
        <w:endnoteReference w:id="96"/>
      </w:r>
      <w:r w:rsidRPr="00124B71">
        <w:rPr>
          <w:rFonts w:cs="Times New Roman"/>
        </w:rPr>
        <w:t xml:space="preserve"> Burying this statue in the yard is supposed to secure God’s blessing and ensure a quick sale. Some will take </w:t>
      </w:r>
      <w:r w:rsidR="00214B53" w:rsidRPr="00124B71">
        <w:rPr>
          <w:rFonts w:cs="Times New Roman"/>
        </w:rPr>
        <w:t>m</w:t>
      </w:r>
      <w:r w:rsidRPr="00124B71">
        <w:rPr>
          <w:rFonts w:cs="Times New Roman"/>
        </w:rPr>
        <w:t>ore productive action. Perhaps it is lowering an asking price, or taking the property off the market and doing some renovations to “add value.” Some will not take action, and they lapse back into denial because the market is “coming back soon.” Those owners who chose to lower their price as part of their bargaining may get out with minimal losses (assuming they lower it enough to actually sell</w:t>
      </w:r>
      <w:r w:rsidR="00A40CA5" w:rsidRPr="00124B71">
        <w:rPr>
          <w:rFonts w:cs="Times New Roman"/>
        </w:rPr>
        <w:t>).</w:t>
      </w:r>
      <w:r w:rsidRPr="00124B71">
        <w:rPr>
          <w:rFonts w:cs="Times New Roman"/>
        </w:rPr>
        <w:t xml:space="preserve"> Those that cho</w:t>
      </w:r>
      <w:r w:rsidR="00214B53" w:rsidRPr="00124B71">
        <w:rPr>
          <w:rFonts w:cs="Times New Roman"/>
        </w:rPr>
        <w:t>o</w:t>
      </w:r>
      <w:r w:rsidRPr="00124B71">
        <w:rPr>
          <w:rFonts w:cs="Times New Roman"/>
        </w:rPr>
        <w:t xml:space="preserve">se other courses of action, lose much more money. </w:t>
      </w:r>
    </w:p>
    <w:p w14:paraId="78E320D9" w14:textId="77777777" w:rsidR="00652DA3" w:rsidRPr="00124B71" w:rsidRDefault="00340CC8" w:rsidP="007726E9">
      <w:pPr>
        <w:rPr>
          <w:rFonts w:cs="Times New Roman"/>
        </w:rPr>
      </w:pPr>
      <w:r w:rsidRPr="00124B71">
        <w:rPr>
          <w:rFonts w:cs="Times New Roman"/>
        </w:rPr>
        <w:t>In past market declines e</w:t>
      </w:r>
      <w:r w:rsidR="00652DA3" w:rsidRPr="00124B71">
        <w:rPr>
          <w:rFonts w:cs="Times New Roman"/>
        </w:rPr>
        <w:t>ach individual reache</w:t>
      </w:r>
      <w:r w:rsidRPr="00124B71">
        <w:rPr>
          <w:rFonts w:cs="Times New Roman"/>
        </w:rPr>
        <w:t>d</w:t>
      </w:r>
      <w:r w:rsidR="00652DA3" w:rsidRPr="00124B71">
        <w:rPr>
          <w:rFonts w:cs="Times New Roman"/>
        </w:rPr>
        <w:t xml:space="preserve"> acceptance</w:t>
      </w:r>
      <w:r w:rsidR="007726E9" w:rsidRPr="00124B71">
        <w:rPr>
          <w:rFonts w:cs="Times New Roman"/>
        </w:rPr>
        <w:t xml:space="preserve"> of the market reality. Some </w:t>
      </w:r>
      <w:r w:rsidR="00214B53" w:rsidRPr="00124B71">
        <w:rPr>
          <w:rFonts w:cs="Times New Roman"/>
        </w:rPr>
        <w:t xml:space="preserve">chose </w:t>
      </w:r>
      <w:r w:rsidR="007726E9" w:rsidRPr="00124B71">
        <w:rPr>
          <w:rFonts w:cs="Times New Roman"/>
        </w:rPr>
        <w:t>to continue making payments on their “investment” and wait out the bear market</w:t>
      </w:r>
      <w:r w:rsidR="001858B5">
        <w:rPr>
          <w:rFonts w:cs="Times New Roman"/>
        </w:rPr>
        <w:fldChar w:fldCharType="begin"/>
      </w:r>
      <w:r w:rsidR="00180E6F">
        <w:instrText xml:space="preserve"> XE "</w:instrText>
      </w:r>
      <w:r w:rsidR="00180E6F" w:rsidRPr="00543E10">
        <w:rPr>
          <w:rFonts w:cs="Times New Roman"/>
        </w:rPr>
        <w:instrText>bear market</w:instrText>
      </w:r>
      <w:r w:rsidR="00180E6F">
        <w:instrText xml:space="preserve">" </w:instrText>
      </w:r>
      <w:r w:rsidR="001858B5">
        <w:rPr>
          <w:rFonts w:cs="Times New Roman"/>
        </w:rPr>
        <w:fldChar w:fldCharType="end"/>
      </w:r>
      <w:r w:rsidR="007726E9" w:rsidRPr="00124B71">
        <w:rPr>
          <w:rFonts w:cs="Times New Roman"/>
        </w:rPr>
        <w:t>. In the aftermath of the</w:t>
      </w:r>
      <w:r w:rsidR="00214B53" w:rsidRPr="00124B71">
        <w:rPr>
          <w:rFonts w:cs="Times New Roman"/>
        </w:rPr>
        <w:t xml:space="preserve"> coastal</w:t>
      </w:r>
      <w:r w:rsidR="007726E9" w:rsidRPr="00124B71">
        <w:rPr>
          <w:rFonts w:cs="Times New Roman"/>
        </w:rPr>
        <w:t xml:space="preserve"> bubble of the early 90s, many </w:t>
      </w:r>
      <w:r w:rsidR="00214B53" w:rsidRPr="00124B71">
        <w:rPr>
          <w:rFonts w:cs="Times New Roman"/>
        </w:rPr>
        <w:t>sellers</w:t>
      </w:r>
      <w:r w:rsidR="007726E9" w:rsidRPr="00124B71">
        <w:rPr>
          <w:rFonts w:cs="Times New Roman"/>
        </w:rPr>
        <w:t xml:space="preserve"> accepted the market was a buyer’s market, and </w:t>
      </w:r>
      <w:r w:rsidR="00214B53" w:rsidRPr="00124B71">
        <w:rPr>
          <w:rFonts w:cs="Times New Roman"/>
        </w:rPr>
        <w:t>many sellers chose to keep making their payments and keep their propert</w:t>
      </w:r>
      <w:r w:rsidR="00526482" w:rsidRPr="00124B71">
        <w:rPr>
          <w:rFonts w:cs="Times New Roman"/>
        </w:rPr>
        <w:t>ies</w:t>
      </w:r>
      <w:r w:rsidR="007726E9" w:rsidRPr="00124B71">
        <w:rPr>
          <w:rFonts w:cs="Times New Roman"/>
        </w:rPr>
        <w:t xml:space="preserve">. Those that chose to </w:t>
      </w:r>
      <w:r w:rsidR="00214B53" w:rsidRPr="00124B71">
        <w:rPr>
          <w:rFonts w:cs="Times New Roman"/>
        </w:rPr>
        <w:t>keep their property</w:t>
      </w:r>
      <w:r w:rsidR="007726E9" w:rsidRPr="00124B71">
        <w:rPr>
          <w:rFonts w:cs="Times New Roman"/>
        </w:rPr>
        <w:t xml:space="preserve"> in the Great Housing Bubble did not have the ability to make these payments, and the property became a forced sale at a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7726E9" w:rsidRPr="00124B71">
        <w:rPr>
          <w:rFonts w:cs="Times New Roman"/>
        </w:rPr>
        <w:t xml:space="preserve"> auction. Some individuals reach</w:t>
      </w:r>
      <w:r w:rsidR="00214B53" w:rsidRPr="00124B71">
        <w:rPr>
          <w:rFonts w:cs="Times New Roman"/>
        </w:rPr>
        <w:t>ed</w:t>
      </w:r>
      <w:r w:rsidR="007726E9" w:rsidRPr="00124B71">
        <w:rPr>
          <w:rFonts w:cs="Times New Roman"/>
        </w:rPr>
        <w:t xml:space="preserve"> acceptance and chose to sell their property</w:t>
      </w:r>
      <w:r w:rsidR="00214B53" w:rsidRPr="00124B71">
        <w:rPr>
          <w:rFonts w:cs="Times New Roman"/>
        </w:rPr>
        <w:t xml:space="preserve"> on their own</w:t>
      </w:r>
      <w:r w:rsidR="007726E9" w:rsidRPr="00124B71">
        <w:rPr>
          <w:rFonts w:cs="Times New Roman"/>
        </w:rPr>
        <w:t>.</w:t>
      </w:r>
      <w:r w:rsidR="00652DA3" w:rsidRPr="00124B71">
        <w:rPr>
          <w:rFonts w:cs="Times New Roman"/>
        </w:rPr>
        <w:t xml:space="preserve"> </w:t>
      </w:r>
    </w:p>
    <w:p w14:paraId="3C700B56" w14:textId="77777777" w:rsidR="00652DA3" w:rsidRPr="00EF0EDA" w:rsidRDefault="00652DA3" w:rsidP="00F64AE8">
      <w:pPr>
        <w:pStyle w:val="Heading2"/>
      </w:pPr>
      <w:bookmarkStart w:id="151" w:name="_Toc238867356"/>
      <w:r w:rsidRPr="00EF0EDA">
        <w:t>Efficient Markets Theory</w:t>
      </w:r>
      <w:bookmarkEnd w:id="151"/>
    </w:p>
    <w:p w14:paraId="316FA84D" w14:textId="225AE7A9" w:rsidR="0053176F" w:rsidRPr="00EF0EDA" w:rsidRDefault="00CF05FE" w:rsidP="0053176F">
      <w:pPr>
        <w:pStyle w:val="Caption"/>
      </w:pPr>
      <w:bookmarkStart w:id="152" w:name="_Toc238867474"/>
      <w:r>
        <w:t>Figure</w:t>
      </w:r>
      <w:r w:rsidR="0053176F" w:rsidRPr="00EF0EDA">
        <w:t xml:space="preserve"> </w:t>
      </w:r>
      <w:fldSimple w:instr=" SEQ Figure \* ARABIC ">
        <w:r w:rsidR="00493733">
          <w:rPr>
            <w:noProof/>
          </w:rPr>
          <w:t>33</w:t>
        </w:r>
      </w:fldSimple>
      <w:r w:rsidR="00317936">
        <w:t xml:space="preserve">: </w:t>
      </w:r>
      <w:r w:rsidR="0053176F" w:rsidRPr="00EF0EDA">
        <w:t>Efficient Markets Theory</w:t>
      </w:r>
      <w:bookmarkEnd w:id="152"/>
    </w:p>
    <w:p w14:paraId="23986572" w14:textId="77777777" w:rsidR="0053176F" w:rsidRPr="00EF0EDA" w:rsidRDefault="002703E4" w:rsidP="00C55849">
      <w:pPr>
        <w:pStyle w:val="Graphics"/>
      </w:pPr>
      <w:r>
        <w:drawing>
          <wp:inline distT="0" distB="0" distL="0" distR="0" wp14:anchorId="6818E7EF" wp14:editId="1E86A9D2">
            <wp:extent cx="3657600" cy="2743200"/>
            <wp:effectExtent l="19050" t="0" r="0" b="0"/>
            <wp:docPr id="97" name="Picture 96" descr="Efficient Markets The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icient Markets Theory.jpg"/>
                    <pic:cNvPicPr/>
                  </pic:nvPicPr>
                  <pic:blipFill>
                    <a:blip r:embed="rId69"/>
                    <a:stretch>
                      <a:fillRect/>
                    </a:stretch>
                  </pic:blipFill>
                  <pic:spPr>
                    <a:xfrm>
                      <a:off x="0" y="0"/>
                      <a:ext cx="3657600" cy="2743200"/>
                    </a:xfrm>
                    <a:prstGeom prst="rect">
                      <a:avLst/>
                    </a:prstGeom>
                  </pic:spPr>
                </pic:pic>
              </a:graphicData>
            </a:graphic>
          </wp:inline>
        </w:drawing>
      </w:r>
    </w:p>
    <w:p w14:paraId="2878873B" w14:textId="77777777" w:rsidR="00534962" w:rsidRPr="00124B71" w:rsidRDefault="00534962" w:rsidP="00534962">
      <w:pPr>
        <w:rPr>
          <w:rFonts w:cs="Times New Roman"/>
        </w:rPr>
      </w:pPr>
      <w:r w:rsidRPr="00124B71">
        <w:rPr>
          <w:rFonts w:cs="Times New Roman"/>
        </w:rPr>
        <w:t>The efficient markets theory</w:t>
      </w:r>
      <w:r w:rsidR="001858B5">
        <w:rPr>
          <w:rFonts w:cs="Times New Roman"/>
        </w:rPr>
        <w:fldChar w:fldCharType="begin"/>
      </w:r>
      <w:r w:rsidR="00B26DFF">
        <w:instrText xml:space="preserve"> XE "</w:instrText>
      </w:r>
      <w:r w:rsidR="00B26DFF" w:rsidRPr="00715992">
        <w:rPr>
          <w:rFonts w:cs="Times New Roman"/>
        </w:rPr>
        <w:instrText>efficient markets theory</w:instrText>
      </w:r>
      <w:r w:rsidR="00B26DFF">
        <w:instrText xml:space="preserve">" </w:instrText>
      </w:r>
      <w:r w:rsidR="001858B5">
        <w:rPr>
          <w:rFonts w:cs="Times New Roman"/>
        </w:rPr>
        <w:fldChar w:fldCharType="end"/>
      </w:r>
      <w:r w:rsidRPr="00124B71">
        <w:rPr>
          <w:rFonts w:cs="Times New Roman"/>
        </w:rPr>
        <w:t xml:space="preserve"> is the idea that speculative asset prices always incorporate the best information about fundamental values and that prices change only because new information enters the market and investors act in an </w:t>
      </w:r>
      <w:r w:rsidRPr="00124B71">
        <w:rPr>
          <w:rFonts w:cs="Times New Roman"/>
        </w:rPr>
        <w:lastRenderedPageBreak/>
        <w:t xml:space="preserve">appropriate, rational manner with regards to this information. </w:t>
      </w:r>
      <w:r w:rsidRPr="00124B71">
        <w:rPr>
          <w:rStyle w:val="EndnoteReference"/>
          <w:rFonts w:cs="Times New Roman"/>
        </w:rPr>
        <w:endnoteReference w:id="97"/>
      </w:r>
      <w:r w:rsidRPr="00124B71">
        <w:rPr>
          <w:rFonts w:cs="Times New Roman"/>
        </w:rPr>
        <w:t xml:space="preserve"> This idea dominated academic fields in the early 1970s. Efficient markets theory is an elegant attempt to tether asset prices to fundamentals through the common-sense notion that people would not behave in irrational ways with their money in financial markets. This theory is encapsulated by the “value investment” paradigm prevalent in much of the investment community.</w:t>
      </w:r>
    </w:p>
    <w:p w14:paraId="32E89A7B" w14:textId="77777777" w:rsidR="006111F0" w:rsidRPr="00124B71" w:rsidRDefault="00324554" w:rsidP="00F64AE8">
      <w:pPr>
        <w:rPr>
          <w:rFonts w:cs="Times New Roman"/>
        </w:rPr>
      </w:pPr>
      <w:r w:rsidRPr="00124B71">
        <w:rPr>
          <w:rFonts w:cs="Times New Roman"/>
        </w:rPr>
        <w:t>In an efficient market, prices are tethered to perceived fundamental valuations. If prices fall below the market’s perception of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Pr="00124B71">
        <w:rPr>
          <w:rFonts w:cs="Times New Roman"/>
        </w:rPr>
        <w:t xml:space="preserve">, then buyers will enter the market and purchase the asset until prices reach their perceived value. If prices rise above the market’s perception of fundamental value, then sellers will enter the market to sell the asset at inflated prices. </w:t>
      </w:r>
      <w:r w:rsidR="006111F0" w:rsidRPr="00124B71">
        <w:rPr>
          <w:rFonts w:cs="Times New Roman"/>
        </w:rPr>
        <w:t xml:space="preserve">Efficient markets theory explains the majority of market behavior, but it has one major flaw which renders it inoperable as a forecasting tool: it does not explain those instances when prices become very volatile and detach from </w:t>
      </w:r>
      <w:r w:rsidR="0053176F" w:rsidRPr="00124B71">
        <w:rPr>
          <w:rFonts w:cs="Times New Roman"/>
        </w:rPr>
        <w:t>their fundamental valuations.</w:t>
      </w:r>
      <w:r w:rsidR="00B443F1" w:rsidRPr="00124B71">
        <w:rPr>
          <w:rFonts w:cs="Times New Roman"/>
        </w:rPr>
        <w:t xml:space="preserve"> This becomes painfully obvious when adherents to the theory postulate new metrics to justify fundamental valuations that later prove to be completely erroneous</w:t>
      </w:r>
      <w:r w:rsidR="0035183E" w:rsidRPr="00124B71">
        <w:rPr>
          <w:rFonts w:cs="Times New Roman"/>
        </w:rPr>
        <w:t>.</w:t>
      </w:r>
      <w:r w:rsidR="00F0648C" w:rsidRPr="00124B71">
        <w:rPr>
          <w:rFonts w:cs="Times New Roman"/>
        </w:rPr>
        <w:t xml:space="preserve"> </w:t>
      </w:r>
      <w:r w:rsidR="006E0DBF" w:rsidRPr="00124B71">
        <w:rPr>
          <w:rStyle w:val="EndnoteReference"/>
          <w:rFonts w:cs="Times New Roman"/>
        </w:rPr>
        <w:endnoteReference w:id="98"/>
      </w:r>
      <w:r w:rsidR="00B443F1" w:rsidRPr="00124B71">
        <w:rPr>
          <w:rFonts w:cs="Times New Roman"/>
        </w:rPr>
        <w:t xml:space="preserve"> </w:t>
      </w:r>
      <w:r w:rsidR="0056709F" w:rsidRPr="00124B71">
        <w:rPr>
          <w:rFonts w:cs="Times New Roman"/>
        </w:rPr>
        <w:t>The failed</w:t>
      </w:r>
      <w:r w:rsidR="00B443F1" w:rsidRPr="00124B71">
        <w:rPr>
          <w:rFonts w:cs="Times New Roman"/>
        </w:rPr>
        <w:t xml:space="preserve"> attempt</w:t>
      </w:r>
      <w:r w:rsidR="0056709F" w:rsidRPr="00124B71">
        <w:rPr>
          <w:rFonts w:cs="Times New Roman"/>
        </w:rPr>
        <w:t>s</w:t>
      </w:r>
      <w:r w:rsidR="00B443F1" w:rsidRPr="00124B71">
        <w:rPr>
          <w:rFonts w:cs="Times New Roman"/>
        </w:rPr>
        <w:t xml:space="preserve"> to explain anomalies with the efficient markets theory</w:t>
      </w:r>
      <w:r w:rsidR="001858B5">
        <w:rPr>
          <w:rFonts w:cs="Times New Roman"/>
        </w:rPr>
        <w:fldChar w:fldCharType="begin"/>
      </w:r>
      <w:r w:rsidR="00B26DFF">
        <w:instrText xml:space="preserve"> XE "</w:instrText>
      </w:r>
      <w:r w:rsidR="00B26DFF" w:rsidRPr="00715992">
        <w:rPr>
          <w:rFonts w:cs="Times New Roman"/>
        </w:rPr>
        <w:instrText>efficient markets theory</w:instrText>
      </w:r>
      <w:r w:rsidR="00B26DFF">
        <w:instrText xml:space="preserve">" </w:instrText>
      </w:r>
      <w:r w:rsidR="001858B5">
        <w:rPr>
          <w:rFonts w:cs="Times New Roman"/>
        </w:rPr>
        <w:fldChar w:fldCharType="end"/>
      </w:r>
      <w:r w:rsidR="00B443F1" w:rsidRPr="00124B71">
        <w:rPr>
          <w:rFonts w:cs="Times New Roman"/>
        </w:rPr>
        <w:t xml:space="preserve"> lead to a new paradigm: behavioral finance theory</w:t>
      </w:r>
      <w:r w:rsidR="00CF441F" w:rsidRPr="00124B71">
        <w:rPr>
          <w:rFonts w:cs="Times New Roman"/>
        </w:rPr>
        <w:t>.</w:t>
      </w:r>
    </w:p>
    <w:p w14:paraId="207B356E" w14:textId="77777777" w:rsidR="00652DA3" w:rsidRPr="00EF0EDA" w:rsidRDefault="00652DA3" w:rsidP="00F64AE8">
      <w:pPr>
        <w:pStyle w:val="Heading2"/>
      </w:pPr>
      <w:bookmarkStart w:id="153" w:name="_Toc238867357"/>
      <w:r w:rsidRPr="00EF0EDA">
        <w:t>Behavioral Finance Theory</w:t>
      </w:r>
      <w:bookmarkEnd w:id="153"/>
    </w:p>
    <w:p w14:paraId="31BD8126" w14:textId="6449B0F5" w:rsidR="00C55849" w:rsidRPr="00EF0EDA" w:rsidRDefault="00C55849" w:rsidP="00C55849">
      <w:pPr>
        <w:pStyle w:val="Caption"/>
      </w:pPr>
      <w:bookmarkStart w:id="154" w:name="_Toc238867475"/>
      <w:r>
        <w:t>Figure</w:t>
      </w:r>
      <w:r w:rsidRPr="00EF0EDA">
        <w:t xml:space="preserve"> </w:t>
      </w:r>
      <w:fldSimple w:instr=" SEQ Figure \* ARABIC ">
        <w:r w:rsidR="00493733">
          <w:rPr>
            <w:noProof/>
          </w:rPr>
          <w:t>34</w:t>
        </w:r>
      </w:fldSimple>
      <w:r w:rsidR="00317936">
        <w:t xml:space="preserve">: </w:t>
      </w:r>
      <w:r w:rsidRPr="00EF0EDA">
        <w:t>Behavioral Finance Theory</w:t>
      </w:r>
      <w:bookmarkEnd w:id="154"/>
    </w:p>
    <w:p w14:paraId="4E104D85" w14:textId="77777777" w:rsidR="00C55849" w:rsidRPr="00EF0EDA" w:rsidRDefault="002703E4" w:rsidP="00C55849">
      <w:pPr>
        <w:pStyle w:val="Graphics"/>
      </w:pPr>
      <w:r>
        <w:drawing>
          <wp:inline distT="0" distB="0" distL="0" distR="0" wp14:anchorId="2F2DA9A4" wp14:editId="05D1D5F1">
            <wp:extent cx="3657600" cy="2743200"/>
            <wp:effectExtent l="19050" t="0" r="0" b="0"/>
            <wp:docPr id="99" name="Picture 98" descr="Behavioral Finance The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havioral Finance Theory.jpg"/>
                    <pic:cNvPicPr/>
                  </pic:nvPicPr>
                  <pic:blipFill>
                    <a:blip r:embed="rId70"/>
                    <a:stretch>
                      <a:fillRect/>
                    </a:stretch>
                  </pic:blipFill>
                  <pic:spPr>
                    <a:xfrm>
                      <a:off x="0" y="0"/>
                      <a:ext cx="3657600" cy="2743200"/>
                    </a:xfrm>
                    <a:prstGeom prst="rect">
                      <a:avLst/>
                    </a:prstGeom>
                  </pic:spPr>
                </pic:pic>
              </a:graphicData>
            </a:graphic>
          </wp:inline>
        </w:drawing>
      </w:r>
    </w:p>
    <w:p w14:paraId="627AC26D" w14:textId="77777777" w:rsidR="00C806AD" w:rsidRPr="00124B71" w:rsidRDefault="0056709F" w:rsidP="00C806AD">
      <w:pPr>
        <w:rPr>
          <w:rFonts w:cs="Times New Roman"/>
        </w:rPr>
      </w:pPr>
      <w:r w:rsidRPr="00124B71">
        <w:rPr>
          <w:rFonts w:cs="Times New Roman"/>
        </w:rPr>
        <w:t>Behavioral Finance abandoned the quest of the efficient markets theory</w:t>
      </w:r>
      <w:r w:rsidR="001858B5">
        <w:rPr>
          <w:rFonts w:cs="Times New Roman"/>
        </w:rPr>
        <w:fldChar w:fldCharType="begin"/>
      </w:r>
      <w:r w:rsidR="00B26DFF">
        <w:instrText xml:space="preserve"> XE "</w:instrText>
      </w:r>
      <w:r w:rsidR="00B26DFF" w:rsidRPr="00715992">
        <w:rPr>
          <w:rFonts w:cs="Times New Roman"/>
        </w:rPr>
        <w:instrText>efficient markets theory</w:instrText>
      </w:r>
      <w:r w:rsidR="00B26DFF">
        <w:instrText xml:space="preserve">" </w:instrText>
      </w:r>
      <w:r w:rsidR="001858B5">
        <w:rPr>
          <w:rFonts w:cs="Times New Roman"/>
        </w:rPr>
        <w:fldChar w:fldCharType="end"/>
      </w:r>
      <w:r w:rsidRPr="00124B71">
        <w:rPr>
          <w:rFonts w:cs="Times New Roman"/>
        </w:rPr>
        <w:t xml:space="preserve"> to find a rational, mathematical model to explain fluctuations in asset prices. Instead, behavioral finance looked to psychology to explain asset valuation and why prices rise and fall. The primary representation of market behavior </w:t>
      </w:r>
      <w:r w:rsidRPr="00124B71">
        <w:rPr>
          <w:rFonts w:cs="Times New Roman"/>
        </w:rPr>
        <w:lastRenderedPageBreak/>
        <w:t>postulated by behavioral finance is the</w:t>
      </w:r>
      <w:r w:rsidR="0004597A" w:rsidRPr="00124B71">
        <w:rPr>
          <w:rFonts w:cs="Times New Roman"/>
        </w:rPr>
        <w:t xml:space="preserve"> price-to-price</w:t>
      </w:r>
      <w:r w:rsidRPr="00124B71">
        <w:rPr>
          <w:rFonts w:cs="Times New Roman"/>
        </w:rPr>
        <w:t xml:space="preserve"> feedback model</w:t>
      </w:r>
      <w:r w:rsidR="0004597A" w:rsidRPr="00124B71">
        <w:rPr>
          <w:rFonts w:cs="Times New Roman"/>
        </w:rPr>
        <w:t>: prices go up because prices have been going up</w:t>
      </w:r>
      <w:r w:rsidR="00A41BD6" w:rsidRPr="00124B71">
        <w:rPr>
          <w:rFonts w:cs="Times New Roman"/>
        </w:rPr>
        <w:t>, and prices go down because prices have been going down</w:t>
      </w:r>
      <w:r w:rsidR="0004597A" w:rsidRPr="00124B71">
        <w:rPr>
          <w:rFonts w:cs="Times New Roman"/>
        </w:rPr>
        <w:t>. If investors are making money because asset prices increase, other investors take note of the profits being made, and they want to capture those profits as well. They buy the asset, and prices continue to rise. The higher prices rise and the longer it goes on, the more attention is brought to the positive price changes and the more investors want to get involved. These investors are not buying because they think the asset is fairly valued, they are buying because the value is going up.</w:t>
      </w:r>
      <w:r w:rsidR="00A41BD6" w:rsidRPr="00124B71">
        <w:rPr>
          <w:rFonts w:cs="Times New Roman"/>
        </w:rPr>
        <w:t xml:space="preserve"> They assume other rational investors must be bidding prices higher, and in their minds they “borrow” the collective expertise of the market</w:t>
      </w:r>
      <w:r w:rsidR="00F0648C" w:rsidRPr="00124B71">
        <w:rPr>
          <w:rFonts w:cs="Times New Roman"/>
        </w:rPr>
        <w:t xml:space="preserve">. </w:t>
      </w:r>
      <w:r w:rsidR="00F63300" w:rsidRPr="00124B71">
        <w:rPr>
          <w:rStyle w:val="EndnoteReference"/>
          <w:rFonts w:cs="Times New Roman"/>
        </w:rPr>
        <w:endnoteReference w:id="99"/>
      </w:r>
      <w:r w:rsidR="00A41BD6" w:rsidRPr="00124B71">
        <w:rPr>
          <w:rFonts w:cs="Times New Roman"/>
        </w:rPr>
        <w:t xml:space="preserve"> In reality, they are just following the herd.</w:t>
      </w:r>
      <w:r w:rsidR="0004597A" w:rsidRPr="00124B71">
        <w:rPr>
          <w:rFonts w:cs="Times New Roman"/>
        </w:rPr>
        <w:t xml:space="preserve"> This</w:t>
      </w:r>
      <w:r w:rsidR="005F5D5C" w:rsidRPr="00124B71">
        <w:rPr>
          <w:rFonts w:cs="Times New Roman"/>
        </w:rPr>
        <w:t xml:space="preserve"> herd-following</w:t>
      </w:r>
      <w:r w:rsidR="0004597A" w:rsidRPr="00124B71">
        <w:rPr>
          <w:rFonts w:cs="Times New Roman"/>
        </w:rPr>
        <w:t xml:space="preserve"> has long been a valid investment technique employed by traders known as “momentum” investing</w:t>
      </w:r>
      <w:r w:rsidR="0035183E" w:rsidRPr="00124B71">
        <w:rPr>
          <w:rFonts w:cs="Times New Roman"/>
        </w:rPr>
        <w:t>.</w:t>
      </w:r>
      <w:r w:rsidR="00F0648C" w:rsidRPr="00124B71">
        <w:rPr>
          <w:rFonts w:cs="Times New Roman"/>
        </w:rPr>
        <w:t xml:space="preserve"> </w:t>
      </w:r>
      <w:r w:rsidR="00857EFD" w:rsidRPr="00124B71">
        <w:rPr>
          <w:rStyle w:val="EndnoteReference"/>
          <w:rFonts w:cs="Times New Roman"/>
        </w:rPr>
        <w:endnoteReference w:id="100"/>
      </w:r>
      <w:r w:rsidR="0004597A" w:rsidRPr="00124B71">
        <w:rPr>
          <w:rFonts w:cs="Times New Roman"/>
        </w:rPr>
        <w:t xml:space="preserve"> It is not investing by any conventional definition because it relies completely on capturing speculative price changes. Success or failure often hinges on knowing when to sell. It is not a “buy and hold</w:t>
      </w:r>
      <w:r w:rsidR="001858B5">
        <w:rPr>
          <w:rFonts w:cs="Times New Roman"/>
        </w:rPr>
        <w:fldChar w:fldCharType="begin"/>
      </w:r>
      <w:r w:rsidR="001A53F8">
        <w:instrText xml:space="preserve"> XE "</w:instrText>
      </w:r>
      <w:r w:rsidR="001A53F8" w:rsidRPr="004B721E">
        <w:rPr>
          <w:rFonts w:cs="Times New Roman"/>
        </w:rPr>
        <w:instrText>buy and hold</w:instrText>
      </w:r>
      <w:r w:rsidR="001A53F8">
        <w:instrText xml:space="preserve">" </w:instrText>
      </w:r>
      <w:r w:rsidR="001858B5">
        <w:rPr>
          <w:rFonts w:cs="Times New Roman"/>
        </w:rPr>
        <w:fldChar w:fldCharType="end"/>
      </w:r>
      <w:r w:rsidR="0004597A" w:rsidRPr="00124B71">
        <w:rPr>
          <w:rFonts w:cs="Times New Roman"/>
        </w:rPr>
        <w:t>” strategy.</w:t>
      </w:r>
    </w:p>
    <w:p w14:paraId="1A81CB02" w14:textId="77777777" w:rsidR="00652DA3" w:rsidRPr="00124B71" w:rsidRDefault="0004597A" w:rsidP="00F64AE8">
      <w:pPr>
        <w:rPr>
          <w:rFonts w:cs="Times New Roman"/>
        </w:rPr>
      </w:pPr>
      <w:r w:rsidRPr="00124B71">
        <w:rPr>
          <w:rFonts w:cs="Times New Roman"/>
        </w:rPr>
        <w:t>The efficient markets theory</w:t>
      </w:r>
      <w:r w:rsidR="001858B5">
        <w:rPr>
          <w:rFonts w:cs="Times New Roman"/>
        </w:rPr>
        <w:fldChar w:fldCharType="begin"/>
      </w:r>
      <w:r w:rsidR="00B26DFF">
        <w:instrText xml:space="preserve"> XE "</w:instrText>
      </w:r>
      <w:r w:rsidR="00B26DFF" w:rsidRPr="00715992">
        <w:rPr>
          <w:rFonts w:cs="Times New Roman"/>
        </w:rPr>
        <w:instrText>efficient markets theory</w:instrText>
      </w:r>
      <w:r w:rsidR="00B26DFF">
        <w:instrText xml:space="preserve">" </w:instrText>
      </w:r>
      <w:r w:rsidR="001858B5">
        <w:rPr>
          <w:rFonts w:cs="Times New Roman"/>
        </w:rPr>
        <w:fldChar w:fldCharType="end"/>
      </w:r>
      <w:r w:rsidRPr="00124B71">
        <w:rPr>
          <w:rFonts w:cs="Times New Roman"/>
        </w:rPr>
        <w:t xml:space="preserve"> does explain the behavior of asset prices in a typical market, but when price change</w:t>
      </w:r>
      <w:r w:rsidR="00493B81" w:rsidRPr="00124B71">
        <w:rPr>
          <w:rFonts w:cs="Times New Roman"/>
        </w:rPr>
        <w:t xml:space="preserve"> begins to feedback on itself, behavioral finance is the only theory that explains this phenomenon. There is often a precipitating factor</w:t>
      </w:r>
      <w:r w:rsidR="001858B5">
        <w:rPr>
          <w:rFonts w:cs="Times New Roman"/>
        </w:rPr>
        <w:fldChar w:fldCharType="begin"/>
      </w:r>
      <w:r w:rsidR="002321D5">
        <w:instrText xml:space="preserve"> XE "</w:instrText>
      </w:r>
      <w:r w:rsidR="002321D5" w:rsidRPr="00787AAA">
        <w:rPr>
          <w:rFonts w:cs="Times New Roman"/>
        </w:rPr>
        <w:instrText>precipitating factor</w:instrText>
      </w:r>
      <w:r w:rsidR="002321D5">
        <w:instrText xml:space="preserve">" </w:instrText>
      </w:r>
      <w:r w:rsidR="001858B5">
        <w:rPr>
          <w:rFonts w:cs="Times New Roman"/>
        </w:rPr>
        <w:fldChar w:fldCharType="end"/>
      </w:r>
      <w:r w:rsidR="00493B81" w:rsidRPr="00124B71">
        <w:rPr>
          <w:rFonts w:cs="Times New Roman"/>
        </w:rPr>
        <w:t xml:space="preserve"> causing the break with the normal pattern and releasing the tether from fundamental valuations. </w:t>
      </w:r>
      <w:r w:rsidR="00526482" w:rsidRPr="00124B71">
        <w:rPr>
          <w:rFonts w:cs="Times New Roman"/>
        </w:rPr>
        <w:t>During</w:t>
      </w:r>
      <w:r w:rsidR="00493B81" w:rsidRPr="00124B71">
        <w:rPr>
          <w:rFonts w:cs="Times New Roman"/>
        </w:rPr>
        <w:t xml:space="preserve"> the Great Housing Bubble, the primary precipitating factor was the</w:t>
      </w:r>
      <w:r w:rsidR="00D12BD4">
        <w:rPr>
          <w:rFonts w:cs="Times New Roman"/>
        </w:rPr>
        <w:t xml:space="preserve"> lowering </w:t>
      </w:r>
      <w:r w:rsidR="00493B81" w:rsidRPr="00124B71">
        <w:rPr>
          <w:rFonts w:cs="Times New Roman"/>
        </w:rPr>
        <w:t>of interest rates. The precipitating factor simply acts as a catalyst to get prices moving. Once a directional bias is in place, then price-to-price feedback can take over. The perception of fundamental valuation is based solely on the expectation of future price increases, and the asset is always perceived to be undervalued. There are often brave and foolhardy attempts to justify these valuations and provide a rationalization for irrational behavior. Many witnessing the event assume the “smart money” must know something, and there is a widespread belief prices could not rise so much without a good reason</w:t>
      </w:r>
      <w:r w:rsidR="0035183E" w:rsidRPr="00124B71">
        <w:rPr>
          <w:rFonts w:cs="Times New Roman"/>
        </w:rPr>
        <w:t>.</w:t>
      </w:r>
      <w:r w:rsidR="00493B81" w:rsidRPr="00124B71">
        <w:rPr>
          <w:rFonts w:cs="Times New Roman"/>
        </w:rPr>
        <w:t xml:space="preserve"> Herd mentality</w:t>
      </w:r>
      <w:r w:rsidR="001858B5">
        <w:rPr>
          <w:rFonts w:cs="Times New Roman"/>
        </w:rPr>
        <w:fldChar w:fldCharType="begin"/>
      </w:r>
      <w:r w:rsidR="00B26DFF">
        <w:instrText xml:space="preserve"> XE "</w:instrText>
      </w:r>
      <w:r w:rsidR="00B26DFF" w:rsidRPr="00D41FFB">
        <w:rPr>
          <w:rFonts w:cs="Times New Roman"/>
        </w:rPr>
        <w:instrText>herd mentality</w:instrText>
      </w:r>
      <w:r w:rsidR="00B26DFF">
        <w:instrText xml:space="preserve">" </w:instrText>
      </w:r>
      <w:r w:rsidR="001858B5">
        <w:rPr>
          <w:rFonts w:cs="Times New Roman"/>
        </w:rPr>
        <w:fldChar w:fldCharType="end"/>
      </w:r>
      <w:r w:rsidR="00493B81" w:rsidRPr="00124B71">
        <w:rPr>
          <w:rFonts w:cs="Times New Roman"/>
        </w:rPr>
        <w:t xml:space="preserve"> takes over.</w:t>
      </w:r>
    </w:p>
    <w:p w14:paraId="0055C56D" w14:textId="77777777" w:rsidR="00652DA3" w:rsidRPr="00EF0EDA" w:rsidRDefault="00652DA3" w:rsidP="00F64AE8">
      <w:pPr>
        <w:pStyle w:val="Heading2"/>
      </w:pPr>
      <w:bookmarkStart w:id="155" w:name="_Toc238867358"/>
      <w:r w:rsidRPr="00EF0EDA">
        <w:t>Psychological Stages of a Bubble</w:t>
      </w:r>
      <w:bookmarkEnd w:id="155"/>
    </w:p>
    <w:p w14:paraId="758394D3" w14:textId="77777777" w:rsidR="006F0D2E" w:rsidRPr="00124B71" w:rsidRDefault="00493B81" w:rsidP="006F0D2E">
      <w:pPr>
        <w:rPr>
          <w:rFonts w:cs="Times New Roman"/>
          <w:noProof/>
          <w:lang w:bidi="ar-SA"/>
        </w:rPr>
      </w:pPr>
      <w:r w:rsidRPr="00124B71">
        <w:rPr>
          <w:rFonts w:cs="Times New Roman"/>
          <w:noProof/>
          <w:lang w:bidi="ar-SA"/>
        </w:rPr>
        <w:t xml:space="preserve">Once </w:t>
      </w:r>
      <w:r w:rsidR="00C10D60" w:rsidRPr="00124B71">
        <w:rPr>
          <w:rFonts w:cs="Times New Roman"/>
          <w:noProof/>
          <w:lang w:bidi="ar-SA"/>
        </w:rPr>
        <w:t xml:space="preserve">a bubble starts to form, it will go through several identifiable stages: enthusiasm, greed, denial, fear, capitulation, and despair. Each of these stages is characterized by different </w:t>
      </w:r>
      <w:r w:rsidR="0063168C" w:rsidRPr="00124B71">
        <w:rPr>
          <w:rFonts w:cs="Times New Roman"/>
          <w:noProof/>
          <w:lang w:bidi="ar-SA"/>
        </w:rPr>
        <w:t>speculator</w:t>
      </w:r>
      <w:r w:rsidR="00C10D60" w:rsidRPr="00124B71">
        <w:rPr>
          <w:rFonts w:cs="Times New Roman"/>
          <w:noProof/>
          <w:lang w:bidi="ar-SA"/>
        </w:rPr>
        <w:t xml:space="preserve"> emotional states and different resulting behaviors.</w:t>
      </w:r>
      <w:r w:rsidRPr="00124B71">
        <w:rPr>
          <w:rFonts w:cs="Times New Roman"/>
          <w:noProof/>
          <w:lang w:bidi="ar-SA"/>
        </w:rPr>
        <w:t xml:space="preserve"> </w:t>
      </w:r>
      <w:r w:rsidR="00C10D60" w:rsidRPr="00124B71">
        <w:rPr>
          <w:rFonts w:cs="Times New Roman"/>
          <w:noProof/>
          <w:lang w:bidi="ar-SA"/>
        </w:rPr>
        <w:t>There are outside forces that also act on the market in predictable ways in each one of these stages. Most often, these outside factors serve to reinforce the market’s herd behavior and exacerbate changes in price.</w:t>
      </w:r>
    </w:p>
    <w:p w14:paraId="53F165A1" w14:textId="77777777" w:rsidR="00493DD2" w:rsidRPr="00EF0EDA" w:rsidRDefault="00C10D60" w:rsidP="00F64AE8">
      <w:pPr>
        <w:pStyle w:val="Heading3"/>
      </w:pPr>
      <w:bookmarkStart w:id="156" w:name="_Toc238867359"/>
      <w:r w:rsidRPr="00EF0EDA">
        <w:t>Precipitating Factor</w:t>
      </w:r>
      <w:bookmarkEnd w:id="156"/>
    </w:p>
    <w:p w14:paraId="6ED4A6D4" w14:textId="77777777" w:rsidR="001767A9" w:rsidRPr="00124B71" w:rsidRDefault="003351D0" w:rsidP="00F64AE8">
      <w:pPr>
        <w:rPr>
          <w:rFonts w:cs="Times New Roman"/>
        </w:rPr>
      </w:pPr>
      <w:r w:rsidRPr="00124B71">
        <w:rPr>
          <w:rFonts w:cs="Times New Roman"/>
        </w:rPr>
        <w:t>There is often a precipitating factor</w:t>
      </w:r>
      <w:r w:rsidR="001858B5">
        <w:rPr>
          <w:rFonts w:cs="Times New Roman"/>
        </w:rPr>
        <w:fldChar w:fldCharType="begin"/>
      </w:r>
      <w:r w:rsidR="002321D5">
        <w:instrText xml:space="preserve"> XE "</w:instrText>
      </w:r>
      <w:r w:rsidR="002321D5" w:rsidRPr="00787AAA">
        <w:rPr>
          <w:rFonts w:cs="Times New Roman"/>
        </w:rPr>
        <w:instrText>precipitating factor</w:instrText>
      </w:r>
      <w:r w:rsidR="002321D5">
        <w:instrText xml:space="preserve">" </w:instrText>
      </w:r>
      <w:r w:rsidR="001858B5">
        <w:rPr>
          <w:rFonts w:cs="Times New Roman"/>
        </w:rPr>
        <w:fldChar w:fldCharType="end"/>
      </w:r>
      <w:r w:rsidRPr="00124B71">
        <w:rPr>
          <w:rFonts w:cs="Times New Roman"/>
        </w:rPr>
        <w:t xml:space="preserve"> causing the initial price rally that pushes prices above their supported fundamental value</w:t>
      </w:r>
      <w:r w:rsidR="00520D4F" w:rsidRPr="00124B71">
        <w:rPr>
          <w:rFonts w:cs="Times New Roman"/>
        </w:rPr>
        <w:t>s</w:t>
      </w:r>
      <w:r w:rsidRPr="00124B71">
        <w:rPr>
          <w:rFonts w:cs="Times New Roman"/>
        </w:rPr>
        <w:t>. A bubble rally is usually kicked off by some exogenous event, but it may occur simply because prices have been rising and investors take notice, or it can be merely the result of a lack of investor fear and the widespread belief prices cannot go down.</w:t>
      </w:r>
      <w:r w:rsidR="0035183E" w:rsidRPr="00124B71">
        <w:rPr>
          <w:rStyle w:val="EndnoteReference"/>
          <w:rFonts w:cs="Times New Roman"/>
        </w:rPr>
        <w:t xml:space="preserve"> </w:t>
      </w:r>
      <w:r w:rsidR="0035183E" w:rsidRPr="00124B71">
        <w:rPr>
          <w:rStyle w:val="EndnoteReference"/>
          <w:rFonts w:cs="Times New Roman"/>
        </w:rPr>
        <w:endnoteReference w:id="101"/>
      </w:r>
      <w:r w:rsidRPr="00124B71">
        <w:rPr>
          <w:rFonts w:cs="Times New Roman"/>
        </w:rPr>
        <w:t xml:space="preserve"> In </w:t>
      </w:r>
      <w:r w:rsidR="005F5D5C" w:rsidRPr="00124B71">
        <w:rPr>
          <w:rFonts w:cs="Times New Roman"/>
        </w:rPr>
        <w:lastRenderedPageBreak/>
        <w:t xml:space="preserve">a typical </w:t>
      </w:r>
      <w:r w:rsidRPr="00124B71">
        <w:rPr>
          <w:rFonts w:cs="Times New Roman"/>
        </w:rPr>
        <w:t>market</w:t>
      </w:r>
      <w:r w:rsidR="005F5D5C" w:rsidRPr="00124B71">
        <w:rPr>
          <w:rFonts w:cs="Times New Roman"/>
        </w:rPr>
        <w:t>,</w:t>
      </w:r>
      <w:r w:rsidRPr="00124B71">
        <w:rPr>
          <w:rFonts w:cs="Times New Roman"/>
        </w:rPr>
        <w:t xml:space="preserve"> there is a significant selloff when prices exceed fundamental valuations.</w:t>
      </w:r>
      <w:r w:rsidR="0035183E" w:rsidRPr="00124B71">
        <w:rPr>
          <w:rStyle w:val="EndnoteReference"/>
          <w:rFonts w:cs="Times New Roman"/>
        </w:rPr>
        <w:t xml:space="preserve"> </w:t>
      </w:r>
      <w:r w:rsidRPr="00124B71">
        <w:rPr>
          <w:rFonts w:cs="Times New Roman"/>
        </w:rPr>
        <w:t>This selloff is a natural reaction to inflated prices as a decline to fundamental valuations is normal and expected. Many seasoned market observers will “sell short” here to profit from the initially inflated values caused during the take-off stage. However, in a financial mania, this sell off is short</w:t>
      </w:r>
      <w:r w:rsidR="00520D4F" w:rsidRPr="00124B71">
        <w:rPr>
          <w:rFonts w:cs="Times New Roman"/>
        </w:rPr>
        <w:t>-</w:t>
      </w:r>
      <w:r w:rsidRPr="00124B71">
        <w:rPr>
          <w:rFonts w:cs="Times New Roman"/>
        </w:rPr>
        <w:t xml:space="preserve">lived, and it traps many who are bearish on asset pricing on the wrong side of the trade. This “short squeeze” may prompt a feverish activity of buying as short sellers cover their positions before their losses get too great. A short squeeze may act as a precipitating factor. </w:t>
      </w:r>
      <w:r w:rsidR="00F91679" w:rsidRPr="00124B71">
        <w:rPr>
          <w:rFonts w:cs="Times New Roman"/>
        </w:rPr>
        <w:t xml:space="preserve">In a securities market, </w:t>
      </w:r>
      <w:r w:rsidRPr="00124B71">
        <w:rPr>
          <w:rFonts w:cs="Times New Roman"/>
        </w:rPr>
        <w:t>a precipitating factor</w:t>
      </w:r>
      <w:r w:rsidR="00F91679" w:rsidRPr="00124B71">
        <w:rPr>
          <w:rFonts w:cs="Times New Roman"/>
        </w:rPr>
        <w:t xml:space="preserve"> may be a very large order hitting the trading floor, and in a real estate market it </w:t>
      </w:r>
      <w:r w:rsidRPr="00124B71">
        <w:rPr>
          <w:rFonts w:cs="Times New Roman"/>
        </w:rPr>
        <w:t>may</w:t>
      </w:r>
      <w:r w:rsidR="00F91679" w:rsidRPr="00124B71">
        <w:rPr>
          <w:rFonts w:cs="Times New Roman"/>
        </w:rPr>
        <w:t xml:space="preserve"> be a dramatic lowering of interest rates</w:t>
      </w:r>
      <w:r w:rsidRPr="00124B71">
        <w:rPr>
          <w:rFonts w:cs="Times New Roman"/>
        </w:rPr>
        <w:t xml:space="preserve"> as it was in the Great Housing Bubble</w:t>
      </w:r>
      <w:r w:rsidR="00F91679" w:rsidRPr="00124B71">
        <w:rPr>
          <w:rFonts w:cs="Times New Roman"/>
        </w:rPr>
        <w:t>. Regardless of its cause, the initial price rise has the potential to spark sufficient interest to p</w:t>
      </w:r>
      <w:r w:rsidR="0005481B" w:rsidRPr="00124B71">
        <w:rPr>
          <w:rFonts w:cs="Times New Roman"/>
        </w:rPr>
        <w:t>rompt further buying and set</w:t>
      </w:r>
      <w:r w:rsidR="001767A9" w:rsidRPr="00124B71">
        <w:rPr>
          <w:rFonts w:cs="Times New Roman"/>
        </w:rPr>
        <w:t xml:space="preserve"> a series of events in motion which repeat with a remarkable consistency. </w:t>
      </w:r>
      <w:r w:rsidR="0005481B" w:rsidRPr="00124B71">
        <w:rPr>
          <w:rFonts w:cs="Times New Roman"/>
        </w:rPr>
        <w:t>Market bubbles can be found</w:t>
      </w:r>
      <w:r w:rsidR="001767A9" w:rsidRPr="00124B71">
        <w:rPr>
          <w:rFonts w:cs="Times New Roman"/>
        </w:rPr>
        <w:t xml:space="preserve"> </w:t>
      </w:r>
      <w:r w:rsidR="0005481B" w:rsidRPr="00124B71">
        <w:rPr>
          <w:rFonts w:cs="Times New Roman"/>
        </w:rPr>
        <w:t xml:space="preserve">in all financial markets and </w:t>
      </w:r>
      <w:r w:rsidR="001767A9" w:rsidRPr="00124B71">
        <w:rPr>
          <w:rFonts w:cs="Times New Roman"/>
        </w:rPr>
        <w:t>on multiple timeframes.</w:t>
      </w:r>
    </w:p>
    <w:p w14:paraId="6F110EF2" w14:textId="2FEC8AC6" w:rsidR="008F1316" w:rsidRPr="00EF0EDA" w:rsidRDefault="008F1316" w:rsidP="008F1316">
      <w:pPr>
        <w:pStyle w:val="Caption"/>
        <w:rPr>
          <w:noProof/>
          <w:color w:val="0000FF"/>
          <w:lang w:bidi="ar-SA"/>
        </w:rPr>
      </w:pPr>
      <w:bookmarkStart w:id="157" w:name="_Toc238867476"/>
      <w:r>
        <w:t>Figure</w:t>
      </w:r>
      <w:r w:rsidRPr="00EF0EDA">
        <w:t xml:space="preserve"> </w:t>
      </w:r>
      <w:fldSimple w:instr=" SEQ Figure \* ARABIC ">
        <w:r w:rsidR="00493733">
          <w:rPr>
            <w:noProof/>
          </w:rPr>
          <w:t>35</w:t>
        </w:r>
      </w:fldSimple>
      <w:r w:rsidR="00317936">
        <w:t xml:space="preserve">: </w:t>
      </w:r>
      <w:r w:rsidRPr="00EF0EDA">
        <w:t>Psychological Stages of</w:t>
      </w:r>
      <w:r>
        <w:t xml:space="preserve"> a</w:t>
      </w:r>
      <w:r w:rsidRPr="00EF0EDA">
        <w:t xml:space="preserve"> Bubble Market</w:t>
      </w:r>
      <w:bookmarkEnd w:id="157"/>
    </w:p>
    <w:p w14:paraId="7C774462" w14:textId="77777777" w:rsidR="008F1316" w:rsidRPr="00EF0EDA" w:rsidRDefault="002703E4" w:rsidP="008F1316">
      <w:pPr>
        <w:pStyle w:val="Graphics"/>
      </w:pPr>
      <w:r>
        <w:drawing>
          <wp:inline distT="0" distB="0" distL="0" distR="0" wp14:anchorId="5E093E77" wp14:editId="23AE32C0">
            <wp:extent cx="3657600" cy="2743200"/>
            <wp:effectExtent l="19050" t="0" r="0" b="0"/>
            <wp:docPr id="100" name="Picture 99" descr="Psychological Stages of a Bubble 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ychological Stages of a Bubble Market.jpg"/>
                    <pic:cNvPicPr/>
                  </pic:nvPicPr>
                  <pic:blipFill>
                    <a:blip r:embed="rId71"/>
                    <a:stretch>
                      <a:fillRect/>
                    </a:stretch>
                  </pic:blipFill>
                  <pic:spPr>
                    <a:xfrm>
                      <a:off x="0" y="0"/>
                      <a:ext cx="3657600" cy="2743200"/>
                    </a:xfrm>
                    <a:prstGeom prst="rect">
                      <a:avLst/>
                    </a:prstGeom>
                  </pic:spPr>
                </pic:pic>
              </a:graphicData>
            </a:graphic>
          </wp:inline>
        </w:drawing>
      </w:r>
    </w:p>
    <w:p w14:paraId="06876827" w14:textId="77777777" w:rsidR="001767A9" w:rsidRPr="00EF0EDA" w:rsidRDefault="001767A9" w:rsidP="00F64AE8">
      <w:pPr>
        <w:pStyle w:val="Heading3"/>
      </w:pPr>
      <w:bookmarkStart w:id="158" w:name="_Toc238867360"/>
      <w:r w:rsidRPr="00EF0EDA">
        <w:t>Enthusiasm Stage</w:t>
      </w:r>
      <w:bookmarkEnd w:id="158"/>
    </w:p>
    <w:p w14:paraId="13B36016" w14:textId="77777777" w:rsidR="001767A9" w:rsidRPr="00124B71" w:rsidRDefault="00F91679" w:rsidP="00F64AE8">
      <w:pPr>
        <w:rPr>
          <w:rFonts w:cs="Times New Roman"/>
        </w:rPr>
      </w:pPr>
      <w:r w:rsidRPr="00124B71">
        <w:rPr>
          <w:rFonts w:cs="Times New Roman"/>
        </w:rPr>
        <w:t>At the beginning of the enthusiasm stage</w:t>
      </w:r>
      <w:r w:rsidR="001858B5">
        <w:rPr>
          <w:rFonts w:cs="Times New Roman"/>
        </w:rPr>
        <w:fldChar w:fldCharType="begin"/>
      </w:r>
      <w:r w:rsidR="00B26DFF">
        <w:instrText xml:space="preserve"> XE "</w:instrText>
      </w:r>
      <w:r w:rsidR="00B26DFF" w:rsidRPr="00CE43CF">
        <w:rPr>
          <w:rFonts w:cs="Times New Roman"/>
        </w:rPr>
        <w:instrText>enthusiasm stage</w:instrText>
      </w:r>
      <w:r w:rsidR="00B26DFF">
        <w:instrText xml:space="preserve">" </w:instrText>
      </w:r>
      <w:r w:rsidR="001858B5">
        <w:rPr>
          <w:rFonts w:cs="Times New Roman"/>
        </w:rPr>
        <w:fldChar w:fldCharType="end"/>
      </w:r>
      <w:r w:rsidRPr="00124B71">
        <w:rPr>
          <w:rFonts w:cs="Times New Roman"/>
        </w:rPr>
        <w:t>, prices are already inflated, so there is cautious buying from traders looking for trends and momentum. If prices fail to drop to fundamental valuation</w:t>
      </w:r>
      <w:r w:rsidR="005F5D5C" w:rsidRPr="00124B71">
        <w:rPr>
          <w:rFonts w:cs="Times New Roman"/>
        </w:rPr>
        <w:t>s</w:t>
      </w:r>
      <w:r w:rsidRPr="00124B71">
        <w:rPr>
          <w:rFonts w:cs="Times New Roman"/>
        </w:rPr>
        <w:t xml:space="preserve"> and instead push higher, media attention is often drawn to the speculative market. The general public starts to take notice of the money being made by people who have bought the featured asset</w:t>
      </w:r>
      <w:r w:rsidR="004538BB" w:rsidRPr="00124B71">
        <w:rPr>
          <w:rFonts w:cs="Times New Roman"/>
        </w:rPr>
        <w:t xml:space="preserve"> and they begin to participate in larger numbers</w:t>
      </w:r>
      <w:r w:rsidRPr="00124B71">
        <w:rPr>
          <w:rFonts w:cs="Times New Roman"/>
        </w:rPr>
        <w:t>. Of course, this stimulates more buying and prices continue to climb. The market sentiment turns very bullish. Buyers are everywhere and sellers are scarce. At this point, prices are</w:t>
      </w:r>
      <w:r w:rsidR="004538BB" w:rsidRPr="00124B71">
        <w:rPr>
          <w:rFonts w:cs="Times New Roman"/>
        </w:rPr>
        <w:t xml:space="preserve"> </w:t>
      </w:r>
      <w:r w:rsidR="004538BB" w:rsidRPr="00124B71">
        <w:rPr>
          <w:rFonts w:cs="Times New Roman"/>
        </w:rPr>
        <w:lastRenderedPageBreak/>
        <w:t>completely</w:t>
      </w:r>
      <w:r w:rsidRPr="00124B71">
        <w:rPr>
          <w:rFonts w:cs="Times New Roman"/>
        </w:rPr>
        <w:t xml:space="preserve"> detached from fundamental valuations, but people are not buying because of the underlying value, they are buying because prices are going up.</w:t>
      </w:r>
      <w:r w:rsidR="001767A9" w:rsidRPr="00124B71">
        <w:rPr>
          <w:rFonts w:cs="Times New Roman"/>
        </w:rPr>
        <w:t xml:space="preserve"> </w:t>
      </w:r>
    </w:p>
    <w:p w14:paraId="6379DD25" w14:textId="77777777" w:rsidR="004538BB" w:rsidRPr="00124B71" w:rsidRDefault="004538BB" w:rsidP="00F64AE8">
      <w:pPr>
        <w:rPr>
          <w:rFonts w:cs="Times New Roman"/>
        </w:rPr>
      </w:pPr>
      <w:r w:rsidRPr="00124B71">
        <w:rPr>
          <w:rFonts w:cs="Times New Roman"/>
        </w:rPr>
        <w:t>In residential real estate markets, the enthusiasm stage</w:t>
      </w:r>
      <w:r w:rsidR="001858B5">
        <w:rPr>
          <w:rFonts w:cs="Times New Roman"/>
        </w:rPr>
        <w:fldChar w:fldCharType="begin"/>
      </w:r>
      <w:r w:rsidR="00B26DFF">
        <w:instrText xml:space="preserve"> XE "</w:instrText>
      </w:r>
      <w:r w:rsidR="00B26DFF" w:rsidRPr="00CE43CF">
        <w:rPr>
          <w:rFonts w:cs="Times New Roman"/>
        </w:rPr>
        <w:instrText>enthusiasm stage</w:instrText>
      </w:r>
      <w:r w:rsidR="00B26DFF">
        <w:instrText xml:space="preserve">" </w:instrText>
      </w:r>
      <w:r w:rsidR="001858B5">
        <w:rPr>
          <w:rFonts w:cs="Times New Roman"/>
        </w:rPr>
        <w:fldChar w:fldCharType="end"/>
      </w:r>
      <w:r w:rsidRPr="00124B71">
        <w:rPr>
          <w:rFonts w:cs="Times New Roman"/>
        </w:rPr>
        <w:t xml:space="preserve"> is often greeted by lenders with open arms. With prices rising, there is little risk of loss from default. If a borrower gets in trouble, they can simply sell into rising prices, and neither party takes a loss. With neither party fearing loss, and since lenders make most of their money on the transaction itself through origination fees, there is an inevitable lowering of standards to meet market demand. This in turn creates more market demand leading to further</w:t>
      </w:r>
      <w:r w:rsidR="00D12BD4">
        <w:rPr>
          <w:rFonts w:cs="Times New Roman"/>
        </w:rPr>
        <w:t xml:space="preserve"> lowering </w:t>
      </w:r>
      <w:r w:rsidRPr="00124B71">
        <w:rPr>
          <w:rFonts w:cs="Times New Roman"/>
        </w:rPr>
        <w:t>of standards. The credit cycle</w:t>
      </w:r>
      <w:r w:rsidR="001858B5">
        <w:rPr>
          <w:rFonts w:cs="Times New Roman"/>
        </w:rPr>
        <w:fldChar w:fldCharType="begin"/>
      </w:r>
      <w:r w:rsidR="003852DB">
        <w:instrText xml:space="preserve"> XE "</w:instrText>
      </w:r>
      <w:r w:rsidR="003852DB" w:rsidRPr="00E437D3">
        <w:rPr>
          <w:rFonts w:cs="Times New Roman"/>
        </w:rPr>
        <w:instrText>credit cycle</w:instrText>
      </w:r>
      <w:r w:rsidR="003852DB">
        <w:instrText xml:space="preserve">" </w:instrText>
      </w:r>
      <w:r w:rsidR="001858B5">
        <w:rPr>
          <w:rFonts w:cs="Times New Roman"/>
        </w:rPr>
        <w:fldChar w:fldCharType="end"/>
      </w:r>
      <w:r w:rsidRPr="00124B71">
        <w:rPr>
          <w:rFonts w:cs="Times New Roman"/>
        </w:rPr>
        <w:t xml:space="preserve"> reinforces the bullish psychology in the market and helps push prices even higher.</w:t>
      </w:r>
    </w:p>
    <w:p w14:paraId="5525B446" w14:textId="77777777" w:rsidR="001767A9" w:rsidRPr="00EF0EDA" w:rsidRDefault="001767A9" w:rsidP="00F64AE8">
      <w:pPr>
        <w:pStyle w:val="Heading3"/>
      </w:pPr>
      <w:bookmarkStart w:id="159" w:name="_Toc238867361"/>
      <w:r w:rsidRPr="00EF0EDA">
        <w:t>Greed Stage</w:t>
      </w:r>
      <w:bookmarkEnd w:id="159"/>
    </w:p>
    <w:p w14:paraId="2281C77C" w14:textId="77777777" w:rsidR="004538BB" w:rsidRPr="00124B71" w:rsidRDefault="001767A9" w:rsidP="00F64AE8">
      <w:pPr>
        <w:rPr>
          <w:rFonts w:cs="Times New Roman"/>
        </w:rPr>
      </w:pPr>
      <w:r w:rsidRPr="00124B71">
        <w:rPr>
          <w:rFonts w:cs="Times New Roman"/>
        </w:rPr>
        <w:t>In the greed stage</w:t>
      </w:r>
      <w:r w:rsidR="001858B5">
        <w:rPr>
          <w:rFonts w:cs="Times New Roman"/>
        </w:rPr>
        <w:fldChar w:fldCharType="begin"/>
      </w:r>
      <w:r w:rsidR="00B26DFF">
        <w:instrText xml:space="preserve"> XE "</w:instrText>
      </w:r>
      <w:r w:rsidR="00B26DFF" w:rsidRPr="00254622">
        <w:rPr>
          <w:rFonts w:cs="Times New Roman"/>
        </w:rPr>
        <w:instrText>greed stage</w:instrText>
      </w:r>
      <w:r w:rsidR="00B26DFF">
        <w:instrText xml:space="preserve">" </w:instrText>
      </w:r>
      <w:r w:rsidR="001858B5">
        <w:rPr>
          <w:rFonts w:cs="Times New Roman"/>
        </w:rPr>
        <w:fldChar w:fldCharType="end"/>
      </w:r>
      <w:r w:rsidRPr="00124B71">
        <w:rPr>
          <w:rFonts w:cs="Times New Roman"/>
        </w:rPr>
        <w:t>, the bullish sentiment reaches a feverish pitch and prices rise very rapidly. Every</w:t>
      </w:r>
      <w:r w:rsidR="00520D4F" w:rsidRPr="00124B71">
        <w:rPr>
          <w:rFonts w:cs="Times New Roman"/>
        </w:rPr>
        <w:t xml:space="preserve"> owner</w:t>
      </w:r>
      <w:r w:rsidRPr="00124B71">
        <w:rPr>
          <w:rFonts w:cs="Times New Roman"/>
        </w:rPr>
        <w:t xml:space="preserve"> in the market is making money and </w:t>
      </w:r>
      <w:r w:rsidR="00520D4F" w:rsidRPr="00124B71">
        <w:rPr>
          <w:rFonts w:cs="Times New Roman"/>
        </w:rPr>
        <w:t>most</w:t>
      </w:r>
      <w:r w:rsidRPr="00124B71">
        <w:rPr>
          <w:rFonts w:cs="Times New Roman"/>
        </w:rPr>
        <w:t xml:space="preserve"> believe it will go on forever. </w:t>
      </w:r>
      <w:r w:rsidR="00F91679" w:rsidRPr="00124B71">
        <w:rPr>
          <w:rFonts w:cs="Times New Roman"/>
        </w:rPr>
        <w:t>As prices continue to climb, buyers become very enthusiastic about owning the asset</w:t>
      </w:r>
      <w:r w:rsidR="004538BB" w:rsidRPr="00124B71">
        <w:rPr>
          <w:rFonts w:cs="Times New Roman"/>
        </w:rPr>
        <w:t>, and t</w:t>
      </w:r>
      <w:r w:rsidR="00F91679" w:rsidRPr="00124B71">
        <w:rPr>
          <w:rFonts w:cs="Times New Roman"/>
        </w:rPr>
        <w:t>hey tell all their friends about their great investment.</w:t>
      </w:r>
      <w:r w:rsidR="004538BB" w:rsidRPr="00124B71">
        <w:rPr>
          <w:rFonts w:cs="Times New Roman"/>
        </w:rPr>
        <w:t xml:space="preserve"> The word-of-mouth awareness and increased media coverage bring even more buyers to the market. Egomania sets in as everyone thinks </w:t>
      </w:r>
      <w:r w:rsidR="00520D4F" w:rsidRPr="00124B71">
        <w:rPr>
          <w:rFonts w:cs="Times New Roman"/>
        </w:rPr>
        <w:t>she is</w:t>
      </w:r>
      <w:r w:rsidR="004538BB" w:rsidRPr="00124B71">
        <w:rPr>
          <w:rFonts w:cs="Times New Roman"/>
        </w:rPr>
        <w:t xml:space="preserve"> a financial genius</w:t>
      </w:r>
      <w:r w:rsidR="009843F2" w:rsidRPr="00124B71">
        <w:rPr>
          <w:rFonts w:cs="Times New Roman"/>
        </w:rPr>
        <w:t>. A</w:t>
      </w:r>
      <w:r w:rsidR="004538BB" w:rsidRPr="00124B71">
        <w:rPr>
          <w:rFonts w:cs="Times New Roman"/>
        </w:rPr>
        <w:t>ny intellectual analysis</w:t>
      </w:r>
      <w:r w:rsidR="009843F2" w:rsidRPr="00124B71">
        <w:rPr>
          <w:rFonts w:cs="Times New Roman"/>
        </w:rPr>
        <w:t xml:space="preserve"> at this stage</w:t>
      </w:r>
      <w:r w:rsidR="004538BB" w:rsidRPr="00124B71">
        <w:rPr>
          <w:rFonts w:cs="Times New Roman"/>
        </w:rPr>
        <w:t xml:space="preserve"> is merely a cover for emotional buying and greed.</w:t>
      </w:r>
      <w:r w:rsidR="009843F2" w:rsidRPr="00124B71">
        <w:rPr>
          <w:rFonts w:cs="Times New Roman"/>
        </w:rPr>
        <w:t xml:space="preserve"> During the Great Housing Bubble, there were many instances of properties receiving a dozen or more offers the day they were listed</w:t>
      </w:r>
      <w:r w:rsidR="00520D4F" w:rsidRPr="00124B71">
        <w:rPr>
          <w:rFonts w:cs="Times New Roman"/>
        </w:rPr>
        <w:t>,</w:t>
      </w:r>
      <w:r w:rsidR="009843F2" w:rsidRPr="00124B71">
        <w:rPr>
          <w:rFonts w:cs="Times New Roman"/>
        </w:rPr>
        <w:t xml:space="preserve"> with many in excess of the asking price. </w:t>
      </w:r>
      <w:r w:rsidR="00340CC8" w:rsidRPr="00124B71">
        <w:rPr>
          <w:rFonts w:cs="Times New Roman"/>
        </w:rPr>
        <w:t>Encouraged by realtors, s</w:t>
      </w:r>
      <w:r w:rsidR="009843F2" w:rsidRPr="00124B71">
        <w:rPr>
          <w:rFonts w:cs="Times New Roman"/>
        </w:rPr>
        <w:t>ome buyers wrote emotional letters to sellers to convince them why they should be bestowed with the honor of home ownership</w:t>
      </w:r>
      <w:r w:rsidR="0035183E" w:rsidRPr="00124B71">
        <w:rPr>
          <w:rFonts w:cs="Times New Roman"/>
        </w:rPr>
        <w:t>.</w:t>
      </w:r>
      <w:r w:rsidR="00F0648C" w:rsidRPr="00124B71">
        <w:rPr>
          <w:rFonts w:cs="Times New Roman"/>
        </w:rPr>
        <w:t xml:space="preserve"> </w:t>
      </w:r>
      <w:r w:rsidR="003C75DA" w:rsidRPr="00124B71">
        <w:rPr>
          <w:rStyle w:val="EndnoteReference"/>
          <w:rFonts w:cs="Times New Roman"/>
        </w:rPr>
        <w:endnoteReference w:id="102"/>
      </w:r>
    </w:p>
    <w:p w14:paraId="67CEA2A8" w14:textId="77777777" w:rsidR="001767A9" w:rsidRPr="00124B71" w:rsidRDefault="00493DD2" w:rsidP="00F64AE8">
      <w:pPr>
        <w:rPr>
          <w:rFonts w:cs="Times New Roman"/>
        </w:rPr>
      </w:pPr>
      <w:r w:rsidRPr="00124B71">
        <w:rPr>
          <w:rFonts w:cs="Times New Roman"/>
        </w:rPr>
        <w:t>M</w:t>
      </w:r>
      <w:r w:rsidR="001767A9" w:rsidRPr="00124B71">
        <w:rPr>
          <w:rFonts w:cs="Times New Roman"/>
        </w:rPr>
        <w:t xml:space="preserve">ost people who are bullish already own the asset, but for prices to continue to </w:t>
      </w:r>
      <w:r w:rsidRPr="00124B71">
        <w:rPr>
          <w:rFonts w:cs="Times New Roman"/>
        </w:rPr>
        <w:t>rise</w:t>
      </w:r>
      <w:r w:rsidR="001767A9" w:rsidRPr="00124B71">
        <w:rPr>
          <w:rFonts w:cs="Times New Roman"/>
        </w:rPr>
        <w:t xml:space="preserve"> there must be more buying. For buying to occur, someone who was either bearish or ignorant of the rally must be convinced to buy. In other words, a greater fool must be found. Once everyone is made aware of the market rally and is convinced to buy, you simply run out of new buyers. Once there </w:t>
      </w:r>
      <w:r w:rsidR="00C031C6" w:rsidRPr="00124B71">
        <w:rPr>
          <w:rFonts w:cs="Times New Roman"/>
        </w:rPr>
        <w:t>is a shortage of</w:t>
      </w:r>
      <w:r w:rsidR="001767A9" w:rsidRPr="00124B71">
        <w:rPr>
          <w:rFonts w:cs="Times New Roman"/>
        </w:rPr>
        <w:t xml:space="preserve"> potential buyers, prices can only go down.</w:t>
      </w:r>
    </w:p>
    <w:p w14:paraId="7D42F339" w14:textId="77777777" w:rsidR="001767A9" w:rsidRPr="00EF0EDA" w:rsidRDefault="001767A9" w:rsidP="00F64AE8">
      <w:pPr>
        <w:pStyle w:val="Heading3"/>
      </w:pPr>
      <w:bookmarkStart w:id="160" w:name="_Toc238867362"/>
      <w:r w:rsidRPr="00EF0EDA">
        <w:t>Denial Stage</w:t>
      </w:r>
      <w:bookmarkEnd w:id="160"/>
    </w:p>
    <w:p w14:paraId="0C79DD01" w14:textId="77777777" w:rsidR="00A505FA" w:rsidRPr="00124B71" w:rsidRDefault="00F91679" w:rsidP="00F64AE8">
      <w:pPr>
        <w:rPr>
          <w:rFonts w:cs="Times New Roman"/>
        </w:rPr>
      </w:pPr>
      <w:r w:rsidRPr="00124B71">
        <w:rPr>
          <w:rFonts w:cs="Times New Roman"/>
        </w:rPr>
        <w:t>When</w:t>
      </w:r>
      <w:r w:rsidR="00A448F0" w:rsidRPr="00124B71">
        <w:rPr>
          <w:rFonts w:cs="Times New Roman"/>
        </w:rPr>
        <w:t xml:space="preserve"> the limit of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00A448F0" w:rsidRPr="00124B71">
        <w:rPr>
          <w:rFonts w:cs="Times New Roman"/>
        </w:rPr>
        <w:t xml:space="preserve"> is reached and </w:t>
      </w:r>
      <w:r w:rsidRPr="00124B71">
        <w:rPr>
          <w:rFonts w:cs="Times New Roman"/>
        </w:rPr>
        <w:t xml:space="preserve">the pool of available buyers is exhausted, prices start to decline. At first market participants are still overwhelmed by greed, and they choose to ignore the signs that the party might be over. </w:t>
      </w:r>
      <w:r w:rsidR="001767A9" w:rsidRPr="00124B71">
        <w:rPr>
          <w:rFonts w:cs="Times New Roman"/>
        </w:rPr>
        <w:t>In</w:t>
      </w:r>
      <w:r w:rsidR="00BF753C" w:rsidRPr="00124B71">
        <w:rPr>
          <w:rFonts w:cs="Times New Roman"/>
        </w:rPr>
        <w:t xml:space="preserve"> </w:t>
      </w:r>
      <w:r w:rsidR="001767A9" w:rsidRPr="00124B71">
        <w:rPr>
          <w:rFonts w:cs="Times New Roman"/>
        </w:rPr>
        <w:t xml:space="preserve">2007 </w:t>
      </w:r>
      <w:r w:rsidR="00D817DE" w:rsidRPr="00124B71">
        <w:rPr>
          <w:rFonts w:cs="Times New Roman"/>
        </w:rPr>
        <w:t>most real estate</w:t>
      </w:r>
      <w:r w:rsidR="001767A9" w:rsidRPr="00124B71">
        <w:rPr>
          <w:rFonts w:cs="Times New Roman"/>
        </w:rPr>
        <w:t xml:space="preserve"> markets were in the denial stage</w:t>
      </w:r>
      <w:r w:rsidR="001858B5">
        <w:rPr>
          <w:rFonts w:cs="Times New Roman"/>
        </w:rPr>
        <w:fldChar w:fldCharType="begin"/>
      </w:r>
      <w:r w:rsidR="00B26DFF">
        <w:instrText xml:space="preserve"> XE "</w:instrText>
      </w:r>
      <w:r w:rsidR="00B26DFF" w:rsidRPr="00A2731F">
        <w:rPr>
          <w:rFonts w:cs="Times New Roman"/>
        </w:rPr>
        <w:instrText>denial stage</w:instrText>
      </w:r>
      <w:r w:rsidR="00B26DFF">
        <w:instrText xml:space="preserve">" </w:instrText>
      </w:r>
      <w:r w:rsidR="001858B5">
        <w:rPr>
          <w:rFonts w:cs="Times New Roman"/>
        </w:rPr>
        <w:fldChar w:fldCharType="end"/>
      </w:r>
      <w:r w:rsidR="0063168C" w:rsidRPr="00124B71">
        <w:rPr>
          <w:rFonts w:cs="Times New Roman"/>
        </w:rPr>
        <w:t xml:space="preserve"> as</w:t>
      </w:r>
      <w:r w:rsidR="001767A9" w:rsidRPr="00124B71">
        <w:rPr>
          <w:rFonts w:cs="Times New Roman"/>
        </w:rPr>
        <w:t xml:space="preserve"> </w:t>
      </w:r>
      <w:r w:rsidR="0063168C" w:rsidRPr="00124B71">
        <w:rPr>
          <w:rFonts w:cs="Times New Roman"/>
        </w:rPr>
        <w:t>p</w:t>
      </w:r>
      <w:r w:rsidR="001767A9" w:rsidRPr="00124B71">
        <w:rPr>
          <w:rFonts w:cs="Times New Roman"/>
        </w:rPr>
        <w:t>rices had not dropped enough to cause real fear. Denial is apparent in polls in mid-2007 where 85 percent believe</w:t>
      </w:r>
      <w:r w:rsidR="00D817DE" w:rsidRPr="00124B71">
        <w:rPr>
          <w:rFonts w:cs="Times New Roman"/>
        </w:rPr>
        <w:t>d</w:t>
      </w:r>
      <w:r w:rsidR="001767A9" w:rsidRPr="00124B71">
        <w:rPr>
          <w:rFonts w:cs="Times New Roman"/>
        </w:rPr>
        <w:t xml:space="preserve"> their home </w:t>
      </w:r>
      <w:r w:rsidR="00D817DE" w:rsidRPr="00124B71">
        <w:rPr>
          <w:rFonts w:cs="Times New Roman"/>
        </w:rPr>
        <w:t>would</w:t>
      </w:r>
      <w:r w:rsidR="001767A9" w:rsidRPr="00124B71">
        <w:rPr>
          <w:rFonts w:cs="Times New Roman"/>
        </w:rPr>
        <w:t xml:space="preserve"> rise in value during the next five years, and 63 percent believe a house is a good investment. That is denial.</w:t>
      </w:r>
      <w:r w:rsidR="00493DD2" w:rsidRPr="00124B71">
        <w:rPr>
          <w:rFonts w:cs="Times New Roman"/>
        </w:rPr>
        <w:t xml:space="preserve"> </w:t>
      </w:r>
      <w:r w:rsidR="001767A9" w:rsidRPr="00124B71">
        <w:rPr>
          <w:rFonts w:cs="Times New Roman"/>
        </w:rPr>
        <w:t>It is also apparent in the number of homes purchased during the greed stage</w:t>
      </w:r>
      <w:r w:rsidR="001858B5">
        <w:rPr>
          <w:rFonts w:cs="Times New Roman"/>
        </w:rPr>
        <w:fldChar w:fldCharType="begin"/>
      </w:r>
      <w:r w:rsidR="00B26DFF">
        <w:instrText xml:space="preserve"> XE "</w:instrText>
      </w:r>
      <w:r w:rsidR="00B26DFF" w:rsidRPr="00254622">
        <w:rPr>
          <w:rFonts w:cs="Times New Roman"/>
        </w:rPr>
        <w:instrText>greed stage</w:instrText>
      </w:r>
      <w:r w:rsidR="00B26DFF">
        <w:instrText xml:space="preserve">" </w:instrText>
      </w:r>
      <w:r w:rsidR="001858B5">
        <w:rPr>
          <w:rFonts w:cs="Times New Roman"/>
        </w:rPr>
        <w:fldChar w:fldCharType="end"/>
      </w:r>
      <w:r w:rsidR="001767A9" w:rsidRPr="00124B71">
        <w:rPr>
          <w:rFonts w:cs="Times New Roman"/>
        </w:rPr>
        <w:t xml:space="preserve"> that are held for sale at breakeven prices</w:t>
      </w:r>
      <w:r w:rsidR="007C469A">
        <w:rPr>
          <w:rFonts w:cs="Times New Roman"/>
        </w:rPr>
        <w:t>–</w:t>
      </w:r>
      <w:r w:rsidR="001767A9" w:rsidRPr="00124B71">
        <w:rPr>
          <w:rFonts w:cs="Times New Roman"/>
        </w:rPr>
        <w:t xml:space="preserve">even if this is above market. When the inventory is large, and houses stay on the market for a long time, prices are too high. Sellers who refuse to lower their prices to take a small loss are in denial about the state of the market. They believe bids will increase and </w:t>
      </w:r>
      <w:r w:rsidR="001767A9" w:rsidRPr="00124B71">
        <w:rPr>
          <w:rFonts w:cs="Times New Roman"/>
        </w:rPr>
        <w:lastRenderedPageBreak/>
        <w:t>some buyer will come along and pay their price</w:t>
      </w:r>
      <w:r w:rsidR="007C469A">
        <w:rPr>
          <w:rFonts w:cs="Times New Roman"/>
        </w:rPr>
        <w:t>–</w:t>
      </w:r>
      <w:r w:rsidR="001767A9" w:rsidRPr="00124B71">
        <w:rPr>
          <w:rFonts w:cs="Times New Roman"/>
        </w:rPr>
        <w:t xml:space="preserve">after all, that is the way it was just </w:t>
      </w:r>
      <w:r w:rsidR="00D817DE" w:rsidRPr="00124B71">
        <w:rPr>
          <w:rFonts w:cs="Times New Roman"/>
        </w:rPr>
        <w:t>a couple of</w:t>
      </w:r>
      <w:r w:rsidR="001767A9" w:rsidRPr="00124B71">
        <w:rPr>
          <w:rFonts w:cs="Times New Roman"/>
        </w:rPr>
        <w:t xml:space="preserve"> years</w:t>
      </w:r>
      <w:r w:rsidR="00D817DE" w:rsidRPr="00124B71">
        <w:rPr>
          <w:rFonts w:cs="Times New Roman"/>
        </w:rPr>
        <w:t xml:space="preserve"> prior</w:t>
      </w:r>
      <w:r w:rsidR="001767A9" w:rsidRPr="00124B71">
        <w:rPr>
          <w:rFonts w:cs="Times New Roman"/>
        </w:rPr>
        <w:t>.</w:t>
      </w:r>
      <w:r w:rsidR="00493DD2" w:rsidRPr="00124B71">
        <w:rPr>
          <w:rFonts w:cs="Times New Roman"/>
        </w:rPr>
        <w:t xml:space="preserve"> </w:t>
      </w:r>
      <w:r w:rsidR="001767A9" w:rsidRPr="00124B71">
        <w:rPr>
          <w:rFonts w:cs="Times New Roman"/>
        </w:rPr>
        <w:t>Buyers who bought in the enthusiasm stage</w:t>
      </w:r>
      <w:r w:rsidR="001858B5">
        <w:rPr>
          <w:rFonts w:cs="Times New Roman"/>
        </w:rPr>
        <w:fldChar w:fldCharType="begin"/>
      </w:r>
      <w:r w:rsidR="00B26DFF">
        <w:instrText xml:space="preserve"> XE "</w:instrText>
      </w:r>
      <w:r w:rsidR="00B26DFF" w:rsidRPr="00CE43CF">
        <w:rPr>
          <w:rFonts w:cs="Times New Roman"/>
        </w:rPr>
        <w:instrText>enthusiasm stage</w:instrText>
      </w:r>
      <w:r w:rsidR="00B26DFF">
        <w:instrText xml:space="preserve">" </w:instrText>
      </w:r>
      <w:r w:rsidR="001858B5">
        <w:rPr>
          <w:rFonts w:cs="Times New Roman"/>
        </w:rPr>
        <w:fldChar w:fldCharType="end"/>
      </w:r>
      <w:r w:rsidR="001767A9" w:rsidRPr="00124B71">
        <w:rPr>
          <w:rFonts w:cs="Times New Roman"/>
        </w:rPr>
        <w:t xml:space="preserve"> are still ahead, so they feel no urgency to sell. They have made good money already and they will hold on with hopes of making a little more. Since they believe the asset will appreciate again (and they have no exit strategy), this group of buyers does not sell</w:t>
      </w:r>
      <w:r w:rsidR="0035183E" w:rsidRPr="00124B71">
        <w:rPr>
          <w:rFonts w:cs="Times New Roman"/>
        </w:rPr>
        <w:t>.</w:t>
      </w:r>
      <w:r w:rsidR="00F0648C" w:rsidRPr="00124B71">
        <w:rPr>
          <w:rFonts w:cs="Times New Roman"/>
        </w:rPr>
        <w:t xml:space="preserve"> </w:t>
      </w:r>
      <w:r w:rsidR="00451DDB" w:rsidRPr="00124B71">
        <w:rPr>
          <w:rStyle w:val="EndnoteReference"/>
          <w:rFonts w:cs="Times New Roman"/>
        </w:rPr>
        <w:endnoteReference w:id="103"/>
      </w:r>
      <w:r w:rsidR="00493DD2" w:rsidRPr="00124B71">
        <w:rPr>
          <w:rFonts w:cs="Times New Roman"/>
        </w:rPr>
        <w:t xml:space="preserve"> </w:t>
      </w:r>
      <w:r w:rsidR="001767A9" w:rsidRPr="00124B71">
        <w:rPr>
          <w:rFonts w:cs="Times New Roman"/>
        </w:rPr>
        <w:t>In contrast, the few traders who still hold positions liquidate and go back into cash. Successful traders recognize</w:t>
      </w:r>
      <w:r w:rsidR="00A448F0" w:rsidRPr="00124B71">
        <w:rPr>
          <w:rFonts w:cs="Times New Roman"/>
        </w:rPr>
        <w:t xml:space="preserve"> the emotion of</w:t>
      </w:r>
      <w:r w:rsidR="001767A9" w:rsidRPr="00124B71">
        <w:rPr>
          <w:rFonts w:cs="Times New Roman"/>
        </w:rPr>
        <w:t xml:space="preserve"> denial as a signal to exit their positions to lock in profits or prevent further damage.</w:t>
      </w:r>
    </w:p>
    <w:p w14:paraId="3A201640" w14:textId="77777777" w:rsidR="001767A9" w:rsidRPr="00124B71" w:rsidRDefault="00A505FA" w:rsidP="00537625">
      <w:pPr>
        <w:rPr>
          <w:rFonts w:cs="Times New Roman"/>
        </w:rPr>
      </w:pPr>
      <w:r w:rsidRPr="00124B71">
        <w:rPr>
          <w:rFonts w:cs="Times New Roman"/>
        </w:rPr>
        <w:t>In the denial stage</w:t>
      </w:r>
      <w:r w:rsidR="001858B5">
        <w:rPr>
          <w:rFonts w:cs="Times New Roman"/>
        </w:rPr>
        <w:fldChar w:fldCharType="begin"/>
      </w:r>
      <w:r w:rsidR="00B26DFF">
        <w:instrText xml:space="preserve"> XE "</w:instrText>
      </w:r>
      <w:r w:rsidR="00B26DFF" w:rsidRPr="00A2731F">
        <w:rPr>
          <w:rFonts w:cs="Times New Roman"/>
        </w:rPr>
        <w:instrText>denial stage</w:instrText>
      </w:r>
      <w:r w:rsidR="00B26DFF">
        <w:instrText xml:space="preserve">" </w:instrText>
      </w:r>
      <w:r w:rsidR="001858B5">
        <w:rPr>
          <w:rFonts w:cs="Times New Roman"/>
        </w:rPr>
        <w:fldChar w:fldCharType="end"/>
      </w:r>
      <w:r w:rsidR="00537625" w:rsidRPr="00124B71">
        <w:rPr>
          <w:rFonts w:cs="Times New Roman"/>
        </w:rPr>
        <w:t xml:space="preserve"> of a residential real estate market</w:t>
      </w:r>
      <w:r w:rsidRPr="00124B71">
        <w:rPr>
          <w:rFonts w:cs="Times New Roman"/>
        </w:rPr>
        <w:t>, many speculators are unable to obtain the sale price they desire</w:t>
      </w:r>
      <w:r w:rsidR="0035183E" w:rsidRPr="00124B71">
        <w:rPr>
          <w:rFonts w:cs="Times New Roman"/>
        </w:rPr>
        <w:t>.</w:t>
      </w:r>
      <w:r w:rsidR="00F0648C" w:rsidRPr="00124B71">
        <w:rPr>
          <w:rFonts w:cs="Times New Roman"/>
        </w:rPr>
        <w:t xml:space="preserve"> </w:t>
      </w:r>
      <w:r w:rsidR="00451DDB" w:rsidRPr="00124B71">
        <w:rPr>
          <w:rStyle w:val="EndnoteReference"/>
          <w:rFonts w:cs="Times New Roman"/>
        </w:rPr>
        <w:endnoteReference w:id="104"/>
      </w:r>
      <w:r w:rsidRPr="00124B71">
        <w:rPr>
          <w:rFonts w:cs="Times New Roman"/>
        </w:rPr>
        <w:t xml:space="preserve"> </w:t>
      </w:r>
      <w:r w:rsidR="00537625" w:rsidRPr="00124B71">
        <w:rPr>
          <w:rFonts w:cs="Times New Roman"/>
        </w:rPr>
        <w:t>The accumulation of unrealistically priced houses starts to build a large inventory of homes “hanging” over the market. Overhead supply is a condition in a financial market when many units are held for sale at prices above current market prices. Generally there will be a minor rally after the first price decline as those who missed the big rally but still believe prices will only go up enter the market and cause a short-term increase in prices. This is a bear rally</w:t>
      </w:r>
      <w:r w:rsidR="001858B5">
        <w:rPr>
          <w:rFonts w:cs="Times New Roman"/>
        </w:rPr>
        <w:fldChar w:fldCharType="begin"/>
      </w:r>
      <w:r w:rsidR="00B26DFF">
        <w:instrText xml:space="preserve"> XE "</w:instrText>
      </w:r>
      <w:r w:rsidR="00B26DFF" w:rsidRPr="002B7CFC">
        <w:rPr>
          <w:rFonts w:cs="Times New Roman"/>
        </w:rPr>
        <w:instrText>bear rally</w:instrText>
      </w:r>
      <w:r w:rsidR="00B26DFF">
        <w:instrText xml:space="preserve">" </w:instrText>
      </w:r>
      <w:r w:rsidR="001858B5">
        <w:rPr>
          <w:rFonts w:cs="Times New Roman"/>
        </w:rPr>
        <w:fldChar w:fldCharType="end"/>
      </w:r>
      <w:r w:rsidR="00537625" w:rsidRPr="00124B71">
        <w:rPr>
          <w:rFonts w:cs="Times New Roman"/>
        </w:rPr>
        <w:t>. It is aptly named as those bullish on the market buy right before the bear market</w:t>
      </w:r>
      <w:r w:rsidR="001858B5">
        <w:rPr>
          <w:rFonts w:cs="Times New Roman"/>
        </w:rPr>
        <w:fldChar w:fldCharType="begin"/>
      </w:r>
      <w:r w:rsidR="00180E6F">
        <w:instrText xml:space="preserve"> XE "</w:instrText>
      </w:r>
      <w:r w:rsidR="00180E6F" w:rsidRPr="00543E10">
        <w:rPr>
          <w:rFonts w:cs="Times New Roman"/>
        </w:rPr>
        <w:instrText>bear market</w:instrText>
      </w:r>
      <w:r w:rsidR="00180E6F">
        <w:instrText xml:space="preserve">" </w:instrText>
      </w:r>
      <w:r w:rsidR="001858B5">
        <w:rPr>
          <w:rFonts w:cs="Times New Roman"/>
        </w:rPr>
        <w:fldChar w:fldCharType="end"/>
      </w:r>
      <w:r w:rsidR="00537625" w:rsidRPr="00124B71">
        <w:rPr>
          <w:rFonts w:cs="Times New Roman"/>
        </w:rPr>
        <w:t xml:space="preserve"> reverses and quickly declines. For prices to resume a sustained rally, the overhead supply must be absorbed by the market. Once prices stopped going up and actually began to fall, demand is lessened by diminished buyer enthusiasm and the contraction of credit caused by mounting lender losses. With increasing supply and diminished demand prices cannot rally to absorb the overhead supply.</w:t>
      </w:r>
      <w:r w:rsidRPr="00124B71">
        <w:rPr>
          <w:rFonts w:cs="Times New Roman"/>
        </w:rPr>
        <w:t xml:space="preserve"> </w:t>
      </w:r>
      <w:r w:rsidR="00A448F0" w:rsidRPr="00124B71">
        <w:rPr>
          <w:rFonts w:cs="Times New Roman"/>
        </w:rPr>
        <w:t>The overall bullish bias to m</w:t>
      </w:r>
      <w:r w:rsidR="001767A9" w:rsidRPr="00124B71">
        <w:rPr>
          <w:rFonts w:cs="Times New Roman"/>
        </w:rPr>
        <w:t>arket psychology has</w:t>
      </w:r>
      <w:r w:rsidR="00D817DE" w:rsidRPr="00124B71">
        <w:rPr>
          <w:rFonts w:cs="Times New Roman"/>
        </w:rPr>
        <w:t xml:space="preserve"> not</w:t>
      </w:r>
      <w:r w:rsidR="001767A9" w:rsidRPr="00124B71">
        <w:rPr>
          <w:rFonts w:cs="Times New Roman"/>
        </w:rPr>
        <w:t xml:space="preserve"> </w:t>
      </w:r>
      <w:r w:rsidR="00D817DE" w:rsidRPr="00124B71">
        <w:rPr>
          <w:rFonts w:cs="Times New Roman"/>
        </w:rPr>
        <w:t>changed much at this point</w:t>
      </w:r>
      <w:r w:rsidR="001767A9" w:rsidRPr="00124B71">
        <w:rPr>
          <w:rFonts w:cs="Times New Roman"/>
        </w:rPr>
        <w:t xml:space="preserve">, </w:t>
      </w:r>
      <w:r w:rsidR="00A448F0" w:rsidRPr="00124B71">
        <w:rPr>
          <w:rFonts w:cs="Times New Roman"/>
        </w:rPr>
        <w:t>because owners are in denial about the new reality of the bear market; however, the insufficient quantity of buyers and the beginnings of a credit crunch</w:t>
      </w:r>
      <w:r w:rsidR="001858B5">
        <w:rPr>
          <w:rFonts w:cs="Times New Roman"/>
        </w:rPr>
        <w:fldChar w:fldCharType="begin"/>
      </w:r>
      <w:r w:rsidR="00FA2AEF">
        <w:instrText xml:space="preserve"> XE "</w:instrText>
      </w:r>
      <w:r w:rsidR="00FA2AEF" w:rsidRPr="00F6304A">
        <w:rPr>
          <w:rFonts w:cs="Times New Roman"/>
        </w:rPr>
        <w:instrText>credit crunch</w:instrText>
      </w:r>
      <w:r w:rsidR="00FA2AEF">
        <w:instrText xml:space="preserve">" </w:instrText>
      </w:r>
      <w:r w:rsidR="001858B5">
        <w:rPr>
          <w:rFonts w:cs="Times New Roman"/>
        </w:rPr>
        <w:fldChar w:fldCharType="end"/>
      </w:r>
      <w:r w:rsidR="00A448F0" w:rsidRPr="00124B71">
        <w:rPr>
          <w:rFonts w:cs="Times New Roman"/>
        </w:rPr>
        <w:t xml:space="preserve"> signal the rally is over and the bubble has popped.</w:t>
      </w:r>
    </w:p>
    <w:p w14:paraId="7C027980" w14:textId="77777777" w:rsidR="001767A9" w:rsidRPr="00EF0EDA" w:rsidRDefault="001767A9" w:rsidP="00F64AE8">
      <w:pPr>
        <w:pStyle w:val="Heading3"/>
      </w:pPr>
      <w:bookmarkStart w:id="161" w:name="_Toc238867363"/>
      <w:r w:rsidRPr="00EF0EDA">
        <w:t>Fear Stage</w:t>
      </w:r>
      <w:bookmarkEnd w:id="161"/>
    </w:p>
    <w:p w14:paraId="05FC250E" w14:textId="77777777" w:rsidR="00F67712" w:rsidRPr="00124B71" w:rsidRDefault="00F67712" w:rsidP="00F64AE8">
      <w:pPr>
        <w:rPr>
          <w:rFonts w:cs="Times New Roman"/>
        </w:rPr>
      </w:pPr>
      <w:r w:rsidRPr="00124B71">
        <w:rPr>
          <w:rFonts w:cs="Times New Roman"/>
        </w:rPr>
        <w:t xml:space="preserve">In </w:t>
      </w:r>
      <w:r w:rsidR="00520D4F" w:rsidRPr="00124B71">
        <w:rPr>
          <w:rFonts w:cs="Times New Roman"/>
        </w:rPr>
        <w:t xml:space="preserve">the </w:t>
      </w:r>
      <w:r w:rsidRPr="00124B71">
        <w:rPr>
          <w:rFonts w:cs="Times New Roman"/>
        </w:rPr>
        <w:t>grieving process</w:t>
      </w:r>
      <w:r w:rsidR="001858B5">
        <w:rPr>
          <w:rFonts w:cs="Times New Roman"/>
        </w:rPr>
        <w:fldChar w:fldCharType="begin"/>
      </w:r>
      <w:r w:rsidR="001A53F8">
        <w:instrText xml:space="preserve"> XE "</w:instrText>
      </w:r>
      <w:r w:rsidR="001A53F8" w:rsidRPr="002733A8">
        <w:rPr>
          <w:rFonts w:cs="Times New Roman"/>
        </w:rPr>
        <w:instrText>grieving process</w:instrText>
      </w:r>
      <w:r w:rsidR="001A53F8">
        <w:instrText xml:space="preserve">" </w:instrText>
      </w:r>
      <w:r w:rsidR="001858B5">
        <w:rPr>
          <w:rFonts w:cs="Times New Roman"/>
        </w:rPr>
        <w:fldChar w:fldCharType="end"/>
      </w:r>
      <w:r w:rsidRPr="00124B71">
        <w:rPr>
          <w:rFonts w:cs="Times New Roman"/>
        </w:rPr>
        <w:t xml:space="preserve"> there is a shift from denial to fear when the reality being denied becomes too obvious to be ignored or pushed out of awareness. There is no acceptance of reality, just the idea that reality might be fact. The fact that an investment might turn out to be a very poor financial decision with long-term repercussions to </w:t>
      </w:r>
      <w:r w:rsidR="0063168C" w:rsidRPr="00124B71">
        <w:rPr>
          <w:rFonts w:cs="Times New Roman"/>
        </w:rPr>
        <w:t>the speculator’s</w:t>
      </w:r>
      <w:r w:rsidRPr="00124B71">
        <w:rPr>
          <w:rFonts w:cs="Times New Roman"/>
        </w:rPr>
        <w:t xml:space="preserve"> financial life is generally very difficult to accept. The imaginings of a </w:t>
      </w:r>
      <w:r w:rsidR="0063168C" w:rsidRPr="00124B71">
        <w:rPr>
          <w:rFonts w:cs="Times New Roman"/>
        </w:rPr>
        <w:t>horrifying</w:t>
      </w:r>
      <w:r w:rsidRPr="00124B71">
        <w:rPr>
          <w:rFonts w:cs="Times New Roman"/>
        </w:rPr>
        <w:t xml:space="preserve"> future creates fear, and this fear causes people to make decisions regarding their investments.</w:t>
      </w:r>
    </w:p>
    <w:p w14:paraId="35263FCF" w14:textId="77777777" w:rsidR="009548E8" w:rsidRPr="00124B71" w:rsidRDefault="009548E8" w:rsidP="00F64AE8">
      <w:pPr>
        <w:rPr>
          <w:rFonts w:cs="Times New Roman"/>
        </w:rPr>
      </w:pPr>
      <w:r w:rsidRPr="00124B71">
        <w:rPr>
          <w:rFonts w:cs="Times New Roman"/>
        </w:rPr>
        <w:t>The most important change in the market in the fear stage</w:t>
      </w:r>
      <w:r w:rsidR="001858B5">
        <w:rPr>
          <w:rFonts w:cs="Times New Roman"/>
        </w:rPr>
        <w:fldChar w:fldCharType="begin"/>
      </w:r>
      <w:r w:rsidR="00B26DFF">
        <w:instrText xml:space="preserve"> XE "</w:instrText>
      </w:r>
      <w:r w:rsidR="00B26DFF" w:rsidRPr="00175CBC">
        <w:rPr>
          <w:rFonts w:cs="Times New Roman"/>
        </w:rPr>
        <w:instrText>fear stage</w:instrText>
      </w:r>
      <w:r w:rsidR="00B26DFF">
        <w:instrText xml:space="preserve">" </w:instrText>
      </w:r>
      <w:r w:rsidR="001858B5">
        <w:rPr>
          <w:rFonts w:cs="Times New Roman"/>
        </w:rPr>
        <w:fldChar w:fldCharType="end"/>
      </w:r>
      <w:r w:rsidRPr="00124B71">
        <w:rPr>
          <w:rFonts w:cs="Times New Roman"/>
        </w:rPr>
        <w:t xml:space="preserve"> is</w:t>
      </w:r>
      <w:r w:rsidR="002935EA" w:rsidRPr="00124B71">
        <w:rPr>
          <w:rFonts w:cs="Times New Roman"/>
        </w:rPr>
        <w:t xml:space="preserve"> caused by</w:t>
      </w:r>
      <w:r w:rsidRPr="00124B71">
        <w:rPr>
          <w:rFonts w:cs="Times New Roman"/>
        </w:rPr>
        <w:t xml:space="preserve"> the belief that the rally is over. Price rallies are</w:t>
      </w:r>
      <w:r w:rsidR="00F67712" w:rsidRPr="00124B71">
        <w:rPr>
          <w:rFonts w:cs="Times New Roman"/>
        </w:rPr>
        <w:t xml:space="preserve"> a</w:t>
      </w:r>
      <w:r w:rsidRPr="00124B71">
        <w:rPr>
          <w:rFonts w:cs="Times New Roman"/>
        </w:rPr>
        <w:t xml:space="preserve"> self-sustaining</w:t>
      </w:r>
      <w:r w:rsidR="00F67712" w:rsidRPr="00124B71">
        <w:rPr>
          <w:rFonts w:cs="Times New Roman"/>
        </w:rPr>
        <w:t xml:space="preserve"> price-to-price feedback loop</w:t>
      </w:r>
      <w:r w:rsidRPr="00124B71">
        <w:rPr>
          <w:rFonts w:cs="Times New Roman"/>
        </w:rPr>
        <w:t xml:space="preserve">: prices go up because rising prices induces people to buy which in turn drives prices even higher. Once it is widely believed that the rally is over, it is over. Market participants who once only cared about rising prices suddenly become concerned about valuations. Since prices are far above fundamental values and prices are not rising, there is little incentive to buy. The rally is dead. </w:t>
      </w:r>
    </w:p>
    <w:p w14:paraId="176ACB1B" w14:textId="77777777" w:rsidR="009548E8" w:rsidRPr="00124B71" w:rsidRDefault="009548E8" w:rsidP="00F64AE8">
      <w:pPr>
        <w:rPr>
          <w:rFonts w:cs="Times New Roman"/>
        </w:rPr>
      </w:pPr>
      <w:r w:rsidRPr="00124B71">
        <w:rPr>
          <w:rFonts w:cs="Times New Roman"/>
        </w:rPr>
        <w:t xml:space="preserve">Another major psychological change occurs in this stage after people accept the rally is dead: </w:t>
      </w:r>
      <w:r w:rsidR="00520D4F" w:rsidRPr="00124B71">
        <w:rPr>
          <w:rFonts w:cs="Times New Roman"/>
        </w:rPr>
        <w:t>p</w:t>
      </w:r>
      <w:r w:rsidRPr="00124B71">
        <w:rPr>
          <w:rFonts w:cs="Times New Roman"/>
        </w:rPr>
        <w:t xml:space="preserve">eople reassess and change their relationship to debt. </w:t>
      </w:r>
      <w:r w:rsidRPr="00124B71">
        <w:rPr>
          <w:rFonts w:cs="Times New Roman"/>
        </w:rPr>
        <w:lastRenderedPageBreak/>
        <w:t>During the rally, debt bec</w:t>
      </w:r>
      <w:r w:rsidR="0063168C" w:rsidRPr="00124B71">
        <w:rPr>
          <w:rFonts w:cs="Times New Roman"/>
        </w:rPr>
        <w:t>omes</w:t>
      </w:r>
      <w:r w:rsidRPr="00124B71">
        <w:rPr>
          <w:rFonts w:cs="Times New Roman"/>
        </w:rPr>
        <w:t xml:space="preserve"> a means to take a position in the housing commodity market. Nobody care</w:t>
      </w:r>
      <w:r w:rsidR="0063168C" w:rsidRPr="00124B71">
        <w:rPr>
          <w:rFonts w:cs="Times New Roman"/>
        </w:rPr>
        <w:t>s</w:t>
      </w:r>
      <w:r w:rsidRPr="00124B71">
        <w:rPr>
          <w:rFonts w:cs="Times New Roman"/>
        </w:rPr>
        <w:t xml:space="preserve"> how much they </w:t>
      </w:r>
      <w:r w:rsidR="0063168C" w:rsidRPr="00124B71">
        <w:rPr>
          <w:rFonts w:cs="Times New Roman"/>
        </w:rPr>
        <w:t>are</w:t>
      </w:r>
      <w:r w:rsidRPr="00124B71">
        <w:rPr>
          <w:rFonts w:cs="Times New Roman"/>
        </w:rPr>
        <w:t xml:space="preserve"> borrowing because they never intend to pay off the loan through payments from their wage income. </w:t>
      </w:r>
      <w:r w:rsidR="00520D4F" w:rsidRPr="00124B71">
        <w:rPr>
          <w:rFonts w:cs="Times New Roman"/>
        </w:rPr>
        <w:t>Most</w:t>
      </w:r>
      <w:r w:rsidRPr="00124B71">
        <w:rPr>
          <w:rFonts w:cs="Times New Roman"/>
        </w:rPr>
        <w:t xml:space="preserve"> believe they </w:t>
      </w:r>
      <w:r w:rsidR="0063168C" w:rsidRPr="00124B71">
        <w:rPr>
          <w:rFonts w:cs="Times New Roman"/>
        </w:rPr>
        <w:t>will</w:t>
      </w:r>
      <w:r w:rsidRPr="00124B71">
        <w:rPr>
          <w:rFonts w:cs="Times New Roman"/>
        </w:rPr>
        <w:t xml:space="preserve"> pay off whatever they borrow in the future when they </w:t>
      </w:r>
      <w:r w:rsidR="0063168C" w:rsidRPr="00124B71">
        <w:rPr>
          <w:rFonts w:cs="Times New Roman"/>
        </w:rPr>
        <w:t>sell</w:t>
      </w:r>
      <w:r w:rsidRPr="00124B71">
        <w:rPr>
          <w:rFonts w:cs="Times New Roman"/>
        </w:rPr>
        <w:t xml:space="preserve"> the house for more than they </w:t>
      </w:r>
      <w:r w:rsidR="00520D4F" w:rsidRPr="00124B71">
        <w:rPr>
          <w:rFonts w:cs="Times New Roman"/>
        </w:rPr>
        <w:t>paid</w:t>
      </w:r>
      <w:r w:rsidRPr="00124B71">
        <w:rPr>
          <w:rFonts w:cs="Times New Roman"/>
        </w:rPr>
        <w:t>. Once prices stop going up, people realize they are simply renting from the bank, and the only way to get ahead and build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is to pay off a mortgage. The desire to borrow 8 to 10 times income diminishes rapidly as people realize they could never pay off such a large sum. What started in the denial stage</w:t>
      </w:r>
      <w:r w:rsidR="001858B5">
        <w:rPr>
          <w:rFonts w:cs="Times New Roman"/>
        </w:rPr>
        <w:fldChar w:fldCharType="begin"/>
      </w:r>
      <w:r w:rsidR="00B26DFF">
        <w:instrText xml:space="preserve"> XE "</w:instrText>
      </w:r>
      <w:r w:rsidR="00B26DFF" w:rsidRPr="00A2731F">
        <w:rPr>
          <w:rFonts w:cs="Times New Roman"/>
        </w:rPr>
        <w:instrText>denial stage</w:instrText>
      </w:r>
      <w:r w:rsidR="00B26DFF">
        <w:instrText xml:space="preserve">" </w:instrText>
      </w:r>
      <w:r w:rsidR="001858B5">
        <w:rPr>
          <w:rFonts w:cs="Times New Roman"/>
        </w:rPr>
        <w:fldChar w:fldCharType="end"/>
      </w:r>
      <w:r w:rsidRPr="00124B71">
        <w:rPr>
          <w:rFonts w:cs="Times New Roman"/>
        </w:rPr>
        <w:t xml:space="preserve"> as an </w:t>
      </w:r>
      <w:r w:rsidRPr="00124B71">
        <w:rPr>
          <w:rFonts w:cs="Times New Roman"/>
          <w:iCs/>
        </w:rPr>
        <w:t>involuntary</w:t>
      </w:r>
      <w:r w:rsidRPr="00124B71">
        <w:rPr>
          <w:rFonts w:cs="Times New Roman"/>
          <w:i/>
          <w:iCs/>
        </w:rPr>
        <w:t xml:space="preserve"> </w:t>
      </w:r>
      <w:r w:rsidRPr="00124B71">
        <w:rPr>
          <w:rFonts w:cs="Times New Roman"/>
        </w:rPr>
        <w:t>contraction of credit, in the fear stage</w:t>
      </w:r>
      <w:r w:rsidR="001858B5">
        <w:rPr>
          <w:rFonts w:cs="Times New Roman"/>
        </w:rPr>
        <w:fldChar w:fldCharType="begin"/>
      </w:r>
      <w:r w:rsidR="00B26DFF">
        <w:instrText xml:space="preserve"> XE "</w:instrText>
      </w:r>
      <w:r w:rsidR="00B26DFF" w:rsidRPr="00175CBC">
        <w:rPr>
          <w:rFonts w:cs="Times New Roman"/>
        </w:rPr>
        <w:instrText>fear stage</w:instrText>
      </w:r>
      <w:r w:rsidR="00B26DFF">
        <w:instrText xml:space="preserve">" </w:instrText>
      </w:r>
      <w:r w:rsidR="001858B5">
        <w:rPr>
          <w:rFonts w:cs="Times New Roman"/>
        </w:rPr>
        <w:fldChar w:fldCharType="end"/>
      </w:r>
      <w:r w:rsidRPr="00124B71">
        <w:rPr>
          <w:rFonts w:cs="Times New Roman"/>
        </w:rPr>
        <w:t xml:space="preserve"> becomes a </w:t>
      </w:r>
      <w:r w:rsidRPr="00124B71">
        <w:rPr>
          <w:rFonts w:cs="Times New Roman"/>
          <w:iCs/>
        </w:rPr>
        <w:t>voluntary</w:t>
      </w:r>
      <w:r w:rsidRPr="00124B71">
        <w:rPr>
          <w:rFonts w:cs="Times New Roman"/>
          <w:i/>
          <w:iCs/>
        </w:rPr>
        <w:t xml:space="preserve"> </w:t>
      </w:r>
      <w:r w:rsidRPr="00124B71">
        <w:rPr>
          <w:rFonts w:cs="Times New Roman"/>
        </w:rPr>
        <w:t xml:space="preserve">contraction of credit as people simply do not want to borrow such large </w:t>
      </w:r>
      <w:r w:rsidR="003414D3" w:rsidRPr="00124B71">
        <w:rPr>
          <w:rFonts w:cs="Times New Roman"/>
        </w:rPr>
        <w:t>amounts of money</w:t>
      </w:r>
      <w:r w:rsidRPr="00124B71">
        <w:rPr>
          <w:rFonts w:cs="Times New Roman"/>
        </w:rPr>
        <w:t>.</w:t>
      </w:r>
    </w:p>
    <w:p w14:paraId="76FE9BA7" w14:textId="77777777" w:rsidR="001767A9" w:rsidRPr="00124B71" w:rsidRDefault="00BF753C" w:rsidP="00F64AE8">
      <w:pPr>
        <w:rPr>
          <w:rFonts w:cs="Times New Roman"/>
        </w:rPr>
      </w:pPr>
      <w:r w:rsidRPr="00124B71">
        <w:rPr>
          <w:rFonts w:cs="Times New Roman"/>
        </w:rPr>
        <w:t>In August of 2007, a more serious credit crunch</w:t>
      </w:r>
      <w:r w:rsidR="001858B5">
        <w:rPr>
          <w:rFonts w:cs="Times New Roman"/>
        </w:rPr>
        <w:fldChar w:fldCharType="begin"/>
      </w:r>
      <w:r w:rsidR="00FA2AEF">
        <w:instrText xml:space="preserve"> XE "</w:instrText>
      </w:r>
      <w:r w:rsidR="00FA2AEF" w:rsidRPr="00F6304A">
        <w:rPr>
          <w:rFonts w:cs="Times New Roman"/>
        </w:rPr>
        <w:instrText>credit crunch</w:instrText>
      </w:r>
      <w:r w:rsidR="00FA2AEF">
        <w:instrText xml:space="preserve">" </w:instrText>
      </w:r>
      <w:r w:rsidR="001858B5">
        <w:rPr>
          <w:rFonts w:cs="Times New Roman"/>
        </w:rPr>
        <w:fldChar w:fldCharType="end"/>
      </w:r>
      <w:r w:rsidRPr="00124B71">
        <w:rPr>
          <w:rFonts w:cs="Times New Roman"/>
        </w:rPr>
        <w:t xml:space="preserve"> gripped financial markets, and d</w:t>
      </w:r>
      <w:r w:rsidR="001767A9" w:rsidRPr="00124B71">
        <w:rPr>
          <w:rFonts w:cs="Times New Roman"/>
        </w:rPr>
        <w:t xml:space="preserve">uring the </w:t>
      </w:r>
      <w:r w:rsidR="00315755" w:rsidRPr="00124B71">
        <w:rPr>
          <w:rFonts w:cs="Times New Roman"/>
        </w:rPr>
        <w:t>times that followed</w:t>
      </w:r>
      <w:r w:rsidR="001767A9" w:rsidRPr="00124B71">
        <w:rPr>
          <w:rFonts w:cs="Times New Roman"/>
        </w:rPr>
        <w:t xml:space="preserve"> there was </w:t>
      </w:r>
      <w:r w:rsidRPr="00124B71">
        <w:rPr>
          <w:rFonts w:cs="Times New Roman"/>
        </w:rPr>
        <w:t>increased</w:t>
      </w:r>
      <w:r w:rsidR="001767A9" w:rsidRPr="00124B71">
        <w:rPr>
          <w:rFonts w:cs="Times New Roman"/>
        </w:rPr>
        <w:t xml:space="preserve"> liquidation of bank held inventory. Banks tried to get their wishing prices</w:t>
      </w:r>
      <w:r w:rsidR="001858B5">
        <w:rPr>
          <w:rFonts w:cs="Times New Roman"/>
        </w:rPr>
        <w:fldChar w:fldCharType="begin"/>
      </w:r>
      <w:r w:rsidR="00B26DFF">
        <w:instrText xml:space="preserve"> XE "</w:instrText>
      </w:r>
      <w:r w:rsidR="00B26DFF" w:rsidRPr="007D1573">
        <w:rPr>
          <w:rFonts w:cs="Times New Roman"/>
        </w:rPr>
        <w:instrText>wishing prices</w:instrText>
      </w:r>
      <w:r w:rsidR="00B26DFF">
        <w:instrText xml:space="preserve">" </w:instrText>
      </w:r>
      <w:r w:rsidR="001858B5">
        <w:rPr>
          <w:rFonts w:cs="Times New Roman"/>
        </w:rPr>
        <w:fldChar w:fldCharType="end"/>
      </w:r>
      <w:r w:rsidR="001767A9" w:rsidRPr="00124B71">
        <w:rPr>
          <w:rFonts w:cs="Times New Roman"/>
        </w:rPr>
        <w:t xml:space="preserve"> through the prime selling season, but by the end of the year, there was pressure to get these non-performing assets off their books. The sale</w:t>
      </w:r>
      <w:r w:rsidR="007D3632" w:rsidRPr="00124B71">
        <w:rPr>
          <w:rFonts w:cs="Times New Roman"/>
        </w:rPr>
        <w:t>s</w:t>
      </w:r>
      <w:r w:rsidR="001767A9" w:rsidRPr="00124B71">
        <w:rPr>
          <w:rFonts w:cs="Times New Roman"/>
        </w:rPr>
        <w:t xml:space="preserve"> of bank foreclosures and the </w:t>
      </w:r>
      <w:r w:rsidR="007D3632" w:rsidRPr="00124B71">
        <w:rPr>
          <w:rFonts w:cs="Times New Roman"/>
        </w:rPr>
        <w:t>ongoing</w:t>
      </w:r>
      <w:r w:rsidR="001767A9" w:rsidRPr="00124B71">
        <w:rPr>
          <w:rFonts w:cs="Times New Roman"/>
        </w:rPr>
        <w:t xml:space="preserve"> tightening of credit drove prices down an additional 5% to 10%. This caused some major problems for owners of residential real estate.</w:t>
      </w:r>
      <w:r w:rsidRPr="00124B71">
        <w:rPr>
          <w:rFonts w:cs="Times New Roman"/>
        </w:rPr>
        <w:t xml:space="preserve"> </w:t>
      </w:r>
      <w:r w:rsidR="00595EE3" w:rsidRPr="00124B71">
        <w:rPr>
          <w:rFonts w:cs="Times New Roman"/>
        </w:rPr>
        <w:t>Fear began to grip the market.</w:t>
      </w:r>
    </w:p>
    <w:p w14:paraId="20A6557F" w14:textId="77777777" w:rsidR="001767A9" w:rsidRPr="00124B71" w:rsidRDefault="00595EE3" w:rsidP="00F64AE8">
      <w:pPr>
        <w:rPr>
          <w:rFonts w:cs="Times New Roman"/>
        </w:rPr>
      </w:pPr>
      <w:r w:rsidRPr="00124B71">
        <w:rPr>
          <w:rFonts w:cs="Times New Roman"/>
        </w:rPr>
        <w:t>By the time a financial market enters the fear stage</w:t>
      </w:r>
      <w:r w:rsidR="001858B5">
        <w:rPr>
          <w:rFonts w:cs="Times New Roman"/>
        </w:rPr>
        <w:fldChar w:fldCharType="begin"/>
      </w:r>
      <w:r w:rsidR="00B26DFF">
        <w:instrText xml:space="preserve"> XE "</w:instrText>
      </w:r>
      <w:r w:rsidR="00B26DFF" w:rsidRPr="00175CBC">
        <w:rPr>
          <w:rFonts w:cs="Times New Roman"/>
        </w:rPr>
        <w:instrText>fear stage</w:instrText>
      </w:r>
      <w:r w:rsidR="00B26DFF">
        <w:instrText xml:space="preserve">" </w:instrText>
      </w:r>
      <w:r w:rsidR="001858B5">
        <w:rPr>
          <w:rFonts w:cs="Times New Roman"/>
        </w:rPr>
        <w:fldChar w:fldCharType="end"/>
      </w:r>
      <w:r w:rsidRPr="00124B71">
        <w:rPr>
          <w:rFonts w:cs="Times New Roman"/>
        </w:rPr>
        <w:t>, g</w:t>
      </w:r>
      <w:r w:rsidR="001767A9" w:rsidRPr="00124B71">
        <w:rPr>
          <w:rFonts w:cs="Times New Roman"/>
        </w:rPr>
        <w:t>reed stage</w:t>
      </w:r>
      <w:r w:rsidR="001858B5">
        <w:rPr>
          <w:rFonts w:cs="Times New Roman"/>
        </w:rPr>
        <w:fldChar w:fldCharType="begin"/>
      </w:r>
      <w:r w:rsidR="00B26DFF">
        <w:instrText xml:space="preserve"> XE "</w:instrText>
      </w:r>
      <w:r w:rsidR="00B26DFF" w:rsidRPr="00254622">
        <w:rPr>
          <w:rFonts w:cs="Times New Roman"/>
        </w:rPr>
        <w:instrText>greed stage</w:instrText>
      </w:r>
      <w:r w:rsidR="00B26DFF">
        <w:instrText xml:space="preserve">" </w:instrText>
      </w:r>
      <w:r w:rsidR="001858B5">
        <w:rPr>
          <w:rFonts w:cs="Times New Roman"/>
        </w:rPr>
        <w:fldChar w:fldCharType="end"/>
      </w:r>
      <w:r w:rsidR="001767A9" w:rsidRPr="00124B71">
        <w:rPr>
          <w:rFonts w:cs="Times New Roman"/>
        </w:rPr>
        <w:t xml:space="preserve"> buyers </w:t>
      </w:r>
      <w:r w:rsidR="002935EA" w:rsidRPr="00124B71">
        <w:rPr>
          <w:rFonts w:cs="Times New Roman"/>
        </w:rPr>
        <w:t xml:space="preserve">are seriously underwater. Comparable properties may be </w:t>
      </w:r>
      <w:r w:rsidR="001767A9" w:rsidRPr="00124B71">
        <w:rPr>
          <w:rFonts w:cs="Times New Roman"/>
        </w:rPr>
        <w:t xml:space="preserve">selling for 10% less than their breakeven price, and there is little hope that prices will rally. Some sell at this point and take a loss, but most </w:t>
      </w:r>
      <w:r w:rsidR="007D3632" w:rsidRPr="00124B71">
        <w:rPr>
          <w:rFonts w:cs="Times New Roman"/>
        </w:rPr>
        <w:t>do</w:t>
      </w:r>
      <w:r w:rsidR="001767A9" w:rsidRPr="00124B71">
        <w:rPr>
          <w:rFonts w:cs="Times New Roman"/>
        </w:rPr>
        <w:t xml:space="preserve"> not.</w:t>
      </w:r>
      <w:r w:rsidR="00BF753C" w:rsidRPr="00124B71">
        <w:rPr>
          <w:rFonts w:cs="Times New Roman"/>
        </w:rPr>
        <w:t xml:space="preserve"> </w:t>
      </w:r>
      <w:r w:rsidR="001767A9" w:rsidRPr="00124B71">
        <w:rPr>
          <w:rFonts w:cs="Times New Roman"/>
        </w:rPr>
        <w:t>People who bought in the enthusiasm stage</w:t>
      </w:r>
      <w:r w:rsidR="001858B5">
        <w:rPr>
          <w:rFonts w:cs="Times New Roman"/>
        </w:rPr>
        <w:fldChar w:fldCharType="begin"/>
      </w:r>
      <w:r w:rsidR="00B26DFF">
        <w:instrText xml:space="preserve"> XE "</w:instrText>
      </w:r>
      <w:r w:rsidR="00B26DFF" w:rsidRPr="00CE43CF">
        <w:rPr>
          <w:rFonts w:cs="Times New Roman"/>
        </w:rPr>
        <w:instrText>enthusiasm stage</w:instrText>
      </w:r>
      <w:r w:rsidR="00B26DFF">
        <w:instrText xml:space="preserve">" </w:instrText>
      </w:r>
      <w:r w:rsidR="001858B5">
        <w:rPr>
          <w:rFonts w:cs="Times New Roman"/>
        </w:rPr>
        <w:fldChar w:fldCharType="end"/>
      </w:r>
      <w:r w:rsidR="001767A9" w:rsidRPr="00124B71">
        <w:rPr>
          <w:rFonts w:cs="Times New Roman"/>
        </w:rPr>
        <w:t xml:space="preserve"> come up to their breakeven price and face the same decision </w:t>
      </w:r>
      <w:r w:rsidRPr="00124B71">
        <w:rPr>
          <w:rFonts w:cs="Times New Roman"/>
        </w:rPr>
        <w:t>the</w:t>
      </w:r>
      <w:r w:rsidR="001767A9" w:rsidRPr="00124B71">
        <w:rPr>
          <w:rFonts w:cs="Times New Roman"/>
        </w:rPr>
        <w:t xml:space="preserve"> greed stage buyers faced earlier: sell now or hold out for a rally. Even though there is </w:t>
      </w:r>
      <w:r w:rsidRPr="00124B71">
        <w:rPr>
          <w:rFonts w:cs="Times New Roman"/>
        </w:rPr>
        <w:t xml:space="preserve">good </w:t>
      </w:r>
      <w:r w:rsidR="001767A9" w:rsidRPr="00124B71">
        <w:rPr>
          <w:rFonts w:cs="Times New Roman"/>
        </w:rPr>
        <w:t xml:space="preserve">reason to fear, most </w:t>
      </w:r>
      <w:r w:rsidR="007D3632" w:rsidRPr="00124B71">
        <w:rPr>
          <w:rFonts w:cs="Times New Roman"/>
        </w:rPr>
        <w:t>do</w:t>
      </w:r>
      <w:r w:rsidR="001767A9" w:rsidRPr="00124B71">
        <w:rPr>
          <w:rFonts w:cs="Times New Roman"/>
        </w:rPr>
        <w:t xml:space="preserve"> not sell here. They regret it later, but they hold on.</w:t>
      </w:r>
      <w:r w:rsidR="002935EA" w:rsidRPr="00124B71">
        <w:rPr>
          <w:rFonts w:cs="Times New Roman"/>
        </w:rPr>
        <w:t xml:space="preserve"> Speculators generally only sell an asset when the pain of loss becomes acute. The pain threshold is different for each individual, but there is no real pain until the investment is worth less than the purchase price, so few sell for a profit or at breakeven. Inventories grow in the fear stage because many would like to sell, but sales volumes are light because few are willing to sell at prices buyers are willing to pay.</w:t>
      </w:r>
    </w:p>
    <w:p w14:paraId="282ABE55" w14:textId="77777777" w:rsidR="001767A9" w:rsidRPr="00124B71" w:rsidRDefault="009548E8" w:rsidP="00F64AE8">
      <w:pPr>
        <w:rPr>
          <w:rFonts w:cs="Times New Roman"/>
        </w:rPr>
      </w:pPr>
      <w:r w:rsidRPr="00124B71">
        <w:rPr>
          <w:rFonts w:cs="Times New Roman"/>
        </w:rPr>
        <w:t xml:space="preserve">Prices </w:t>
      </w:r>
      <w:r w:rsidR="002935EA" w:rsidRPr="00124B71">
        <w:rPr>
          <w:rFonts w:cs="Times New Roman"/>
        </w:rPr>
        <w:t xml:space="preserve">do </w:t>
      </w:r>
      <w:r w:rsidRPr="00124B71">
        <w:rPr>
          <w:rFonts w:cs="Times New Roman"/>
        </w:rPr>
        <w:t>not rally here because t</w:t>
      </w:r>
      <w:r w:rsidR="001767A9" w:rsidRPr="00124B71">
        <w:rPr>
          <w:rFonts w:cs="Times New Roman"/>
        </w:rPr>
        <w:t>here are even fewer buyers in the market and a reduced appetite for debt due to the change in market psychology. There are more and more sellers either choosing to sell or being forced to sell</w:t>
      </w:r>
      <w:r w:rsidRPr="00124B71">
        <w:rPr>
          <w:rFonts w:cs="Times New Roman"/>
        </w:rPr>
        <w:t>, and s</w:t>
      </w:r>
      <w:r w:rsidR="001767A9" w:rsidRPr="00124B71">
        <w:rPr>
          <w:rFonts w:cs="Times New Roman"/>
        </w:rPr>
        <w:t>ince there are more sellers than buyers, prices continue to drop.</w:t>
      </w:r>
      <w:r w:rsidR="00BF753C" w:rsidRPr="00124B71">
        <w:rPr>
          <w:rFonts w:cs="Times New Roman"/>
        </w:rPr>
        <w:t xml:space="preserve"> </w:t>
      </w:r>
      <w:r w:rsidR="001767A9" w:rsidRPr="00124B71">
        <w:rPr>
          <w:rFonts w:cs="Times New Roman"/>
        </w:rPr>
        <w:t>During the fear stage</w:t>
      </w:r>
      <w:r w:rsidR="001858B5">
        <w:rPr>
          <w:rFonts w:cs="Times New Roman"/>
        </w:rPr>
        <w:fldChar w:fldCharType="begin"/>
      </w:r>
      <w:r w:rsidR="00B26DFF">
        <w:instrText xml:space="preserve"> XE "</w:instrText>
      </w:r>
      <w:r w:rsidR="00B26DFF" w:rsidRPr="00175CBC">
        <w:rPr>
          <w:rFonts w:cs="Times New Roman"/>
        </w:rPr>
        <w:instrText>fear stage</w:instrText>
      </w:r>
      <w:r w:rsidR="00B26DFF">
        <w:instrText xml:space="preserve">" </w:instrText>
      </w:r>
      <w:r w:rsidR="001858B5">
        <w:rPr>
          <w:rFonts w:cs="Times New Roman"/>
        </w:rPr>
        <w:fldChar w:fldCharType="end"/>
      </w:r>
      <w:r w:rsidR="001767A9" w:rsidRPr="00124B71">
        <w:rPr>
          <w:rFonts w:cs="Times New Roman"/>
        </w:rPr>
        <w:t>, a majority of buyers during the rally go underwater on their mortgage</w:t>
      </w:r>
      <w:r w:rsidR="003414D3" w:rsidRPr="00124B71">
        <w:rPr>
          <w:rFonts w:cs="Times New Roman"/>
        </w:rPr>
        <w:t>s</w:t>
      </w:r>
      <w:r w:rsidR="00A505FA" w:rsidRPr="00124B71">
        <w:rPr>
          <w:rFonts w:cs="Times New Roman"/>
        </w:rPr>
        <w:t xml:space="preserve"> and</w:t>
      </w:r>
      <w:r w:rsidR="001767A9" w:rsidRPr="00124B71">
        <w:rPr>
          <w:rFonts w:cs="Times New Roman"/>
        </w:rPr>
        <w:t xml:space="preserve"> endure the</w:t>
      </w:r>
      <w:r w:rsidR="003414D3" w:rsidRPr="00124B71">
        <w:rPr>
          <w:rFonts w:cs="Times New Roman"/>
        </w:rPr>
        <w:t xml:space="preserve"> associated</w:t>
      </w:r>
      <w:r w:rsidR="001767A9" w:rsidRPr="00124B71">
        <w:rPr>
          <w:rFonts w:cs="Times New Roman"/>
        </w:rPr>
        <w:t xml:space="preserve"> pain and stress. In the past, since the bubbles of the </w:t>
      </w:r>
      <w:r w:rsidR="009767F5" w:rsidRPr="00124B71">
        <w:rPr>
          <w:rFonts w:cs="Times New Roman"/>
        </w:rPr>
        <w:t>80s</w:t>
      </w:r>
      <w:r w:rsidR="001767A9" w:rsidRPr="00124B71">
        <w:rPr>
          <w:rFonts w:cs="Times New Roman"/>
        </w:rPr>
        <w:t xml:space="preserve"> and </w:t>
      </w:r>
      <w:r w:rsidR="009767F5" w:rsidRPr="00124B71">
        <w:rPr>
          <w:rFonts w:cs="Times New Roman"/>
        </w:rPr>
        <w:t>90s</w:t>
      </w:r>
      <w:r w:rsidR="001767A9" w:rsidRPr="00124B71">
        <w:rPr>
          <w:rFonts w:cs="Times New Roman"/>
        </w:rPr>
        <w:t xml:space="preserve"> were</w:t>
      </w:r>
      <w:r w:rsidR="00305E27" w:rsidRPr="00124B71">
        <w:rPr>
          <w:rFonts w:cs="Times New Roman"/>
        </w:rPr>
        <w:t xml:space="preserve"> largely</w:t>
      </w:r>
      <w:r w:rsidR="001767A9" w:rsidRPr="00124B71">
        <w:rPr>
          <w:rFonts w:cs="Times New Roman"/>
        </w:rPr>
        <w:t xml:space="preserve"> built on conventional mortgages, people just held on. </w:t>
      </w:r>
      <w:r w:rsidR="003414D3" w:rsidRPr="00124B71">
        <w:rPr>
          <w:rFonts w:cs="Times New Roman"/>
        </w:rPr>
        <w:t>During</w:t>
      </w:r>
      <w:r w:rsidR="001767A9" w:rsidRPr="00124B71">
        <w:rPr>
          <w:rFonts w:cs="Times New Roman"/>
        </w:rPr>
        <w:t xml:space="preserve"> </w:t>
      </w:r>
      <w:r w:rsidRPr="00124B71">
        <w:rPr>
          <w:rFonts w:cs="Times New Roman"/>
        </w:rPr>
        <w:t>the Great Housing Bubble</w:t>
      </w:r>
      <w:r w:rsidR="001767A9" w:rsidRPr="00124B71">
        <w:rPr>
          <w:rFonts w:cs="Times New Roman"/>
        </w:rPr>
        <w:t xml:space="preserve">, people used exotic loan financing terms, and they simply </w:t>
      </w:r>
      <w:r w:rsidR="00A505FA" w:rsidRPr="00124B71">
        <w:rPr>
          <w:rFonts w:cs="Times New Roman"/>
        </w:rPr>
        <w:t>could not</w:t>
      </w:r>
      <w:r w:rsidR="001767A9" w:rsidRPr="00124B71">
        <w:rPr>
          <w:rFonts w:cs="Times New Roman"/>
        </w:rPr>
        <w:t xml:space="preserve"> afford to make the</w:t>
      </w:r>
      <w:r w:rsidR="00A505FA" w:rsidRPr="00124B71">
        <w:rPr>
          <w:rFonts w:cs="Times New Roman"/>
        </w:rPr>
        <w:t>ir</w:t>
      </w:r>
      <w:r w:rsidR="001767A9" w:rsidRPr="00124B71">
        <w:rPr>
          <w:rFonts w:cs="Times New Roman"/>
        </w:rPr>
        <w:t xml:space="preserve"> payments. They borrow</w:t>
      </w:r>
      <w:r w:rsidR="00A505FA" w:rsidRPr="00124B71">
        <w:rPr>
          <w:rFonts w:cs="Times New Roman"/>
        </w:rPr>
        <w:t>ed</w:t>
      </w:r>
      <w:r w:rsidR="001767A9" w:rsidRPr="00124B71">
        <w:rPr>
          <w:rFonts w:cs="Times New Roman"/>
        </w:rPr>
        <w:t xml:space="preserve"> from other sources </w:t>
      </w:r>
      <w:r w:rsidR="001C186B" w:rsidRPr="00124B71">
        <w:rPr>
          <w:rFonts w:cs="Times New Roman"/>
        </w:rPr>
        <w:t>until their</w:t>
      </w:r>
      <w:r w:rsidR="00A505FA" w:rsidRPr="00124B71">
        <w:rPr>
          <w:rFonts w:cs="Times New Roman"/>
        </w:rPr>
        <w:t xml:space="preserve"> credit lines were exhausted and </w:t>
      </w:r>
      <w:r w:rsidR="001767A9" w:rsidRPr="00124B71">
        <w:rPr>
          <w:rFonts w:cs="Times New Roman"/>
        </w:rPr>
        <w:t>they implode</w:t>
      </w:r>
      <w:r w:rsidR="00A505FA" w:rsidRPr="00124B71">
        <w:rPr>
          <w:rFonts w:cs="Times New Roman"/>
        </w:rPr>
        <w:t>d</w:t>
      </w:r>
      <w:r w:rsidR="001767A9" w:rsidRPr="00124B71">
        <w:rPr>
          <w:rFonts w:cs="Times New Roman"/>
        </w:rPr>
        <w:t xml:space="preserve"> in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1767A9" w:rsidRPr="00124B71">
        <w:rPr>
          <w:rFonts w:cs="Times New Roman"/>
        </w:rPr>
        <w:t xml:space="preserve"> and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001767A9" w:rsidRPr="00124B71">
        <w:rPr>
          <w:rFonts w:cs="Times New Roman"/>
        </w:rPr>
        <w:t>.</w:t>
      </w:r>
      <w:r w:rsidR="007E2C91" w:rsidRPr="00124B71">
        <w:rPr>
          <w:rFonts w:cs="Times New Roman"/>
        </w:rPr>
        <w:t xml:space="preserve"> During this stage many renters who would otherwise have purchased a home put off their purchase and save more money because they correctly see the decline in prices has momentum and</w:t>
      </w:r>
      <w:r w:rsidR="00A6765F">
        <w:rPr>
          <w:rFonts w:cs="Times New Roman"/>
        </w:rPr>
        <w:t xml:space="preserve"> prices</w:t>
      </w:r>
      <w:r w:rsidR="007E2C91" w:rsidRPr="00124B71">
        <w:rPr>
          <w:rFonts w:cs="Times New Roman"/>
        </w:rPr>
        <w:t xml:space="preserve"> should continue to drop further.</w:t>
      </w:r>
    </w:p>
    <w:p w14:paraId="0AD48A84" w14:textId="77777777" w:rsidR="001767A9" w:rsidRPr="00EF0EDA" w:rsidRDefault="00C428CB" w:rsidP="00F64AE8">
      <w:pPr>
        <w:pStyle w:val="Heading3"/>
      </w:pPr>
      <w:bookmarkStart w:id="162" w:name="_Toc238867364"/>
      <w:r w:rsidRPr="00EF0EDA">
        <w:lastRenderedPageBreak/>
        <w:t>Capitulation</w:t>
      </w:r>
      <w:r w:rsidR="00F937D0" w:rsidRPr="00EF0EDA">
        <w:t xml:space="preserve"> Stage</w:t>
      </w:r>
      <w:bookmarkEnd w:id="162"/>
    </w:p>
    <w:p w14:paraId="16D28FF2" w14:textId="77777777" w:rsidR="001767A9" w:rsidRPr="00124B71" w:rsidRDefault="001767A9" w:rsidP="00F64AE8">
      <w:pPr>
        <w:rPr>
          <w:rFonts w:cs="Times New Roman"/>
        </w:rPr>
      </w:pPr>
      <w:r w:rsidRPr="00124B71">
        <w:rPr>
          <w:rFonts w:cs="Times New Roman"/>
        </w:rPr>
        <w:t>The transition from the fear stage</w:t>
      </w:r>
      <w:r w:rsidR="001858B5">
        <w:rPr>
          <w:rFonts w:cs="Times New Roman"/>
        </w:rPr>
        <w:fldChar w:fldCharType="begin"/>
      </w:r>
      <w:r w:rsidR="00B26DFF">
        <w:instrText xml:space="preserve"> XE "</w:instrText>
      </w:r>
      <w:r w:rsidR="00B26DFF" w:rsidRPr="00175CBC">
        <w:rPr>
          <w:rFonts w:cs="Times New Roman"/>
        </w:rPr>
        <w:instrText>fear stage</w:instrText>
      </w:r>
      <w:r w:rsidR="00B26DFF">
        <w:instrText xml:space="preserve">" </w:instrText>
      </w:r>
      <w:r w:rsidR="001858B5">
        <w:rPr>
          <w:rFonts w:cs="Times New Roman"/>
        </w:rPr>
        <w:fldChar w:fldCharType="end"/>
      </w:r>
      <w:r w:rsidRPr="00124B71">
        <w:rPr>
          <w:rFonts w:cs="Times New Roman"/>
        </w:rPr>
        <w:t xml:space="preserve"> to the capitulation stage</w:t>
      </w:r>
      <w:r w:rsidR="001858B5">
        <w:rPr>
          <w:rFonts w:cs="Times New Roman"/>
        </w:rPr>
        <w:fldChar w:fldCharType="begin"/>
      </w:r>
      <w:r w:rsidR="00B26DFF">
        <w:instrText xml:space="preserve"> XE "</w:instrText>
      </w:r>
      <w:r w:rsidR="00B26DFF" w:rsidRPr="006A2A53">
        <w:rPr>
          <w:rFonts w:cs="Times New Roman"/>
        </w:rPr>
        <w:instrText>capitulation stage</w:instrText>
      </w:r>
      <w:r w:rsidR="00B26DFF">
        <w:instrText xml:space="preserve">" </w:instrText>
      </w:r>
      <w:r w:rsidR="001858B5">
        <w:rPr>
          <w:rFonts w:cs="Times New Roman"/>
        </w:rPr>
        <w:fldChar w:fldCharType="end"/>
      </w:r>
      <w:r w:rsidRPr="00124B71">
        <w:rPr>
          <w:rFonts w:cs="Times New Roman"/>
        </w:rPr>
        <w:t xml:space="preserve"> is caused by the infectious belief that the rally is over. There is a tipping point where a critical mass of market participants either decide to sell or are forced to sell. </w:t>
      </w:r>
      <w:r w:rsidR="004015D1" w:rsidRPr="00124B71">
        <w:rPr>
          <w:rFonts w:cs="Times New Roman"/>
        </w:rPr>
        <w:t>In residential real estate, people are compelled to sell by anxiety, and the mechanism for force is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4015D1" w:rsidRPr="00124B71">
        <w:rPr>
          <w:rFonts w:cs="Times New Roman"/>
        </w:rPr>
        <w:t xml:space="preserve">.  </w:t>
      </w:r>
      <w:r w:rsidRPr="00124B71">
        <w:rPr>
          <w:rFonts w:cs="Times New Roman"/>
        </w:rPr>
        <w:t>Once</w:t>
      </w:r>
      <w:r w:rsidR="004015D1" w:rsidRPr="00124B71">
        <w:rPr>
          <w:rFonts w:cs="Times New Roman"/>
        </w:rPr>
        <w:t xml:space="preserve"> a</w:t>
      </w:r>
      <w:r w:rsidRPr="00124B71">
        <w:rPr>
          <w:rFonts w:cs="Times New Roman"/>
        </w:rPr>
        <w:t xml:space="preserve"> critical mass</w:t>
      </w:r>
      <w:r w:rsidR="004015D1" w:rsidRPr="00124B71">
        <w:rPr>
          <w:rFonts w:cs="Times New Roman"/>
        </w:rPr>
        <w:t xml:space="preserve"> of selling</w:t>
      </w:r>
      <w:r w:rsidRPr="00124B71">
        <w:rPr>
          <w:rFonts w:cs="Times New Roman"/>
        </w:rPr>
        <w:t xml:space="preserve"> is reached, </w:t>
      </w:r>
      <w:r w:rsidR="004015D1" w:rsidRPr="00124B71">
        <w:rPr>
          <w:rFonts w:cs="Times New Roman"/>
        </w:rPr>
        <w:t xml:space="preserve">the </w:t>
      </w:r>
      <w:r w:rsidRPr="00124B71">
        <w:rPr>
          <w:rFonts w:cs="Times New Roman"/>
        </w:rPr>
        <w:t>selling causes prices to decline further</w:t>
      </w:r>
      <w:r w:rsidR="004015D1" w:rsidRPr="00124B71">
        <w:rPr>
          <w:rFonts w:cs="Times New Roman"/>
        </w:rPr>
        <w:t xml:space="preserve"> which in turn </w:t>
      </w:r>
      <w:r w:rsidR="008531E1" w:rsidRPr="00124B71">
        <w:rPr>
          <w:rFonts w:cs="Times New Roman"/>
        </w:rPr>
        <w:t>causes</w:t>
      </w:r>
      <w:r w:rsidR="004015D1" w:rsidRPr="00124B71">
        <w:rPr>
          <w:rFonts w:cs="Times New Roman"/>
        </w:rPr>
        <w:t xml:space="preserve"> more selling. </w:t>
      </w:r>
      <w:r w:rsidRPr="00124B71">
        <w:rPr>
          <w:rFonts w:cs="Times New Roman"/>
        </w:rPr>
        <w:t xml:space="preserve">This convinces even more people the rally is over </w:t>
      </w:r>
      <w:r w:rsidR="008531E1" w:rsidRPr="00124B71">
        <w:rPr>
          <w:rFonts w:cs="Times New Roman"/>
        </w:rPr>
        <w:t>yielding</w:t>
      </w:r>
      <w:r w:rsidRPr="00124B71">
        <w:rPr>
          <w:rFonts w:cs="Times New Roman"/>
        </w:rPr>
        <w:t xml:space="preserve"> even more selling: a downward spiral</w:t>
      </w:r>
      <w:r w:rsidR="001858B5">
        <w:rPr>
          <w:rFonts w:cs="Times New Roman"/>
        </w:rPr>
        <w:fldChar w:fldCharType="begin"/>
      </w:r>
      <w:r w:rsidR="001A53F8">
        <w:instrText xml:space="preserve"> XE "</w:instrText>
      </w:r>
      <w:r w:rsidR="001A53F8" w:rsidRPr="00346079">
        <w:rPr>
          <w:rFonts w:cs="Times New Roman"/>
        </w:rPr>
        <w:instrText>downward spiral</w:instrText>
      </w:r>
      <w:r w:rsidR="001A53F8">
        <w:instrText xml:space="preserve">" </w:instrText>
      </w:r>
      <w:r w:rsidR="001858B5">
        <w:rPr>
          <w:rFonts w:cs="Times New Roman"/>
        </w:rPr>
        <w:fldChar w:fldCharType="end"/>
      </w:r>
      <w:r w:rsidRPr="00124B71">
        <w:rPr>
          <w:rFonts w:cs="Times New Roman"/>
        </w:rPr>
        <w:t xml:space="preserve">. </w:t>
      </w:r>
      <w:r w:rsidR="004015D1" w:rsidRPr="00124B71">
        <w:rPr>
          <w:rFonts w:cs="Times New Roman"/>
        </w:rPr>
        <w:t xml:space="preserve">The same price-to-price feedback mechanism that served to drive prices up during the rally works to drive prices down during the crash. </w:t>
      </w:r>
      <w:r w:rsidR="00A505FA" w:rsidRPr="00124B71">
        <w:rPr>
          <w:rFonts w:cs="Times New Roman"/>
        </w:rPr>
        <w:t xml:space="preserve">Collectively, everyone in the market accepts prices are going to drop further, and they need to get out: Now! Of course when everyone knows prices are going to drop, and everyone is trying to sell, there are </w:t>
      </w:r>
      <w:r w:rsidR="007E2C91" w:rsidRPr="00124B71">
        <w:rPr>
          <w:rFonts w:cs="Times New Roman"/>
        </w:rPr>
        <w:t>very few</w:t>
      </w:r>
      <w:r w:rsidR="00A505FA" w:rsidRPr="00124B71">
        <w:rPr>
          <w:rFonts w:cs="Times New Roman"/>
        </w:rPr>
        <w:t xml:space="preserve"> buyers. </w:t>
      </w:r>
      <w:r w:rsidR="004015D1" w:rsidRPr="00124B71">
        <w:rPr>
          <w:rFonts w:cs="Times New Roman"/>
        </w:rPr>
        <w:t xml:space="preserve">Each market participant has a different threshold for pain. Some give up early; some give up later; some stubbornly try to hold on, but in the end, by choice or by force, everyone </w:t>
      </w:r>
      <w:r w:rsidR="007E2C91" w:rsidRPr="00124B71">
        <w:rPr>
          <w:rFonts w:cs="Times New Roman"/>
        </w:rPr>
        <w:t xml:space="preserve">who cannot afford their home </w:t>
      </w:r>
      <w:r w:rsidR="004015D1" w:rsidRPr="00124B71">
        <w:rPr>
          <w:rFonts w:cs="Times New Roman"/>
        </w:rPr>
        <w:t>sells out and capitulates to the forces of the market.</w:t>
      </w:r>
      <w:r w:rsidR="007E2C91" w:rsidRPr="00124B71">
        <w:rPr>
          <w:rFonts w:cs="Times New Roman"/>
        </w:rPr>
        <w:t xml:space="preserve"> </w:t>
      </w:r>
      <w:r w:rsidR="004015D1" w:rsidRPr="00124B71">
        <w:rPr>
          <w:rFonts w:cs="Times New Roman"/>
        </w:rPr>
        <w:t xml:space="preserve">Each seller accepts the market rally was a bubble, and the frenzy of selling activity clears out the overhead supply. </w:t>
      </w:r>
      <w:r w:rsidRPr="00124B71">
        <w:rPr>
          <w:rFonts w:cs="Times New Roman"/>
        </w:rPr>
        <w:t>The capitulation stage is the counterpart of the greed stage</w:t>
      </w:r>
      <w:r w:rsidR="001858B5">
        <w:rPr>
          <w:rFonts w:cs="Times New Roman"/>
        </w:rPr>
        <w:fldChar w:fldCharType="begin"/>
      </w:r>
      <w:r w:rsidR="00B26DFF">
        <w:instrText xml:space="preserve"> XE "</w:instrText>
      </w:r>
      <w:r w:rsidR="00B26DFF" w:rsidRPr="00254622">
        <w:rPr>
          <w:rFonts w:cs="Times New Roman"/>
        </w:rPr>
        <w:instrText>greed stage</w:instrText>
      </w:r>
      <w:r w:rsidR="00B26DFF">
        <w:instrText xml:space="preserve">" </w:instrText>
      </w:r>
      <w:r w:rsidR="001858B5">
        <w:rPr>
          <w:rFonts w:cs="Times New Roman"/>
        </w:rPr>
        <w:fldChar w:fldCharType="end"/>
      </w:r>
      <w:r w:rsidRPr="00124B71">
        <w:rPr>
          <w:rFonts w:cs="Times New Roman"/>
        </w:rPr>
        <w:t>. Sellers are everywhere and buyers are scarce.</w:t>
      </w:r>
      <w:r w:rsidR="004015D1" w:rsidRPr="00124B71">
        <w:rPr>
          <w:rFonts w:cs="Times New Roman"/>
        </w:rPr>
        <w:t xml:space="preserve"> This puts prices into free-fall until </w:t>
      </w:r>
      <w:r w:rsidR="00A6765F" w:rsidRPr="00124B71">
        <w:rPr>
          <w:rFonts w:cs="Times New Roman"/>
        </w:rPr>
        <w:t>a critical mass of buyers is</w:t>
      </w:r>
      <w:r w:rsidR="004015D1" w:rsidRPr="00124B71">
        <w:rPr>
          <w:rFonts w:cs="Times New Roman"/>
        </w:rPr>
        <w:t xml:space="preserve"> ready to buy again.</w:t>
      </w:r>
    </w:p>
    <w:p w14:paraId="26E8EDEA" w14:textId="77777777" w:rsidR="007726E9" w:rsidRPr="00124B71" w:rsidRDefault="007726E9" w:rsidP="007726E9">
      <w:pPr>
        <w:rPr>
          <w:rFonts w:cs="Times New Roman"/>
        </w:rPr>
      </w:pPr>
      <w:r w:rsidRPr="00124B71">
        <w:rPr>
          <w:rFonts w:cs="Times New Roman"/>
        </w:rPr>
        <w:t>Since buyers in the aftermath of a bubble tend to be the risk averse who did not participate in it, they will make cautiously low offers on properties.</w:t>
      </w:r>
      <w:r w:rsidR="00ED3E95" w:rsidRPr="00124B71">
        <w:rPr>
          <w:rFonts w:cs="Times New Roman"/>
        </w:rPr>
        <w:t xml:space="preserve"> Buyer caution is reinforced by lender caution. In stark contrast to the days of bubble lending, large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00ED3E95" w:rsidRPr="00124B71">
        <w:rPr>
          <w:rFonts w:cs="Times New Roman"/>
        </w:rPr>
        <w:t xml:space="preserve"> are suddenly required, appraisals are carefully reviewed, eligibility is tighter, and most exotic loan programs are gone.</w:t>
      </w:r>
      <w:r w:rsidRPr="00124B71">
        <w:rPr>
          <w:rFonts w:cs="Times New Roman"/>
        </w:rPr>
        <w:t xml:space="preserve"> This cautious buying together with desperate sellers causes the market to drop below normal valuation standards. The market enters the despair stage</w:t>
      </w:r>
      <w:r w:rsidR="001858B5">
        <w:rPr>
          <w:rFonts w:cs="Times New Roman"/>
        </w:rPr>
        <w:fldChar w:fldCharType="begin"/>
      </w:r>
      <w:r w:rsidR="00B26DFF">
        <w:instrText xml:space="preserve"> XE "</w:instrText>
      </w:r>
      <w:r w:rsidR="00B26DFF" w:rsidRPr="00342C05">
        <w:rPr>
          <w:rFonts w:cs="Times New Roman"/>
        </w:rPr>
        <w:instrText>despair stage</w:instrText>
      </w:r>
      <w:r w:rsidR="00B26DFF">
        <w:instrText xml:space="preserve">" </w:instrText>
      </w:r>
      <w:r w:rsidR="001858B5">
        <w:rPr>
          <w:rFonts w:cs="Times New Roman"/>
        </w:rPr>
        <w:fldChar w:fldCharType="end"/>
      </w:r>
      <w:r w:rsidRPr="00124B71">
        <w:rPr>
          <w:rFonts w:cs="Times New Roman"/>
        </w:rPr>
        <w:t>. Here the market participants think nobody wants the asset, and nobody ever will again. Of course, nothing could be farther from the truth as those who recognize the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Pr="00124B71">
        <w:rPr>
          <w:rFonts w:cs="Times New Roman"/>
        </w:rPr>
        <w:t xml:space="preserve"> of the asset are buying it in preparation for the next cycle.</w:t>
      </w:r>
    </w:p>
    <w:p w14:paraId="50FBE9EC" w14:textId="77777777" w:rsidR="001767A9" w:rsidRPr="00EF0EDA" w:rsidRDefault="001767A9" w:rsidP="00F64AE8">
      <w:pPr>
        <w:pStyle w:val="Heading3"/>
      </w:pPr>
      <w:bookmarkStart w:id="163" w:name="_Toc238867365"/>
      <w:r w:rsidRPr="00EF0EDA">
        <w:t>Despair Stage</w:t>
      </w:r>
      <w:bookmarkEnd w:id="163"/>
    </w:p>
    <w:p w14:paraId="6B49DA40" w14:textId="77777777" w:rsidR="00315755" w:rsidRPr="00124B71" w:rsidRDefault="001767A9" w:rsidP="00F64AE8">
      <w:pPr>
        <w:rPr>
          <w:rFonts w:cs="Times New Roman"/>
        </w:rPr>
      </w:pPr>
      <w:r w:rsidRPr="00124B71">
        <w:rPr>
          <w:rFonts w:cs="Times New Roman"/>
        </w:rPr>
        <w:t>From a perspective of market psychology, it is difficult to tell when the capitulation stage</w:t>
      </w:r>
      <w:r w:rsidR="001858B5">
        <w:rPr>
          <w:rFonts w:cs="Times New Roman"/>
        </w:rPr>
        <w:fldChar w:fldCharType="begin"/>
      </w:r>
      <w:r w:rsidR="00B26DFF">
        <w:instrText xml:space="preserve"> XE "</w:instrText>
      </w:r>
      <w:r w:rsidR="00B26DFF" w:rsidRPr="006A2A53">
        <w:rPr>
          <w:rFonts w:cs="Times New Roman"/>
        </w:rPr>
        <w:instrText>capitulation stage</w:instrText>
      </w:r>
      <w:r w:rsidR="00B26DFF">
        <w:instrText xml:space="preserve">" </w:instrText>
      </w:r>
      <w:r w:rsidR="001858B5">
        <w:rPr>
          <w:rFonts w:cs="Times New Roman"/>
        </w:rPr>
        <w:fldChar w:fldCharType="end"/>
      </w:r>
      <w:r w:rsidRPr="00124B71">
        <w:rPr>
          <w:rFonts w:cs="Times New Roman"/>
        </w:rPr>
        <w:t xml:space="preserve"> ends and the despair stage</w:t>
      </w:r>
      <w:r w:rsidR="001858B5">
        <w:rPr>
          <w:rFonts w:cs="Times New Roman"/>
        </w:rPr>
        <w:fldChar w:fldCharType="begin"/>
      </w:r>
      <w:r w:rsidR="00B26DFF">
        <w:instrText xml:space="preserve"> XE "</w:instrText>
      </w:r>
      <w:r w:rsidR="00B26DFF" w:rsidRPr="00342C05">
        <w:rPr>
          <w:rFonts w:cs="Times New Roman"/>
        </w:rPr>
        <w:instrText>despair stage</w:instrText>
      </w:r>
      <w:r w:rsidR="00B26DFF">
        <w:instrText xml:space="preserve">" </w:instrText>
      </w:r>
      <w:r w:rsidR="001858B5">
        <w:rPr>
          <w:rFonts w:cs="Times New Roman"/>
        </w:rPr>
        <w:fldChar w:fldCharType="end"/>
      </w:r>
      <w:r w:rsidRPr="00124B71">
        <w:rPr>
          <w:rFonts w:cs="Times New Roman"/>
        </w:rPr>
        <w:t xml:space="preserve"> begins. Both stages have an extremely negative bearish sentiment. </w:t>
      </w:r>
      <w:r w:rsidR="004B7D62" w:rsidRPr="00124B71">
        <w:rPr>
          <w:rFonts w:cs="Times New Roman"/>
        </w:rPr>
        <w:t xml:space="preserve">It is called the despair stage because </w:t>
      </w:r>
      <w:r w:rsidR="008531E1" w:rsidRPr="00124B71">
        <w:rPr>
          <w:rFonts w:cs="Times New Roman"/>
        </w:rPr>
        <w:t>most</w:t>
      </w:r>
      <w:r w:rsidR="004B7D62" w:rsidRPr="00124B71">
        <w:rPr>
          <w:rFonts w:cs="Times New Roman"/>
        </w:rPr>
        <w:t xml:space="preserve"> who own the asset </w:t>
      </w:r>
      <w:r w:rsidR="008531E1" w:rsidRPr="00124B71">
        <w:rPr>
          <w:rFonts w:cs="Times New Roman"/>
        </w:rPr>
        <w:t>are</w:t>
      </w:r>
      <w:r w:rsidR="004B7D62" w:rsidRPr="00124B71">
        <w:rPr>
          <w:rFonts w:cs="Times New Roman"/>
        </w:rPr>
        <w:t xml:space="preserve"> in despair and wish they did not own it</w:t>
      </w:r>
      <w:r w:rsidR="00315755" w:rsidRPr="00124B71">
        <w:rPr>
          <w:rFonts w:cs="Times New Roman"/>
        </w:rPr>
        <w:t>, and t</w:t>
      </w:r>
      <w:r w:rsidRPr="00124B71">
        <w:rPr>
          <w:rFonts w:cs="Times New Roman"/>
        </w:rPr>
        <w:t>he general public is still selling.</w:t>
      </w:r>
      <w:r w:rsidR="00ED3E95" w:rsidRPr="00124B71">
        <w:rPr>
          <w:rFonts w:cs="Times New Roman"/>
        </w:rPr>
        <w:t xml:space="preserve"> Most who still own their homes are able to afford the monthly payments, but realize they will face a large loss if they sell their house anytime soon. They feel like prisoners in their own homes because they are unable to relocate for a better job or any other reason.</w:t>
      </w:r>
      <w:r w:rsidRPr="00124B71">
        <w:rPr>
          <w:rFonts w:cs="Times New Roman"/>
        </w:rPr>
        <w:t xml:space="preserve"> </w:t>
      </w:r>
      <w:r w:rsidR="00315755" w:rsidRPr="00124B71">
        <w:rPr>
          <w:rFonts w:cs="Times New Roman"/>
        </w:rPr>
        <w:t>One distinguishing feature of the despair stage is the increased buying activity of investors</w:t>
      </w:r>
      <w:r w:rsidR="007C469A">
        <w:rPr>
          <w:rFonts w:cs="Times New Roman"/>
        </w:rPr>
        <w:t>–</w:t>
      </w:r>
      <w:r w:rsidR="00315755" w:rsidRPr="00124B71">
        <w:rPr>
          <w:rFonts w:cs="Times New Roman"/>
        </w:rPr>
        <w:t xml:space="preserve">true investors, not the speculators who were wiped out during the price decline. </w:t>
      </w:r>
      <w:r w:rsidR="00315755" w:rsidRPr="00124B71">
        <w:rPr>
          <w:rFonts w:cs="Times New Roman"/>
        </w:rPr>
        <w:lastRenderedPageBreak/>
        <w:t>Investors are not in despair during this stage. This is the time they were anticipating to make their purchases.</w:t>
      </w:r>
    </w:p>
    <w:p w14:paraId="0B46A916" w14:textId="77777777" w:rsidR="00B010BA" w:rsidRPr="00124B71" w:rsidRDefault="004B7D62" w:rsidP="00F64AE8">
      <w:pPr>
        <w:rPr>
          <w:rFonts w:cs="Times New Roman"/>
        </w:rPr>
      </w:pPr>
      <w:r w:rsidRPr="00124B71">
        <w:rPr>
          <w:rFonts w:cs="Times New Roman"/>
        </w:rPr>
        <w:t>There is an extreme emotional toll paid by those who participated in the mania. Losing a home 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is devastating. The emotional ties to a home go beyond seeing it as an investment. A home is supposed to be a safe haven where people raise a family. It is a unique reflection of the family, adorned with mementos and family photographs. Being forced to leave the family home is difficult for reasons that have nothing to do with money. Unfortunately, this is often followed by personal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007D3632" w:rsidRPr="00124B71">
        <w:rPr>
          <w:rFonts w:cs="Times New Roman"/>
        </w:rPr>
        <w:t>, and t</w:t>
      </w:r>
      <w:r w:rsidR="00F505F3" w:rsidRPr="00124B71">
        <w:rPr>
          <w:rFonts w:cs="Times New Roman"/>
        </w:rPr>
        <w:t xml:space="preserve">he difficulties in bankruptcy </w:t>
      </w:r>
      <w:r w:rsidRPr="00124B71">
        <w:rPr>
          <w:rFonts w:cs="Times New Roman"/>
        </w:rPr>
        <w:t>ha</w:t>
      </w:r>
      <w:r w:rsidR="00F505F3" w:rsidRPr="00124B71">
        <w:rPr>
          <w:rFonts w:cs="Times New Roman"/>
        </w:rPr>
        <w:t>ve</w:t>
      </w:r>
      <w:r w:rsidRPr="00124B71">
        <w:rPr>
          <w:rFonts w:cs="Times New Roman"/>
        </w:rPr>
        <w:t xml:space="preserve"> everything to do with money. </w:t>
      </w:r>
    </w:p>
    <w:p w14:paraId="30D170C2" w14:textId="77777777" w:rsidR="004B7D62" w:rsidRPr="00124B71" w:rsidRDefault="004B7D62" w:rsidP="00F64AE8">
      <w:pPr>
        <w:rPr>
          <w:rFonts w:cs="Times New Roman"/>
        </w:rPr>
      </w:pPr>
      <w:r w:rsidRPr="00124B71">
        <w:rPr>
          <w:rFonts w:cs="Times New Roman"/>
        </w:rPr>
        <w:t>In some ways, those who endure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may be the lucky ones as they get to leave their debtor’s prison and go find an affordable rental.</w:t>
      </w:r>
      <w:r w:rsidR="00B010BA" w:rsidRPr="00124B71">
        <w:rPr>
          <w:rFonts w:cs="Times New Roman"/>
        </w:rPr>
        <w:t xml:space="preserve"> The income that used to go toward housing is now freed up to go toward living a life.</w:t>
      </w:r>
      <w:r w:rsidRPr="00124B71">
        <w:rPr>
          <w:rFonts w:cs="Times New Roman"/>
        </w:rPr>
        <w:t xml:space="preserve"> Those</w:t>
      </w:r>
      <w:r w:rsidR="00B010BA" w:rsidRPr="00124B71">
        <w:rPr>
          <w:rFonts w:cs="Times New Roman"/>
        </w:rPr>
        <w:t xml:space="preserve"> homeowners</w:t>
      </w:r>
      <w:r w:rsidRPr="00124B71">
        <w:rPr>
          <w:rFonts w:cs="Times New Roman"/>
        </w:rPr>
        <w:t xml:space="preserve"> who hang on, who are desperately underwater, and who are putting 50% or more of their income toward a house worth less than they owe on it</w:t>
      </w:r>
      <w:r w:rsidR="00B010BA" w:rsidRPr="00124B71">
        <w:rPr>
          <w:rFonts w:cs="Times New Roman"/>
        </w:rPr>
        <w:t xml:space="preserve">, </w:t>
      </w:r>
      <w:r w:rsidR="00315755" w:rsidRPr="00124B71">
        <w:rPr>
          <w:rFonts w:cs="Times New Roman"/>
        </w:rPr>
        <w:t>their circumstances are arguably even more dire</w:t>
      </w:r>
      <w:r w:rsidR="00B010BA" w:rsidRPr="00124B71">
        <w:rPr>
          <w:rFonts w:cs="Times New Roman"/>
        </w:rPr>
        <w:t>. There is no light at the end of their tunnel; they must live with their pain every day.</w:t>
      </w:r>
    </w:p>
    <w:p w14:paraId="6DDF8C0E" w14:textId="77777777" w:rsidR="001767A9" w:rsidRPr="00124B71" w:rsidRDefault="00B010BA" w:rsidP="00F64AE8">
      <w:pPr>
        <w:rPr>
          <w:rFonts w:cs="Times New Roman"/>
        </w:rPr>
      </w:pPr>
      <w:r w:rsidRPr="00124B71">
        <w:rPr>
          <w:rFonts w:cs="Times New Roman"/>
        </w:rPr>
        <w:t>The despair stage</w:t>
      </w:r>
      <w:r w:rsidR="001858B5">
        <w:rPr>
          <w:rFonts w:cs="Times New Roman"/>
        </w:rPr>
        <w:fldChar w:fldCharType="begin"/>
      </w:r>
      <w:r w:rsidR="00B26DFF">
        <w:instrText xml:space="preserve"> XE "</w:instrText>
      </w:r>
      <w:r w:rsidR="00B26DFF" w:rsidRPr="00342C05">
        <w:rPr>
          <w:rFonts w:cs="Times New Roman"/>
        </w:rPr>
        <w:instrText>despair stage</w:instrText>
      </w:r>
      <w:r w:rsidR="00B26DFF">
        <w:instrText xml:space="preserve">" </w:instrText>
      </w:r>
      <w:r w:rsidR="001858B5">
        <w:rPr>
          <w:rFonts w:cs="Times New Roman"/>
        </w:rPr>
        <w:fldChar w:fldCharType="end"/>
      </w:r>
      <w:r w:rsidRPr="00124B71">
        <w:rPr>
          <w:rFonts w:cs="Times New Roman"/>
        </w:rPr>
        <w:t xml:space="preserve"> is not desperate for everyone. </w:t>
      </w:r>
      <w:r w:rsidR="001767A9" w:rsidRPr="00124B71">
        <w:rPr>
          <w:rFonts w:cs="Times New Roman"/>
        </w:rPr>
        <w:t>What makes the despair stage different</w:t>
      </w:r>
      <w:r w:rsidRPr="00124B71">
        <w:rPr>
          <w:rFonts w:cs="Times New Roman"/>
        </w:rPr>
        <w:t xml:space="preserve"> from the capitulation stage</w:t>
      </w:r>
      <w:r w:rsidR="001858B5">
        <w:rPr>
          <w:rFonts w:cs="Times New Roman"/>
        </w:rPr>
        <w:fldChar w:fldCharType="begin"/>
      </w:r>
      <w:r w:rsidR="00B26DFF">
        <w:instrText xml:space="preserve"> XE "</w:instrText>
      </w:r>
      <w:r w:rsidR="00B26DFF" w:rsidRPr="006A2A53">
        <w:rPr>
          <w:rFonts w:cs="Times New Roman"/>
        </w:rPr>
        <w:instrText>capitulation stage</w:instrText>
      </w:r>
      <w:r w:rsidR="00B26DFF">
        <w:instrText xml:space="preserve">" </w:instrText>
      </w:r>
      <w:r w:rsidR="001858B5">
        <w:rPr>
          <w:rFonts w:cs="Times New Roman"/>
        </w:rPr>
        <w:fldChar w:fldCharType="end"/>
      </w:r>
      <w:r w:rsidR="001767A9" w:rsidRPr="00124B71">
        <w:rPr>
          <w:rFonts w:cs="Times New Roman"/>
        </w:rPr>
        <w:t xml:space="preserve"> is that buyers who focus on fundamentals like rental savings or positive cashflow return to the market and begin buying. </w:t>
      </w:r>
      <w:r w:rsidRPr="00124B71">
        <w:rPr>
          <w:rFonts w:cs="Times New Roman"/>
        </w:rPr>
        <w:t>Affordability has returned to the housing market, and those who did not participate in the mania finally get their chance to become homeowners</w:t>
      </w:r>
      <w:r w:rsidR="007C469A">
        <w:rPr>
          <w:rFonts w:cs="Times New Roman"/>
        </w:rPr>
        <w:t>–</w:t>
      </w:r>
      <w:r w:rsidRPr="00124B71">
        <w:rPr>
          <w:rFonts w:cs="Times New Roman"/>
        </w:rPr>
        <w:t xml:space="preserve">at reasonable prices. </w:t>
      </w:r>
      <w:r w:rsidR="001767A9" w:rsidRPr="00124B71">
        <w:rPr>
          <w:rFonts w:cs="Times New Roman"/>
        </w:rPr>
        <w:t xml:space="preserve">These buyers are not concerned with </w:t>
      </w:r>
      <w:r w:rsidRPr="00124B71">
        <w:rPr>
          <w:rFonts w:cs="Times New Roman"/>
        </w:rPr>
        <w:t>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w:t>
      </w:r>
      <w:r w:rsidR="001767A9" w:rsidRPr="00124B71">
        <w:rPr>
          <w:rFonts w:cs="Times New Roman"/>
        </w:rPr>
        <w:t xml:space="preserve"> they simply want an asset which provides a</w:t>
      </w:r>
      <w:r w:rsidRPr="00124B71">
        <w:rPr>
          <w:rFonts w:cs="Times New Roman"/>
        </w:rPr>
        <w:t xml:space="preserve"> savings or a</w:t>
      </w:r>
      <w:r w:rsidR="001767A9" w:rsidRPr="00124B71">
        <w:rPr>
          <w:rFonts w:cs="Times New Roman"/>
        </w:rPr>
        <w:t xml:space="preserve"> cash return on their investment. They are not frightened by falling prices because their financial returns are independent of the asset’s market valuation. It is the return of these people to the market </w:t>
      </w:r>
      <w:r w:rsidR="00F505F3" w:rsidRPr="00124B71">
        <w:rPr>
          <w:rFonts w:cs="Times New Roman"/>
        </w:rPr>
        <w:t>that</w:t>
      </w:r>
      <w:r w:rsidR="001767A9" w:rsidRPr="00124B71">
        <w:rPr>
          <w:rFonts w:cs="Times New Roman"/>
        </w:rPr>
        <w:t xml:space="preserve"> creates a bottom.</w:t>
      </w:r>
    </w:p>
    <w:p w14:paraId="340CDD2A" w14:textId="77777777" w:rsidR="00F64AE8" w:rsidRPr="00EF0EDA" w:rsidRDefault="00F64AE8" w:rsidP="00C409D3">
      <w:pPr>
        <w:pStyle w:val="Heading2"/>
      </w:pPr>
      <w:bookmarkStart w:id="164" w:name="_Toc238867366"/>
      <w:r w:rsidRPr="00EF0EDA">
        <w:t>Bubbles as Cultural Pathology</w:t>
      </w:r>
      <w:bookmarkEnd w:id="164"/>
    </w:p>
    <w:p w14:paraId="6C8D5345" w14:textId="77777777" w:rsidR="00F64AE8" w:rsidRPr="00124B71" w:rsidRDefault="00F64AE8" w:rsidP="008560E2">
      <w:pPr>
        <w:rPr>
          <w:rFonts w:cs="Times New Roman"/>
        </w:rPr>
      </w:pPr>
      <w:r w:rsidRPr="00124B71">
        <w:rPr>
          <w:rFonts w:cs="Times New Roman"/>
        </w:rPr>
        <w:t>What is a Cultural Pathology</w:t>
      </w:r>
      <w:r w:rsidR="00886275">
        <w:rPr>
          <w:rFonts w:cs="Times New Roman"/>
        </w:rPr>
        <w:t xml:space="preserve">? </w:t>
      </w:r>
      <w:r w:rsidRPr="00124B71">
        <w:rPr>
          <w:rFonts w:cs="Times New Roman"/>
        </w:rPr>
        <w:t>There are certain beliefs if widely held and acted upon by a group of people leads inevitably to collective suffering and</w:t>
      </w:r>
      <w:r w:rsidR="007D3632" w:rsidRPr="00124B71">
        <w:rPr>
          <w:rFonts w:cs="Times New Roman"/>
        </w:rPr>
        <w:t xml:space="preserve"> personal</w:t>
      </w:r>
      <w:r w:rsidRPr="00124B71">
        <w:rPr>
          <w:rFonts w:cs="Times New Roman"/>
        </w:rPr>
        <w:t xml:space="preserve"> destruction. One example of a cultural pathology</w:t>
      </w:r>
      <w:r w:rsidR="001858B5">
        <w:rPr>
          <w:rFonts w:cs="Times New Roman"/>
        </w:rPr>
        <w:fldChar w:fldCharType="begin"/>
      </w:r>
      <w:r w:rsidR="00B26DFF">
        <w:instrText xml:space="preserve"> XE "</w:instrText>
      </w:r>
      <w:r w:rsidR="00B26DFF" w:rsidRPr="006D38B8">
        <w:rPr>
          <w:rFonts w:cs="Times New Roman"/>
        </w:rPr>
        <w:instrText>cultural pathology</w:instrText>
      </w:r>
      <w:r w:rsidR="00B26DFF">
        <w:instrText xml:space="preserve">" </w:instrText>
      </w:r>
      <w:r w:rsidR="001858B5">
        <w:rPr>
          <w:rFonts w:cs="Times New Roman"/>
        </w:rPr>
        <w:fldChar w:fldCharType="end"/>
      </w:r>
      <w:r w:rsidRPr="00124B71">
        <w:rPr>
          <w:rFonts w:cs="Times New Roman"/>
        </w:rPr>
        <w:t xml:space="preserve"> is demonstrated by the American auto industry. Before the age of imported cars, the American auto industry believed the quality of their product did not matter; people bought their product irrespective of quality. For many years, the industry was successful despite this pathology. This belief allowed offshore competitors to enter the market, build market share, and finally take over the industry. The American auto industry’s belief system had had a pathologic effect on their business which caused much suffering in Detroit. This commitment to quality in the industry is still suspect, and it may lead to the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Pr="00124B71">
        <w:rPr>
          <w:rFonts w:cs="Times New Roman"/>
        </w:rPr>
        <w:t xml:space="preserve"> and destruction of our major automakers.</w:t>
      </w:r>
    </w:p>
    <w:p w14:paraId="04C0750E" w14:textId="77777777" w:rsidR="00F64AE8" w:rsidRPr="00124B71" w:rsidRDefault="00F64AE8" w:rsidP="008560E2">
      <w:pPr>
        <w:rPr>
          <w:rFonts w:cs="Times New Roman"/>
        </w:rPr>
      </w:pPr>
      <w:r w:rsidRPr="00124B71">
        <w:rPr>
          <w:rFonts w:cs="Times New Roman"/>
        </w:rPr>
        <w:t>The best treatise on the pathology of cultural beliefs was George Orwell’s</w:t>
      </w:r>
      <w:r w:rsidR="001858B5">
        <w:rPr>
          <w:rFonts w:cs="Times New Roman"/>
        </w:rPr>
        <w:fldChar w:fldCharType="begin"/>
      </w:r>
      <w:r w:rsidR="00B26DFF">
        <w:instrText xml:space="preserve"> XE "</w:instrText>
      </w:r>
      <w:r w:rsidR="00B26DFF" w:rsidRPr="005558E5">
        <w:rPr>
          <w:rFonts w:cs="Times New Roman"/>
        </w:rPr>
        <w:instrText>George Orwell</w:instrText>
      </w:r>
      <w:r w:rsidR="00B26DFF">
        <w:instrText xml:space="preserve">" </w:instrText>
      </w:r>
      <w:r w:rsidR="001858B5">
        <w:rPr>
          <w:rFonts w:cs="Times New Roman"/>
        </w:rPr>
        <w:fldChar w:fldCharType="end"/>
      </w:r>
      <w:r w:rsidRPr="00124B71">
        <w:rPr>
          <w:rFonts w:cs="Times New Roman"/>
        </w:rPr>
        <w:t xml:space="preserve"> novel</w:t>
      </w:r>
      <w:r w:rsidR="00315755" w:rsidRPr="00124B71">
        <w:rPr>
          <w:rFonts w:cs="Times New Roman"/>
        </w:rPr>
        <w:t>,</w:t>
      </w:r>
      <w:r w:rsidRPr="00124B71">
        <w:rPr>
          <w:rFonts w:cs="Times New Roman"/>
        </w:rPr>
        <w:t xml:space="preserve"> 1984.</w:t>
      </w:r>
      <w:r w:rsidR="00F0648C" w:rsidRPr="00124B71">
        <w:rPr>
          <w:rFonts w:cs="Times New Roman"/>
        </w:rPr>
        <w:t xml:space="preserve"> </w:t>
      </w:r>
      <w:r w:rsidR="0035183E" w:rsidRPr="00124B71">
        <w:rPr>
          <w:rStyle w:val="EndnoteReference"/>
          <w:rFonts w:cs="Times New Roman"/>
        </w:rPr>
        <w:endnoteReference w:id="105"/>
      </w:r>
      <w:r w:rsidRPr="00124B71">
        <w:rPr>
          <w:rFonts w:cs="Times New Roman"/>
        </w:rPr>
        <w:t xml:space="preserve"> In Orwell’s vision, a totalitarian State had convinced the populace </w:t>
      </w:r>
      <w:r w:rsidR="008531E1" w:rsidRPr="00124B71">
        <w:rPr>
          <w:rFonts w:cs="Times New Roman"/>
        </w:rPr>
        <w:t xml:space="preserve">of </w:t>
      </w:r>
      <w:r w:rsidRPr="00124B71">
        <w:rPr>
          <w:rFonts w:cs="Times New Roman"/>
        </w:rPr>
        <w:t xml:space="preserve">the following: </w:t>
      </w:r>
    </w:p>
    <w:p w14:paraId="66575EA5" w14:textId="77777777" w:rsidR="00F64AE8" w:rsidRPr="00124B71" w:rsidRDefault="00F64AE8" w:rsidP="002F1ED3">
      <w:pPr>
        <w:keepNext/>
        <w:keepLines/>
        <w:numPr>
          <w:ilvl w:val="0"/>
          <w:numId w:val="10"/>
        </w:numPr>
        <w:rPr>
          <w:rFonts w:cs="Times New Roman"/>
        </w:rPr>
      </w:pPr>
      <w:r w:rsidRPr="00124B71">
        <w:rPr>
          <w:rFonts w:cs="Times New Roman"/>
        </w:rPr>
        <w:lastRenderedPageBreak/>
        <w:t>WAR IS PEACE</w:t>
      </w:r>
    </w:p>
    <w:p w14:paraId="40D6C180" w14:textId="77777777" w:rsidR="00F64AE8" w:rsidRPr="00124B71" w:rsidRDefault="00F64AE8" w:rsidP="002F1ED3">
      <w:pPr>
        <w:keepNext/>
        <w:keepLines/>
        <w:numPr>
          <w:ilvl w:val="0"/>
          <w:numId w:val="10"/>
        </w:numPr>
        <w:rPr>
          <w:rFonts w:cs="Times New Roman"/>
        </w:rPr>
      </w:pPr>
      <w:r w:rsidRPr="00124B71">
        <w:rPr>
          <w:rFonts w:cs="Times New Roman"/>
        </w:rPr>
        <w:t>FREEDOM IS SLAVERY</w:t>
      </w:r>
    </w:p>
    <w:p w14:paraId="09CA1203" w14:textId="77777777" w:rsidR="00F64AE8" w:rsidRPr="00EF0EDA" w:rsidRDefault="00F64AE8" w:rsidP="00160680">
      <w:pPr>
        <w:pStyle w:val="ListParagraph"/>
        <w:numPr>
          <w:ilvl w:val="0"/>
          <w:numId w:val="10"/>
        </w:numPr>
      </w:pPr>
      <w:r w:rsidRPr="00EF0EDA">
        <w:t>IGNORANCE IS STRENGTH</w:t>
      </w:r>
    </w:p>
    <w:p w14:paraId="2821ADA5" w14:textId="77777777" w:rsidR="00F64AE8" w:rsidRPr="00124B71" w:rsidRDefault="00F64AE8" w:rsidP="008560E2">
      <w:pPr>
        <w:rPr>
          <w:rFonts w:cs="Times New Roman"/>
        </w:rPr>
      </w:pPr>
      <w:r w:rsidRPr="00124B71">
        <w:rPr>
          <w:rFonts w:cs="Times New Roman"/>
        </w:rPr>
        <w:t xml:space="preserve">Although these statements are clearly contradictory, in the story the slogans </w:t>
      </w:r>
      <w:r w:rsidRPr="00124B71">
        <w:rPr>
          <w:rFonts w:cs="Times New Roman"/>
          <w:iCs/>
        </w:rPr>
        <w:t>do</w:t>
      </w:r>
      <w:r w:rsidRPr="00124B71">
        <w:rPr>
          <w:rFonts w:cs="Times New Roman"/>
        </w:rPr>
        <w:t xml:space="preserve"> make sense to the State. For example, through constant “war”, the State can keep domestic peace; when the people obtain freedom, they become enslaved to it, and the ignorance of the populace is the strength of the State. Just as Orwell’s Big Brother convinced the populace the above contradictions were true, Californians and other bubble participants have convinced themselves</w:t>
      </w:r>
      <w:r w:rsidR="008531E1" w:rsidRPr="00124B71">
        <w:rPr>
          <w:rFonts w:cs="Times New Roman"/>
        </w:rPr>
        <w:t xml:space="preserve"> of</w:t>
      </w:r>
      <w:r w:rsidRPr="00124B71">
        <w:rPr>
          <w:rFonts w:cs="Times New Roman"/>
        </w:rPr>
        <w:t xml:space="preserve"> the following: </w:t>
      </w:r>
    </w:p>
    <w:p w14:paraId="2F0F6165" w14:textId="77777777" w:rsidR="00F64AE8" w:rsidRPr="00124B71" w:rsidRDefault="00F64AE8" w:rsidP="002F1ED3">
      <w:pPr>
        <w:keepNext/>
        <w:keepLines/>
        <w:numPr>
          <w:ilvl w:val="0"/>
          <w:numId w:val="10"/>
        </w:numPr>
        <w:rPr>
          <w:rFonts w:cs="Times New Roman"/>
        </w:rPr>
      </w:pPr>
      <w:r w:rsidRPr="00124B71">
        <w:rPr>
          <w:rFonts w:cs="Times New Roman"/>
        </w:rPr>
        <w:t>APPRECIATION IS INCOME</w:t>
      </w:r>
    </w:p>
    <w:p w14:paraId="7C1819FB" w14:textId="77777777" w:rsidR="00F64AE8" w:rsidRPr="00124B71" w:rsidRDefault="00F64AE8" w:rsidP="002F1ED3">
      <w:pPr>
        <w:keepNext/>
        <w:keepLines/>
        <w:numPr>
          <w:ilvl w:val="0"/>
          <w:numId w:val="10"/>
        </w:numPr>
        <w:rPr>
          <w:rFonts w:cs="Times New Roman"/>
        </w:rPr>
      </w:pPr>
      <w:r w:rsidRPr="00124B71">
        <w:rPr>
          <w:rFonts w:cs="Times New Roman"/>
        </w:rPr>
        <w:t>CREDIT IS SAVINGS</w:t>
      </w:r>
    </w:p>
    <w:p w14:paraId="43A9BE86" w14:textId="77777777" w:rsidR="00F64AE8" w:rsidRPr="00EF0EDA" w:rsidRDefault="00F64AE8" w:rsidP="00160680">
      <w:pPr>
        <w:pStyle w:val="ListParagraph"/>
        <w:numPr>
          <w:ilvl w:val="0"/>
          <w:numId w:val="12"/>
        </w:numPr>
      </w:pPr>
      <w:r w:rsidRPr="00EF0EDA">
        <w:t>DEBT IS WEALTH</w:t>
      </w:r>
    </w:p>
    <w:p w14:paraId="61FEFCC2" w14:textId="77777777" w:rsidR="00F64AE8" w:rsidRPr="00124B71" w:rsidRDefault="00F64AE8" w:rsidP="008560E2">
      <w:pPr>
        <w:rPr>
          <w:rFonts w:cs="Times New Roman"/>
        </w:rPr>
      </w:pPr>
      <w:r w:rsidRPr="00124B71">
        <w:rPr>
          <w:rFonts w:cs="Times New Roman"/>
        </w:rPr>
        <w:t xml:space="preserve">Just as these statements are contradictory and ridiculous, the proof that these statements are believed is that they are reflected in the actions of </w:t>
      </w:r>
      <w:r w:rsidR="007D3632" w:rsidRPr="00124B71">
        <w:rPr>
          <w:rFonts w:cs="Times New Roman"/>
        </w:rPr>
        <w:t>many homeowners during the Great Housing Bubble</w:t>
      </w:r>
      <w:r w:rsidRPr="00124B71">
        <w:rPr>
          <w:rFonts w:cs="Times New Roman"/>
        </w:rPr>
        <w:t>. For example, through borrowing against increasing home values,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is turned to income; when people obtain more credit, they spend it like available savings, and a large amount of debt used to finance a large, opulent home makes one wealthy. </w:t>
      </w:r>
      <w:r w:rsidR="00EC5ACA" w:rsidRPr="00124B71">
        <w:rPr>
          <w:rFonts w:cs="Times New Roman"/>
        </w:rPr>
        <w:t>To</w:t>
      </w:r>
      <w:r w:rsidRPr="00124B71">
        <w:rPr>
          <w:rFonts w:cs="Times New Roman"/>
        </w:rPr>
        <w:t xml:space="preserve"> </w:t>
      </w:r>
      <w:r w:rsidR="00EC5ACA" w:rsidRPr="00124B71">
        <w:rPr>
          <w:rFonts w:cs="Times New Roman"/>
        </w:rPr>
        <w:t xml:space="preserve">many buyers and homeowners during the Great Housing Bubble this </w:t>
      </w:r>
      <w:r w:rsidRPr="00124B71">
        <w:rPr>
          <w:rFonts w:cs="Times New Roman"/>
        </w:rPr>
        <w:t>ma</w:t>
      </w:r>
      <w:r w:rsidR="008531E1" w:rsidRPr="00124B71">
        <w:rPr>
          <w:rFonts w:cs="Times New Roman"/>
        </w:rPr>
        <w:t>de</w:t>
      </w:r>
      <w:r w:rsidRPr="00124B71">
        <w:rPr>
          <w:rFonts w:cs="Times New Roman"/>
        </w:rPr>
        <w:t xml:space="preserve"> perfect sense.</w:t>
      </w:r>
    </w:p>
    <w:p w14:paraId="0E3395C4" w14:textId="77777777" w:rsidR="00F64AE8" w:rsidRPr="00124B71" w:rsidRDefault="00F64AE8" w:rsidP="008560E2">
      <w:pPr>
        <w:rPr>
          <w:rFonts w:cs="Times New Roman"/>
        </w:rPr>
      </w:pPr>
      <w:r w:rsidRPr="00124B71">
        <w:rPr>
          <w:rFonts w:cs="Times New Roman"/>
        </w:rPr>
        <w:t>The problem is rooted in a basic misunderstanding of what separates the rich from the poor: the habit of saving. There is an old expression, “the rich get richer and the poor get poorer.” It is more accurate to say the rich save money and the poor spend it: in the end, the rich will have money, and the poor will have none</w:t>
      </w:r>
      <w:r w:rsidR="0035183E" w:rsidRPr="00124B71">
        <w:rPr>
          <w:rFonts w:cs="Times New Roman"/>
        </w:rPr>
        <w:t>.</w:t>
      </w:r>
      <w:r w:rsidR="00F0648C" w:rsidRPr="00124B71">
        <w:rPr>
          <w:rFonts w:cs="Times New Roman"/>
        </w:rPr>
        <w:t xml:space="preserve"> </w:t>
      </w:r>
      <w:r w:rsidR="00E55B3C" w:rsidRPr="00124B71">
        <w:rPr>
          <w:rStyle w:val="EndnoteReference"/>
          <w:rFonts w:cs="Times New Roman"/>
        </w:rPr>
        <w:endnoteReference w:id="106"/>
      </w:r>
      <w:r w:rsidRPr="00124B71">
        <w:rPr>
          <w:rFonts w:cs="Times New Roman"/>
        </w:rPr>
        <w:t xml:space="preserve"> This is not one of life’s inequities, but rather one of life’s simple truths. When the average Joe says he wants to be rich, what he is really saying is he wants unlimited spending power. He wants the ability to </w:t>
      </w:r>
      <w:r w:rsidRPr="00124B71">
        <w:rPr>
          <w:rFonts w:cs="Times New Roman"/>
          <w:i/>
          <w:iCs/>
        </w:rPr>
        <w:t xml:space="preserve">spend </w:t>
      </w:r>
      <w:r w:rsidRPr="00124B71">
        <w:rPr>
          <w:rFonts w:cs="Times New Roman"/>
        </w:rPr>
        <w:t xml:space="preserve">like the rich people he sees wearing Rolexes and driving BMWs to their mansions. This is why, when given the chance, poor people will emulate the rich by spending beyond their means in order to </w:t>
      </w:r>
      <w:r w:rsidRPr="00124B71">
        <w:rPr>
          <w:rFonts w:cs="Times New Roman"/>
          <w:i/>
          <w:iCs/>
        </w:rPr>
        <w:t xml:space="preserve">be </w:t>
      </w:r>
      <w:r w:rsidRPr="00124B71">
        <w:rPr>
          <w:rFonts w:cs="Times New Roman"/>
        </w:rPr>
        <w:t>rich. Of course, in the process, they spend themselves poor.</w:t>
      </w:r>
    </w:p>
    <w:p w14:paraId="6C053A45" w14:textId="77777777" w:rsidR="00F64AE8" w:rsidRPr="00EF0EDA" w:rsidRDefault="00F64AE8" w:rsidP="005734DF">
      <w:pPr>
        <w:pStyle w:val="Heading3"/>
      </w:pPr>
      <w:bookmarkStart w:id="165" w:name="_Toc238867367"/>
      <w:r w:rsidRPr="00EF0EDA">
        <w:t>Appreciation is Income</w:t>
      </w:r>
      <w:bookmarkEnd w:id="165"/>
    </w:p>
    <w:p w14:paraId="1F996081" w14:textId="77777777" w:rsidR="00F64AE8" w:rsidRPr="00124B71" w:rsidRDefault="00F64AE8" w:rsidP="005734DF">
      <w:pPr>
        <w:rPr>
          <w:rFonts w:cs="Times New Roman"/>
        </w:rPr>
      </w:pPr>
      <w:r w:rsidRPr="00124B71">
        <w:rPr>
          <w:rFonts w:cs="Times New Roman"/>
        </w:rPr>
        <w:t>There is a noticeable difference between the behavior of rich and poor when it comes to home price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The rich view home price appreciation as adding to their net worth. If lower interest rates allow them to refinance, they will restructure their debt to pay off the loan more quickly in order to increase their wealth. Poor people view home price appreciation as income; free money for them to spend. If lower interest rates allow them to refinance, they will restructure their loan to pull as much home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as possible and reduce their payment as much as possible so they can spend more. If any net worth happens to accumulate, they obtain a home equity line of credit and spend the appreciation as quickly as possible</w:t>
      </w:r>
      <w:r w:rsidR="007C469A">
        <w:rPr>
          <w:rFonts w:cs="Times New Roman"/>
        </w:rPr>
        <w:t>–</w:t>
      </w:r>
      <w:r w:rsidRPr="00124B71">
        <w:rPr>
          <w:rFonts w:cs="Times New Roman"/>
        </w:rPr>
        <w:t xml:space="preserve">it makes them feel rich even though it really makes them poor. </w:t>
      </w:r>
    </w:p>
    <w:p w14:paraId="5A17FCDE" w14:textId="77777777" w:rsidR="00F64AE8" w:rsidRPr="00EF0EDA" w:rsidRDefault="00F64AE8" w:rsidP="005734DF">
      <w:pPr>
        <w:pStyle w:val="Heading3"/>
      </w:pPr>
      <w:bookmarkStart w:id="166" w:name="_Toc238867368"/>
      <w:r w:rsidRPr="00EF0EDA">
        <w:lastRenderedPageBreak/>
        <w:t>Credit is Savings</w:t>
      </w:r>
      <w:bookmarkEnd w:id="166"/>
    </w:p>
    <w:p w14:paraId="654CBFD7" w14:textId="77777777" w:rsidR="00F64AE8" w:rsidRPr="00124B71" w:rsidRDefault="00F64AE8" w:rsidP="005734DF">
      <w:pPr>
        <w:rPr>
          <w:rFonts w:cs="Times New Roman"/>
        </w:rPr>
      </w:pPr>
      <w:r w:rsidRPr="00124B71">
        <w:rPr>
          <w:rFonts w:cs="Times New Roman"/>
        </w:rPr>
        <w:t xml:space="preserve">So how do the rich and poor deal with credit? The rich do not carry consumer debt. Why would they pay interest on a credit balance when it almost always costs more than the income they earn on their savings? The rich will use credit sparingly and most often pay off any credit balances each month as the bill comes due. In contrast, the poor carry as much consumer debt as they can afford to service. Whenever they receive an increase in a credit line, they believe they have more money to spend, just like it was savings. In a strange way, a credit account is like a savings account, only it has a negative balance. In a savings account, the saver earns money; in a credit account, the spender </w:t>
      </w:r>
      <w:r w:rsidR="00EC5ACA" w:rsidRPr="00124B71">
        <w:rPr>
          <w:rFonts w:cs="Times New Roman"/>
        </w:rPr>
        <w:t>pays</w:t>
      </w:r>
      <w:r w:rsidRPr="00124B71">
        <w:rPr>
          <w:rFonts w:cs="Times New Roman"/>
        </w:rPr>
        <w:t xml:space="preserve"> money. Again, the rich have savings, and the poor have credit.</w:t>
      </w:r>
    </w:p>
    <w:p w14:paraId="4C688A39" w14:textId="77777777" w:rsidR="00F64AE8" w:rsidRPr="00EF0EDA" w:rsidRDefault="00F64AE8" w:rsidP="005734DF">
      <w:pPr>
        <w:pStyle w:val="Heading3"/>
      </w:pPr>
      <w:bookmarkStart w:id="167" w:name="_Toc238867369"/>
      <w:r w:rsidRPr="00EF0EDA">
        <w:t>Debt is Wealth</w:t>
      </w:r>
      <w:bookmarkEnd w:id="167"/>
    </w:p>
    <w:p w14:paraId="618B94DB" w14:textId="77777777" w:rsidR="00F64AE8" w:rsidRPr="00124B71" w:rsidRDefault="00F64AE8" w:rsidP="005734DF">
      <w:pPr>
        <w:rPr>
          <w:rFonts w:cs="Times New Roman"/>
        </w:rPr>
      </w:pPr>
      <w:r w:rsidRPr="00124B71">
        <w:rPr>
          <w:rFonts w:cs="Times New Roman"/>
        </w:rPr>
        <w:t xml:space="preserve">There are a great many </w:t>
      </w:r>
      <w:r w:rsidR="00EE7CAE" w:rsidRPr="00124B71">
        <w:rPr>
          <w:rFonts w:cs="Times New Roman"/>
        </w:rPr>
        <w:t xml:space="preserve">homeowners </w:t>
      </w:r>
      <w:r w:rsidRPr="00124B71">
        <w:rPr>
          <w:rFonts w:cs="Times New Roman"/>
        </w:rPr>
        <w:t>who live in big houses, and they believe that makes them rich. To them, the possession and use of an expensive house makes them wealthy even if they have no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in the property. The rich buy less home than they can afford and work to pay off the debt in order to maximize their net worth. The poor stretch their finances to possess more home than they can afford with loan terms which never retire the debt, or in the case of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loans, actually increases their debt held against the property. This ensures they never gain any equity or only gain it by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and as mentioned previously, if prices appreciate they quickly withdraw the gain to fuel more consumer spending.</w:t>
      </w:r>
    </w:p>
    <w:p w14:paraId="42DA81D5" w14:textId="77777777" w:rsidR="00F64AE8" w:rsidRPr="00EF0EDA" w:rsidRDefault="00F64AE8" w:rsidP="005734DF">
      <w:pPr>
        <w:pStyle w:val="Heading3"/>
      </w:pPr>
      <w:bookmarkStart w:id="168" w:name="_Toc238867370"/>
      <w:r w:rsidRPr="00EF0EDA">
        <w:t>It’s a California Thing</w:t>
      </w:r>
      <w:bookmarkEnd w:id="168"/>
      <w:r w:rsidRPr="00EF0EDA">
        <w:t xml:space="preserve"> </w:t>
      </w:r>
    </w:p>
    <w:p w14:paraId="53B38DE9" w14:textId="77777777" w:rsidR="00F64AE8" w:rsidRPr="00124B71" w:rsidRDefault="00F64AE8" w:rsidP="005734DF">
      <w:pPr>
        <w:rPr>
          <w:rFonts w:cs="Times New Roman"/>
        </w:rPr>
      </w:pPr>
      <w:r w:rsidRPr="00124B71">
        <w:rPr>
          <w:rFonts w:cs="Times New Roman"/>
        </w:rPr>
        <w:t>So what happens when you give poor people money? They spend it. The stories of people who won the lottery and managed to spend themselves into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Pr="00124B71">
        <w:rPr>
          <w:rFonts w:cs="Times New Roman"/>
        </w:rPr>
        <w:t xml:space="preserve"> a few years later are classic examples of the pathology of the beliefs of spenders</w:t>
      </w:r>
      <w:r w:rsidR="0035183E" w:rsidRPr="00124B71">
        <w:rPr>
          <w:rFonts w:cs="Times New Roman"/>
        </w:rPr>
        <w:t>.</w:t>
      </w:r>
      <w:r w:rsidR="00F0648C" w:rsidRPr="00124B71">
        <w:rPr>
          <w:rFonts w:cs="Times New Roman"/>
        </w:rPr>
        <w:t xml:space="preserve"> </w:t>
      </w:r>
      <w:r w:rsidR="00081711" w:rsidRPr="00124B71">
        <w:rPr>
          <w:rStyle w:val="EndnoteReference"/>
          <w:rFonts w:cs="Times New Roman"/>
        </w:rPr>
        <w:endnoteReference w:id="107"/>
      </w:r>
      <w:r w:rsidRPr="00124B71">
        <w:rPr>
          <w:rFonts w:cs="Times New Roman"/>
        </w:rPr>
        <w:t xml:space="preserve"> A great many Californians are spenders. This is why California has a strong cultural pathology</w:t>
      </w:r>
      <w:r w:rsidR="001858B5">
        <w:rPr>
          <w:rFonts w:cs="Times New Roman"/>
        </w:rPr>
        <w:fldChar w:fldCharType="begin"/>
      </w:r>
      <w:r w:rsidR="00B26DFF">
        <w:instrText xml:space="preserve"> XE "</w:instrText>
      </w:r>
      <w:r w:rsidR="00B26DFF" w:rsidRPr="006D38B8">
        <w:rPr>
          <w:rFonts w:cs="Times New Roman"/>
        </w:rPr>
        <w:instrText>cultural pathology</w:instrText>
      </w:r>
      <w:r w:rsidR="00B26DFF">
        <w:instrText xml:space="preserve">" </w:instrText>
      </w:r>
      <w:r w:rsidR="001858B5">
        <w:rPr>
          <w:rFonts w:cs="Times New Roman"/>
        </w:rPr>
        <w:fldChar w:fldCharType="end"/>
      </w:r>
      <w:r w:rsidRPr="00124B71">
        <w:rPr>
          <w:rFonts w:cs="Times New Roman"/>
        </w:rPr>
        <w:t>. The main psychological reason house prices</w:t>
      </w:r>
      <w:r w:rsidR="00823F50" w:rsidRPr="00124B71">
        <w:rPr>
          <w:rFonts w:cs="Times New Roman"/>
        </w:rPr>
        <w:t xml:space="preserve"> in California</w:t>
      </w:r>
      <w:r w:rsidRPr="00124B71">
        <w:rPr>
          <w:rFonts w:cs="Times New Roman"/>
        </w:rPr>
        <w:t xml:space="preserve"> were bid up to such dizzying heights during the Great Housing Bubble was because there was a high percentage of the population in California that subscribed to the spending habits</w:t>
      </w:r>
      <w:r w:rsidR="008531E1" w:rsidRPr="00124B71">
        <w:rPr>
          <w:rFonts w:cs="Times New Roman"/>
        </w:rPr>
        <w:t xml:space="preserve"> just</w:t>
      </w:r>
      <w:r w:rsidRPr="00124B71">
        <w:rPr>
          <w:rFonts w:cs="Times New Roman"/>
        </w:rPr>
        <w:t xml:space="preserve"> described. They went out and borrowed as much money as they could with exotic loans, bought up all the real estate they could get their hands on, and in the process drove real estate prices into the stratosphere. In other areas of the country, reckless spending was not so trendy, and home prices were not bid up so high.</w:t>
      </w:r>
    </w:p>
    <w:p w14:paraId="2A581311" w14:textId="77777777" w:rsidR="00F64AE8" w:rsidRPr="00124B71" w:rsidRDefault="00F64AE8" w:rsidP="005734DF">
      <w:pPr>
        <w:rPr>
          <w:rFonts w:cs="Times New Roman"/>
        </w:rPr>
      </w:pPr>
      <w:r w:rsidRPr="00124B71">
        <w:rPr>
          <w:rFonts w:cs="Times New Roman"/>
        </w:rPr>
        <w:t>Pretentious displays of conspicuous consumption</w:t>
      </w:r>
      <w:r w:rsidR="001858B5">
        <w:rPr>
          <w:rFonts w:cs="Times New Roman"/>
        </w:rPr>
        <w:fldChar w:fldCharType="begin"/>
      </w:r>
      <w:r w:rsidR="00B26DFF">
        <w:instrText xml:space="preserve"> XE "</w:instrText>
      </w:r>
      <w:r w:rsidR="00B26DFF" w:rsidRPr="00153128">
        <w:rPr>
          <w:rFonts w:cs="Times New Roman"/>
        </w:rPr>
        <w:instrText>conspicuous consumption</w:instrText>
      </w:r>
      <w:r w:rsidR="00B26DFF">
        <w:instrText xml:space="preserve">" </w:instrText>
      </w:r>
      <w:r w:rsidR="001858B5">
        <w:rPr>
          <w:rFonts w:cs="Times New Roman"/>
        </w:rPr>
        <w:fldChar w:fldCharType="end"/>
      </w:r>
      <w:r w:rsidRPr="00124B71">
        <w:rPr>
          <w:rFonts w:cs="Times New Roman"/>
        </w:rPr>
        <w:t xml:space="preserve"> are less common in the Midwest, and consumerism is often viewed with contempt rather than envy. In short, there is a smaller percentage of the general population in the Midwest with the aforementioned pathologic beliefs</w:t>
      </w:r>
      <w:r w:rsidR="00F0648C" w:rsidRPr="00124B71">
        <w:rPr>
          <w:rFonts w:cs="Times New Roman"/>
        </w:rPr>
        <w:t xml:space="preserve">. </w:t>
      </w:r>
      <w:r w:rsidR="0026106F" w:rsidRPr="00124B71">
        <w:rPr>
          <w:rStyle w:val="EndnoteReference"/>
          <w:rFonts w:cs="Times New Roman"/>
        </w:rPr>
        <w:endnoteReference w:id="108"/>
      </w:r>
      <w:r w:rsidRPr="00124B71">
        <w:rPr>
          <w:rFonts w:cs="Times New Roman"/>
        </w:rPr>
        <w:t xml:space="preserve"> To substantiate this claim, observe the profile</w:t>
      </w:r>
      <w:r w:rsidR="008219F4">
        <w:rPr>
          <w:rFonts w:cs="Times New Roman"/>
        </w:rPr>
        <w:t xml:space="preserve"> of</w:t>
      </w:r>
      <w:r w:rsidRPr="00124B71">
        <w:rPr>
          <w:rFonts w:cs="Times New Roman"/>
        </w:rPr>
        <w:t xml:space="preserve"> Minnetonka, Minnesota</w:t>
      </w:r>
      <w:r w:rsidR="001858B5">
        <w:rPr>
          <w:rFonts w:cs="Times New Roman"/>
        </w:rPr>
        <w:fldChar w:fldCharType="begin"/>
      </w:r>
      <w:r w:rsidR="00B26DFF">
        <w:instrText xml:space="preserve"> XE "</w:instrText>
      </w:r>
      <w:r w:rsidR="00B26DFF" w:rsidRPr="002F1954">
        <w:rPr>
          <w:rFonts w:cs="Times New Roman"/>
        </w:rPr>
        <w:instrText>Minnetonka, Minnesota</w:instrText>
      </w:r>
      <w:r w:rsidR="00B26DFF">
        <w:instrText xml:space="preserve">" </w:instrText>
      </w:r>
      <w:r w:rsidR="001858B5">
        <w:rPr>
          <w:rFonts w:cs="Times New Roman"/>
        </w:rPr>
        <w:fldChar w:fldCharType="end"/>
      </w:r>
      <w:r w:rsidRPr="00124B71">
        <w:rPr>
          <w:rFonts w:cs="Times New Roman"/>
        </w:rPr>
        <w:t>, a suburb of Minneapolis with very similar income and demographics to Irvine, California. The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Pr="00124B71">
        <w:rPr>
          <w:rFonts w:cs="Times New Roman"/>
        </w:rPr>
        <w:t xml:space="preserve"> income in Minnetonka, Minnesota</w:t>
      </w:r>
      <w:r w:rsidR="001858B5">
        <w:rPr>
          <w:rFonts w:cs="Times New Roman"/>
        </w:rPr>
        <w:fldChar w:fldCharType="begin"/>
      </w:r>
      <w:r w:rsidR="00074436">
        <w:instrText xml:space="preserve"> XE "</w:instrText>
      </w:r>
      <w:r w:rsidR="00074436" w:rsidRPr="00FF4FCB">
        <w:rPr>
          <w:rFonts w:cs="Times New Roman"/>
        </w:rPr>
        <w:instrText>Minnesota</w:instrText>
      </w:r>
      <w:r w:rsidR="00074436">
        <w:instrText xml:space="preserve">" </w:instrText>
      </w:r>
      <w:r w:rsidR="001858B5">
        <w:rPr>
          <w:rFonts w:cs="Times New Roman"/>
        </w:rPr>
        <w:fldChar w:fldCharType="end"/>
      </w:r>
      <w:r w:rsidRPr="00124B71">
        <w:rPr>
          <w:rFonts w:cs="Times New Roman"/>
        </w:rPr>
        <w:t xml:space="preserve"> in 2006 was $84,024, and the median income in </w:t>
      </w:r>
      <w:r w:rsidRPr="00124B71">
        <w:rPr>
          <w:rFonts w:cs="Times New Roman"/>
        </w:rPr>
        <w:lastRenderedPageBreak/>
        <w:t>Irvine, California</w:t>
      </w:r>
      <w:r w:rsidR="008219F4">
        <w:rPr>
          <w:rFonts w:cs="Times New Roman"/>
        </w:rPr>
        <w:t>,</w:t>
      </w:r>
      <w:r w:rsidRPr="00124B71">
        <w:rPr>
          <w:rFonts w:cs="Times New Roman"/>
        </w:rPr>
        <w:t xml:space="preserve"> in 2006 was $84,253</w:t>
      </w:r>
      <w:r w:rsidR="0035183E" w:rsidRPr="00124B71">
        <w:rPr>
          <w:rFonts w:cs="Times New Roman"/>
        </w:rPr>
        <w:t>.</w:t>
      </w:r>
      <w:r w:rsidR="00F0648C" w:rsidRPr="00124B71">
        <w:rPr>
          <w:rFonts w:cs="Times New Roman"/>
        </w:rPr>
        <w:t xml:space="preserve"> </w:t>
      </w:r>
      <w:r w:rsidR="00BB0DEE" w:rsidRPr="00124B71">
        <w:rPr>
          <w:rStyle w:val="EndnoteReference"/>
          <w:rFonts w:cs="Times New Roman"/>
        </w:rPr>
        <w:endnoteReference w:id="109"/>
      </w:r>
      <w:r w:rsidRPr="00124B71">
        <w:rPr>
          <w:rFonts w:cs="Times New Roman"/>
        </w:rPr>
        <w:t xml:space="preserve"> </w:t>
      </w:r>
      <w:r w:rsidR="0035183E" w:rsidRPr="00124B71">
        <w:rPr>
          <w:rFonts w:cs="Times New Roman"/>
        </w:rPr>
        <w:t xml:space="preserve">This is </w:t>
      </w:r>
      <w:r w:rsidRPr="00124B71">
        <w:rPr>
          <w:rFonts w:cs="Times New Roman"/>
        </w:rPr>
        <w:t>close enough to be a good compar</w:t>
      </w:r>
      <w:r w:rsidR="008531E1" w:rsidRPr="00124B71">
        <w:rPr>
          <w:rFonts w:cs="Times New Roman"/>
        </w:rPr>
        <w:t>ison</w:t>
      </w:r>
      <w:r w:rsidRPr="00124B71">
        <w:rPr>
          <w:rFonts w:cs="Times New Roman"/>
        </w:rPr>
        <w:t>. The median home price in Minnetonka in 2006 was $305,600</w:t>
      </w:r>
      <w:r w:rsidR="0035183E" w:rsidRPr="00124B71">
        <w:rPr>
          <w:rFonts w:cs="Times New Roman"/>
        </w:rPr>
        <w:t xml:space="preserve">, </w:t>
      </w:r>
      <w:r w:rsidRPr="00124B71">
        <w:rPr>
          <w:rFonts w:cs="Times New Roman"/>
        </w:rPr>
        <w:t>and the median home price in Irvine in 2006 was $722,928</w:t>
      </w:r>
      <w:r w:rsidR="0035183E" w:rsidRPr="00124B71">
        <w:rPr>
          <w:rFonts w:cs="Times New Roman"/>
        </w:rPr>
        <w:t>.</w:t>
      </w:r>
      <w:r w:rsidR="00F0648C" w:rsidRPr="00124B71">
        <w:rPr>
          <w:rFonts w:cs="Times New Roman"/>
        </w:rPr>
        <w:t xml:space="preserve"> </w:t>
      </w:r>
      <w:r w:rsidR="0035183E" w:rsidRPr="00124B71">
        <w:rPr>
          <w:rStyle w:val="EndnoteReference"/>
          <w:rFonts w:cs="Times New Roman"/>
        </w:rPr>
        <w:endnoteReference w:id="110"/>
      </w:r>
      <w:r w:rsidR="0035183E" w:rsidRPr="00124B71">
        <w:rPr>
          <w:rFonts w:cs="Times New Roman"/>
          <w:vertAlign w:val="superscript"/>
        </w:rPr>
        <w:t>,</w:t>
      </w:r>
      <w:r w:rsidR="009E008D" w:rsidRPr="00124B71">
        <w:rPr>
          <w:rStyle w:val="EndnoteReference"/>
          <w:rFonts w:cs="Times New Roman"/>
        </w:rPr>
        <w:endnoteReference w:id="111"/>
      </w:r>
      <w:r w:rsidRPr="00124B71">
        <w:rPr>
          <w:rFonts w:cs="Times New Roman"/>
        </w:rPr>
        <w:t xml:space="preserve"> If the thesis is correct, one would expect to find a much higher percentage of home loans utilizing exotic loan terms in Irvine as compared to Minnetonka. In 2006 the Minneapolis area had 8.7% of its loan originations were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while Orange County</w:t>
      </w:r>
      <w:r w:rsidR="001858B5">
        <w:rPr>
          <w:rFonts w:cs="Times New Roman"/>
        </w:rPr>
        <w:fldChar w:fldCharType="begin"/>
      </w:r>
      <w:r w:rsidR="00AE7D38">
        <w:instrText xml:space="preserve"> XE "</w:instrText>
      </w:r>
      <w:r w:rsidR="00AE7D38" w:rsidRPr="0005034B">
        <w:rPr>
          <w:rFonts w:cs="Times New Roman"/>
        </w:rPr>
        <w:instrText>Orange County</w:instrText>
      </w:r>
      <w:r w:rsidR="00AE7D38">
        <w:instrText xml:space="preserve">" </w:instrText>
      </w:r>
      <w:r w:rsidR="001858B5">
        <w:rPr>
          <w:rFonts w:cs="Times New Roman"/>
        </w:rPr>
        <w:fldChar w:fldCharType="end"/>
      </w:r>
      <w:r w:rsidRPr="00124B71">
        <w:rPr>
          <w:rFonts w:cs="Times New Roman"/>
        </w:rPr>
        <w:t xml:space="preserve"> had 32%</w:t>
      </w:r>
      <w:r w:rsidR="0035183E" w:rsidRPr="00124B71">
        <w:rPr>
          <w:rFonts w:cs="Times New Roman"/>
        </w:rPr>
        <w:t>.</w:t>
      </w:r>
      <w:r w:rsidR="009E008D" w:rsidRPr="00124B71">
        <w:rPr>
          <w:rStyle w:val="EndnoteReference"/>
          <w:rFonts w:cs="Times New Roman"/>
        </w:rPr>
        <w:endnoteReference w:id="112"/>
      </w:r>
      <w:r w:rsidRPr="00124B71">
        <w:rPr>
          <w:rFonts w:cs="Times New Roman"/>
        </w:rPr>
        <w:t xml:space="preserve"> In all of California more than 80% of loan originations in 2006 were either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Pr="00124B71">
        <w:rPr>
          <w:rFonts w:cs="Times New Roman"/>
        </w:rPr>
        <w:t xml:space="preserve"> or interest-only. Here are two groups of people with the same median income, and with the same access to credit making very different choices. Potential homebuyers in Minnetonka and Irvine faced the same decision on taking out an exotic loan and buying more house than they can afford or choosing to live within their means. Very few in Minnetonka chose to overextend themselves, so they did not bid up the values of their houses. </w:t>
      </w:r>
      <w:r w:rsidR="008D6515" w:rsidRPr="00124B71">
        <w:rPr>
          <w:rFonts w:cs="Times New Roman"/>
        </w:rPr>
        <w:t>Residents of Irvine</w:t>
      </w:r>
      <w:r w:rsidRPr="00124B71">
        <w:rPr>
          <w:rFonts w:cs="Times New Roman"/>
        </w:rPr>
        <w:t xml:space="preserve"> (and the rest of California) chose to utilize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Pr="00124B71">
        <w:rPr>
          <w:rFonts w:cs="Times New Roman"/>
        </w:rPr>
        <w:t xml:space="preserve"> and thereby real estate prices were bid much, much higher. The high utilization of exotic financing was the </w:t>
      </w:r>
      <w:r w:rsidRPr="00124B71">
        <w:rPr>
          <w:rFonts w:cs="Times New Roman"/>
          <w:i/>
          <w:iCs/>
        </w:rPr>
        <w:t xml:space="preserve">cause </w:t>
      </w:r>
      <w:r w:rsidRPr="00124B71">
        <w:rPr>
          <w:rFonts w:cs="Times New Roman"/>
        </w:rPr>
        <w:t>of the price increase</w:t>
      </w:r>
      <w:r w:rsidR="008531E1" w:rsidRPr="00124B71">
        <w:rPr>
          <w:rFonts w:cs="Times New Roman"/>
        </w:rPr>
        <w:t>,</w:t>
      </w:r>
      <w:r w:rsidRPr="00124B71">
        <w:rPr>
          <w:rFonts w:cs="Times New Roman"/>
        </w:rPr>
        <w:t xml:space="preserve"> not the result of it. Nobody was forced to buy. </w:t>
      </w:r>
    </w:p>
    <w:p w14:paraId="0FE02A7A" w14:textId="77777777" w:rsidR="00F64AE8" w:rsidRPr="00124B71" w:rsidRDefault="00F64AE8" w:rsidP="005734DF">
      <w:pPr>
        <w:rPr>
          <w:rFonts w:cs="Times New Roman"/>
        </w:rPr>
      </w:pPr>
      <w:r w:rsidRPr="00124B71">
        <w:rPr>
          <w:rFonts w:cs="Times New Roman"/>
        </w:rPr>
        <w:t xml:space="preserve">Perhaps Californians were just more financially sophisticated than the rubes back on the farm in the Midwest? If many in California were spending freely, feeling rich, and enjoying life, where </w:t>
      </w:r>
      <w:r w:rsidR="008D6515" w:rsidRPr="00124B71">
        <w:rPr>
          <w:rFonts w:cs="Times New Roman"/>
        </w:rPr>
        <w:t>is</w:t>
      </w:r>
      <w:r w:rsidRPr="00124B71">
        <w:rPr>
          <w:rFonts w:cs="Times New Roman"/>
        </w:rPr>
        <w:t xml:space="preserve"> the pathology? The beliefs and resulting behavior </w:t>
      </w:r>
      <w:r w:rsidR="008D6515" w:rsidRPr="00124B71">
        <w:rPr>
          <w:rFonts w:cs="Times New Roman"/>
        </w:rPr>
        <w:t>is</w:t>
      </w:r>
      <w:r w:rsidRPr="00124B71">
        <w:rPr>
          <w:rFonts w:cs="Times New Roman"/>
        </w:rPr>
        <w:t xml:space="preserve"> pathological because it </w:t>
      </w:r>
      <w:r w:rsidR="008D6515" w:rsidRPr="00124B71">
        <w:rPr>
          <w:rFonts w:cs="Times New Roman"/>
        </w:rPr>
        <w:t>is</w:t>
      </w:r>
      <w:r w:rsidRPr="00124B71">
        <w:rPr>
          <w:rFonts w:cs="Times New Roman"/>
        </w:rPr>
        <w:t xml:space="preserve"> not sustainable. There </w:t>
      </w:r>
      <w:r w:rsidR="008D6515" w:rsidRPr="00124B71">
        <w:rPr>
          <w:rFonts w:cs="Times New Roman"/>
        </w:rPr>
        <w:t>is</w:t>
      </w:r>
      <w:r w:rsidRPr="00124B71">
        <w:rPr>
          <w:rFonts w:cs="Times New Roman"/>
        </w:rPr>
        <w:t xml:space="preserve"> an inevitable Day of Reckoning when all debts must be paid. Charles Ponzi</w:t>
      </w:r>
      <w:r w:rsidR="001858B5">
        <w:rPr>
          <w:rFonts w:cs="Times New Roman"/>
        </w:rPr>
        <w:fldChar w:fldCharType="begin"/>
      </w:r>
      <w:r w:rsidR="00FB4BC9">
        <w:instrText xml:space="preserve"> XE "</w:instrText>
      </w:r>
      <w:r w:rsidR="00FB4BC9" w:rsidRPr="003F4A2C">
        <w:rPr>
          <w:rFonts w:cs="Times New Roman"/>
        </w:rPr>
        <w:instrText>Charles Ponzi</w:instrText>
      </w:r>
      <w:r w:rsidR="00FB4BC9">
        <w:instrText>" \t "</w:instrText>
      </w:r>
      <w:r w:rsidR="00FB4BC9" w:rsidRPr="00F964E6">
        <w:rPr>
          <w:rFonts w:asciiTheme="minorHAnsi" w:hAnsiTheme="minorHAnsi"/>
          <w:i/>
        </w:rPr>
        <w:instrText>See</w:instrText>
      </w:r>
      <w:r w:rsidR="00FB4BC9" w:rsidRPr="00F964E6">
        <w:rPr>
          <w:rFonts w:asciiTheme="minorHAnsi" w:hAnsiTheme="minorHAnsi"/>
        </w:rPr>
        <w:instrText xml:space="preserve"> Ponzi Scheme</w:instrText>
      </w:r>
      <w:r w:rsidR="00FB4BC9">
        <w:instrText xml:space="preserve">" </w:instrText>
      </w:r>
      <w:r w:rsidR="001858B5">
        <w:rPr>
          <w:rFonts w:cs="Times New Roman"/>
        </w:rPr>
        <w:fldChar w:fldCharType="end"/>
      </w:r>
      <w:r w:rsidR="001858B5">
        <w:rPr>
          <w:rFonts w:cs="Times New Roman"/>
        </w:rPr>
        <w:fldChar w:fldCharType="begin"/>
      </w:r>
      <w:r w:rsidR="00FB4BC9">
        <w:instrText xml:space="preserve"> XE "</w:instrText>
      </w:r>
      <w:r w:rsidR="00FB4BC9" w:rsidRPr="00071879">
        <w:rPr>
          <w:rFonts w:cs="Times New Roman"/>
        </w:rPr>
        <w:instrText>Charles Ponzi</w:instrText>
      </w:r>
      <w:r w:rsidR="00FB4BC9">
        <w:instrText xml:space="preserve">" </w:instrText>
      </w:r>
      <w:r w:rsidR="001858B5">
        <w:rPr>
          <w:rFonts w:cs="Times New Roman"/>
        </w:rPr>
        <w:fldChar w:fldCharType="end"/>
      </w:r>
      <w:r w:rsidRPr="00124B71">
        <w:rPr>
          <w:rFonts w:cs="Times New Roman"/>
        </w:rPr>
        <w:t xml:space="preserve"> was the most excessive example of this pathology. So extreme </w:t>
      </w:r>
      <w:r w:rsidR="008219F4">
        <w:rPr>
          <w:rFonts w:cs="Times New Roman"/>
        </w:rPr>
        <w:t>were</w:t>
      </w:r>
      <w:r w:rsidRPr="00124B71">
        <w:rPr>
          <w:rFonts w:cs="Times New Roman"/>
        </w:rPr>
        <w:t xml:space="preserve"> his activities, that the term Ponzi Scheme</w:t>
      </w:r>
      <w:r w:rsidR="001858B5">
        <w:rPr>
          <w:rFonts w:cs="Times New Roman"/>
        </w:rPr>
        <w:fldChar w:fldCharType="begin"/>
      </w:r>
      <w:r w:rsidR="00FB4BC9">
        <w:instrText xml:space="preserve"> XE "</w:instrText>
      </w:r>
      <w:r w:rsidR="00FB4BC9" w:rsidRPr="00846241">
        <w:rPr>
          <w:rFonts w:cs="Times New Roman"/>
        </w:rPr>
        <w:instrText>Ponzi Scheme</w:instrText>
      </w:r>
      <w:r w:rsidR="00FB4BC9">
        <w:instrText xml:space="preserve">" </w:instrText>
      </w:r>
      <w:r w:rsidR="001858B5">
        <w:rPr>
          <w:rFonts w:cs="Times New Roman"/>
        </w:rPr>
        <w:fldChar w:fldCharType="end"/>
      </w:r>
      <w:r w:rsidRPr="00124B71">
        <w:rPr>
          <w:rFonts w:cs="Times New Roman"/>
        </w:rPr>
        <w:t xml:space="preserve"> has become synonymous with the use of ever increasing amounts of investment or debt</w:t>
      </w:r>
      <w:r w:rsidR="008879E8" w:rsidRPr="00124B71">
        <w:rPr>
          <w:rFonts w:cs="Times New Roman"/>
        </w:rPr>
        <w:t>.</w:t>
      </w:r>
      <w:r w:rsidR="00F0648C" w:rsidRPr="00124B71">
        <w:rPr>
          <w:rFonts w:cs="Times New Roman"/>
        </w:rPr>
        <w:t xml:space="preserve"> </w:t>
      </w:r>
      <w:r w:rsidR="00657106" w:rsidRPr="00124B71">
        <w:rPr>
          <w:rStyle w:val="EndnoteReference"/>
          <w:rFonts w:cs="Times New Roman"/>
        </w:rPr>
        <w:endnoteReference w:id="113"/>
      </w:r>
      <w:r w:rsidRPr="00124B71">
        <w:rPr>
          <w:rFonts w:cs="Times New Roman"/>
        </w:rPr>
        <w:t xml:space="preserve"> This scheme is also encapsulated in the expression “robbing Peter to pay Paul.” </w:t>
      </w:r>
      <w:r w:rsidR="00823F50" w:rsidRPr="00124B71">
        <w:rPr>
          <w:rFonts w:cs="Times New Roman"/>
        </w:rPr>
        <w:t>The twentieth century economist Hyman Minsky</w:t>
      </w:r>
      <w:r w:rsidR="001858B5">
        <w:rPr>
          <w:rFonts w:cs="Times New Roman"/>
        </w:rPr>
        <w:fldChar w:fldCharType="begin"/>
      </w:r>
      <w:r w:rsidR="00FB4BC9">
        <w:instrText xml:space="preserve"> XE "</w:instrText>
      </w:r>
      <w:r w:rsidR="00FB4BC9" w:rsidRPr="00A57389">
        <w:rPr>
          <w:rFonts w:cs="Times New Roman"/>
        </w:rPr>
        <w:instrText>Hyman Minsky</w:instrText>
      </w:r>
      <w:r w:rsidR="00FB4BC9">
        <w:instrText xml:space="preserve">" </w:instrText>
      </w:r>
      <w:r w:rsidR="001858B5">
        <w:rPr>
          <w:rFonts w:cs="Times New Roman"/>
        </w:rPr>
        <w:fldChar w:fldCharType="end"/>
      </w:r>
      <w:r w:rsidR="00823F50" w:rsidRPr="00124B71">
        <w:rPr>
          <w:rFonts w:cs="Times New Roman"/>
        </w:rPr>
        <w:t xml:space="preserve"> wrote about the “Minsky Moment</w:t>
      </w:r>
      <w:r w:rsidR="001858B5">
        <w:rPr>
          <w:rFonts w:cs="Times New Roman"/>
        </w:rPr>
        <w:fldChar w:fldCharType="begin"/>
      </w:r>
      <w:r w:rsidR="00FB4BC9">
        <w:instrText xml:space="preserve"> XE "</w:instrText>
      </w:r>
      <w:r w:rsidR="00FB4BC9" w:rsidRPr="003C26F1">
        <w:rPr>
          <w:rFonts w:cs="Times New Roman"/>
        </w:rPr>
        <w:instrText>Minsky Moment</w:instrText>
      </w:r>
      <w:r w:rsidR="00FB4BC9">
        <w:instrText>" \t "</w:instrText>
      </w:r>
      <w:r w:rsidR="00FB4BC9" w:rsidRPr="00624641">
        <w:rPr>
          <w:rFonts w:asciiTheme="minorHAnsi" w:hAnsiTheme="minorHAnsi"/>
          <w:i/>
        </w:rPr>
        <w:instrText>See</w:instrText>
      </w:r>
      <w:r w:rsidR="00FB4BC9" w:rsidRPr="00624641">
        <w:rPr>
          <w:rFonts w:asciiTheme="minorHAnsi" w:hAnsiTheme="minorHAnsi"/>
        </w:rPr>
        <w:instrText xml:space="preserve"> Hyman Minsky</w:instrText>
      </w:r>
      <w:r w:rsidR="00FB4BC9">
        <w:instrText xml:space="preserve">" </w:instrText>
      </w:r>
      <w:r w:rsidR="001858B5">
        <w:rPr>
          <w:rFonts w:cs="Times New Roman"/>
        </w:rPr>
        <w:fldChar w:fldCharType="end"/>
      </w:r>
      <w:r w:rsidR="001858B5">
        <w:rPr>
          <w:rFonts w:cs="Times New Roman"/>
        </w:rPr>
        <w:fldChar w:fldCharType="begin"/>
      </w:r>
      <w:r w:rsidR="00FB4BC9">
        <w:instrText xml:space="preserve"> XE "</w:instrText>
      </w:r>
      <w:r w:rsidR="00FB4BC9" w:rsidRPr="003C26F1">
        <w:rPr>
          <w:rFonts w:cs="Times New Roman"/>
        </w:rPr>
        <w:instrText>Minsky Moment</w:instrText>
      </w:r>
      <w:r w:rsidR="00FB4BC9">
        <w:instrText xml:space="preserve">" </w:instrText>
      </w:r>
      <w:r w:rsidR="001858B5">
        <w:rPr>
          <w:rFonts w:cs="Times New Roman"/>
        </w:rPr>
        <w:fldChar w:fldCharType="end"/>
      </w:r>
      <w:r w:rsidR="00823F50" w:rsidRPr="00124B71">
        <w:rPr>
          <w:rFonts w:cs="Times New Roman"/>
        </w:rPr>
        <w:t>” when borrowers must liquidate assets to pay off debts which in turn lowers asset prices and creates more margin calls and even more asset liquidation.</w:t>
      </w:r>
      <w:r w:rsidR="0035183E" w:rsidRPr="00124B71">
        <w:rPr>
          <w:rStyle w:val="EndnoteReference"/>
          <w:rFonts w:cs="Times New Roman"/>
        </w:rPr>
        <w:t xml:space="preserve"> </w:t>
      </w:r>
      <w:r w:rsidR="0035183E" w:rsidRPr="00124B71">
        <w:rPr>
          <w:rStyle w:val="EndnoteReference"/>
          <w:rFonts w:cs="Times New Roman"/>
        </w:rPr>
        <w:endnoteReference w:id="114"/>
      </w:r>
      <w:r w:rsidR="00823F50" w:rsidRPr="00124B71">
        <w:rPr>
          <w:rFonts w:cs="Times New Roman"/>
        </w:rPr>
        <w:t xml:space="preserve"> </w:t>
      </w:r>
      <w:r w:rsidRPr="00124B71">
        <w:rPr>
          <w:rFonts w:cs="Times New Roman"/>
        </w:rPr>
        <w:t>At some point, the debt bec</w:t>
      </w:r>
      <w:r w:rsidR="00823F50" w:rsidRPr="00124B71">
        <w:rPr>
          <w:rFonts w:cs="Times New Roman"/>
        </w:rPr>
        <w:t>o</w:t>
      </w:r>
      <w:r w:rsidRPr="00124B71">
        <w:rPr>
          <w:rFonts w:cs="Times New Roman"/>
        </w:rPr>
        <w:t>me</w:t>
      </w:r>
      <w:r w:rsidR="00823F50" w:rsidRPr="00124B71">
        <w:rPr>
          <w:rFonts w:cs="Times New Roman"/>
        </w:rPr>
        <w:t>s</w:t>
      </w:r>
      <w:r w:rsidRPr="00124B71">
        <w:rPr>
          <w:rFonts w:cs="Times New Roman"/>
        </w:rPr>
        <w:t xml:space="preserve"> so large that no lender </w:t>
      </w:r>
      <w:r w:rsidR="008D6515" w:rsidRPr="00124B71">
        <w:rPr>
          <w:rFonts w:cs="Times New Roman"/>
        </w:rPr>
        <w:t>is</w:t>
      </w:r>
      <w:r w:rsidRPr="00124B71">
        <w:rPr>
          <w:rFonts w:cs="Times New Roman"/>
        </w:rPr>
        <w:t xml:space="preserve"> willing to loan more money, no greater fool </w:t>
      </w:r>
      <w:r w:rsidR="008D6515" w:rsidRPr="00124B71">
        <w:rPr>
          <w:rFonts w:cs="Times New Roman"/>
        </w:rPr>
        <w:t>can</w:t>
      </w:r>
      <w:r w:rsidRPr="00124B71">
        <w:rPr>
          <w:rFonts w:cs="Times New Roman"/>
        </w:rPr>
        <w:t xml:space="preserve"> be found to bail them out, and the whole system </w:t>
      </w:r>
      <w:r w:rsidR="008D6515" w:rsidRPr="00124B71">
        <w:rPr>
          <w:rFonts w:cs="Times New Roman"/>
        </w:rPr>
        <w:t>comes</w:t>
      </w:r>
      <w:r w:rsidRPr="00124B71">
        <w:rPr>
          <w:rFonts w:cs="Times New Roman"/>
        </w:rPr>
        <w:t xml:space="preserve"> crashing down. However, while the debt was building, the debtor </w:t>
      </w:r>
      <w:r w:rsidR="008D6515" w:rsidRPr="00124B71">
        <w:rPr>
          <w:rFonts w:cs="Times New Roman"/>
        </w:rPr>
        <w:t>becomes</w:t>
      </w:r>
      <w:r w:rsidRPr="00124B71">
        <w:rPr>
          <w:rFonts w:cs="Times New Roman"/>
        </w:rPr>
        <w:t xml:space="preserve"> accustomed to a certain lifestyle and level of spending. When the credit </w:t>
      </w:r>
      <w:r w:rsidR="008D6515" w:rsidRPr="00124B71">
        <w:rPr>
          <w:rFonts w:cs="Times New Roman"/>
        </w:rPr>
        <w:t>is</w:t>
      </w:r>
      <w:r w:rsidRPr="00124B71">
        <w:rPr>
          <w:rFonts w:cs="Times New Roman"/>
        </w:rPr>
        <w:t xml:space="preserve"> cut off, the debtor </w:t>
      </w:r>
      <w:r w:rsidR="008D6515" w:rsidRPr="00124B71">
        <w:rPr>
          <w:rFonts w:cs="Times New Roman"/>
        </w:rPr>
        <w:t>can</w:t>
      </w:r>
      <w:r w:rsidRPr="00124B71">
        <w:rPr>
          <w:rFonts w:cs="Times New Roman"/>
        </w:rPr>
        <w:t xml:space="preserve"> no longer spend, and a great deal of suffering ensue</w:t>
      </w:r>
      <w:r w:rsidR="008D6515" w:rsidRPr="00124B71">
        <w:rPr>
          <w:rFonts w:cs="Times New Roman"/>
        </w:rPr>
        <w:t>s</w:t>
      </w:r>
      <w:r w:rsidRPr="00124B71">
        <w:rPr>
          <w:rFonts w:cs="Times New Roman"/>
        </w:rPr>
        <w:t xml:space="preserve">. This </w:t>
      </w:r>
      <w:r w:rsidR="008D6515" w:rsidRPr="00124B71">
        <w:rPr>
          <w:rFonts w:cs="Times New Roman"/>
        </w:rPr>
        <w:t>is</w:t>
      </w:r>
      <w:r w:rsidRPr="00124B71">
        <w:rPr>
          <w:rFonts w:cs="Times New Roman"/>
        </w:rPr>
        <w:t xml:space="preserve"> Armageddon for debtors: the spending stop</w:t>
      </w:r>
      <w:r w:rsidR="008D6515" w:rsidRPr="00124B71">
        <w:rPr>
          <w:rFonts w:cs="Times New Roman"/>
        </w:rPr>
        <w:t>s</w:t>
      </w:r>
      <w:r w:rsidRPr="00124B71">
        <w:rPr>
          <w:rFonts w:cs="Times New Roman"/>
        </w:rPr>
        <w:t xml:space="preserve">, they </w:t>
      </w:r>
      <w:r w:rsidR="008D6515" w:rsidRPr="00124B71">
        <w:rPr>
          <w:rFonts w:cs="Times New Roman"/>
        </w:rPr>
        <w:t>lose</w:t>
      </w:r>
      <w:r w:rsidRPr="00124B71">
        <w:rPr>
          <w:rFonts w:cs="Times New Roman"/>
        </w:rPr>
        <w:t xml:space="preserve"> their homes and with it their illusion of wealth, and they definitely </w:t>
      </w:r>
      <w:r w:rsidR="008D6515" w:rsidRPr="00124B71">
        <w:rPr>
          <w:rFonts w:cs="Times New Roman"/>
        </w:rPr>
        <w:t>are</w:t>
      </w:r>
      <w:r w:rsidRPr="00124B71">
        <w:rPr>
          <w:rFonts w:cs="Times New Roman"/>
        </w:rPr>
        <w:t xml:space="preserve"> </w:t>
      </w:r>
      <w:r w:rsidRPr="00124B71">
        <w:rPr>
          <w:rFonts w:cs="Times New Roman"/>
          <w:bCs/>
        </w:rPr>
        <w:t>not</w:t>
      </w:r>
      <w:r w:rsidRPr="00124B71">
        <w:rPr>
          <w:rFonts w:cs="Times New Roman"/>
        </w:rPr>
        <w:t xml:space="preserve"> enjoying life. The cause of all the weeping and gnashing of teeth </w:t>
      </w:r>
      <w:r w:rsidR="008D6515" w:rsidRPr="00124B71">
        <w:rPr>
          <w:rFonts w:cs="Times New Roman"/>
        </w:rPr>
        <w:t>is</w:t>
      </w:r>
      <w:r w:rsidRPr="00124B71">
        <w:rPr>
          <w:rFonts w:cs="Times New Roman"/>
        </w:rPr>
        <w:t xml:space="preserve"> not an exogenous event, but rather a direct result of the circumstances they themselves created.</w:t>
      </w:r>
    </w:p>
    <w:p w14:paraId="25CA3FBF" w14:textId="77777777" w:rsidR="00F64AE8" w:rsidRPr="00EF0EDA" w:rsidRDefault="00F64AE8" w:rsidP="005734DF">
      <w:pPr>
        <w:pStyle w:val="Heading3"/>
      </w:pPr>
      <w:bookmarkStart w:id="169" w:name="_Toc238867371"/>
      <w:r w:rsidRPr="00EF0EDA">
        <w:t>The California Social Contract</w:t>
      </w:r>
      <w:bookmarkEnd w:id="169"/>
    </w:p>
    <w:p w14:paraId="5AFC496B" w14:textId="77777777" w:rsidR="00F64AE8" w:rsidRPr="00124B71" w:rsidRDefault="00F64AE8" w:rsidP="005734DF">
      <w:pPr>
        <w:rPr>
          <w:rFonts w:cs="Times New Roman"/>
        </w:rPr>
      </w:pPr>
      <w:r w:rsidRPr="00124B71">
        <w:rPr>
          <w:rFonts w:cs="Times New Roman"/>
        </w:rPr>
        <w:t xml:space="preserve">Satire is often more revealing than detailed explanations. The pathology of a collection of beliefs becomes apparent when </w:t>
      </w:r>
      <w:r w:rsidR="008219F4" w:rsidRPr="00124B71">
        <w:rPr>
          <w:rFonts w:cs="Times New Roman"/>
        </w:rPr>
        <w:t xml:space="preserve">the </w:t>
      </w:r>
      <w:r w:rsidRPr="00124B71">
        <w:rPr>
          <w:rFonts w:cs="Times New Roman"/>
        </w:rPr>
        <w:t xml:space="preserve">natural end result of a group of people acting on those beliefs is an absurd contradiction and an obviously unsustainable state. The following is a satirical essay written from the point of </w:t>
      </w:r>
      <w:r w:rsidRPr="00124B71">
        <w:rPr>
          <w:rFonts w:cs="Times New Roman"/>
        </w:rPr>
        <w:lastRenderedPageBreak/>
        <w:t xml:space="preserve">view of a desperate </w:t>
      </w:r>
      <w:r w:rsidR="00EE7CAE" w:rsidRPr="00124B71">
        <w:rPr>
          <w:rFonts w:cs="Times New Roman"/>
        </w:rPr>
        <w:t>homeowner</w:t>
      </w:r>
      <w:r w:rsidRPr="00124B71">
        <w:rPr>
          <w:rFonts w:cs="Times New Roman"/>
        </w:rPr>
        <w:t xml:space="preserve"> trying to sustain the Ponzi Scheme</w:t>
      </w:r>
      <w:r w:rsidR="001858B5">
        <w:rPr>
          <w:rFonts w:cs="Times New Roman"/>
        </w:rPr>
        <w:fldChar w:fldCharType="begin"/>
      </w:r>
      <w:r w:rsidR="00FB4BC9">
        <w:instrText xml:space="preserve"> XE "</w:instrText>
      </w:r>
      <w:r w:rsidR="00FB4BC9" w:rsidRPr="00846241">
        <w:rPr>
          <w:rFonts w:cs="Times New Roman"/>
        </w:rPr>
        <w:instrText>Ponzi Scheme</w:instrText>
      </w:r>
      <w:r w:rsidR="00FB4BC9">
        <w:instrText xml:space="preserve">" </w:instrText>
      </w:r>
      <w:r w:rsidR="001858B5">
        <w:rPr>
          <w:rFonts w:cs="Times New Roman"/>
        </w:rPr>
        <w:fldChar w:fldCharType="end"/>
      </w:r>
      <w:r w:rsidRPr="00124B71">
        <w:rPr>
          <w:rFonts w:cs="Times New Roman"/>
        </w:rPr>
        <w:t xml:space="preserve"> of the Great Housing Bubble:</w:t>
      </w:r>
    </w:p>
    <w:p w14:paraId="1B996F35" w14:textId="77777777" w:rsidR="00F64AE8" w:rsidRPr="00124B71" w:rsidRDefault="00F64AE8" w:rsidP="00BA74F6">
      <w:pPr>
        <w:ind w:left="720"/>
        <w:rPr>
          <w:rFonts w:cs="Times New Roman"/>
        </w:rPr>
      </w:pPr>
      <w:r w:rsidRPr="00124B71">
        <w:rPr>
          <w:rFonts w:cs="Times New Roman"/>
        </w:rPr>
        <w:t>You fence-sitters are failing to fulfill your part of the California Social Contract. Your failure to continue buying homes is disrupting the social order, and it is causing those of us who bought before you psychological, emotional and financial damage. It is time for you to get off the fence and buy</w:t>
      </w:r>
      <w:r w:rsidR="007C469A">
        <w:rPr>
          <w:rFonts w:cs="Times New Roman"/>
        </w:rPr>
        <w:t>–</w:t>
      </w:r>
      <w:r w:rsidRPr="00124B71">
        <w:rPr>
          <w:rFonts w:cs="Times New Roman"/>
        </w:rPr>
        <w:t>NOW!!!</w:t>
      </w:r>
    </w:p>
    <w:p w14:paraId="684BF5DB" w14:textId="77777777" w:rsidR="00F64AE8" w:rsidRPr="00124B71" w:rsidRDefault="00F64AE8" w:rsidP="00BA74F6">
      <w:pPr>
        <w:ind w:left="720"/>
        <w:rPr>
          <w:rFonts w:cs="Times New Roman"/>
        </w:rPr>
      </w:pPr>
      <w:r w:rsidRPr="00124B71">
        <w:rPr>
          <w:rFonts w:cs="Times New Roman"/>
        </w:rPr>
        <w:t>In any social contract, you give up something personally for the greater good. When those of us who bought before you purchased our homes, we had to commit unrealistic percentages of our income to housing, lie on mortgage applications, and take out financing on unstable mortgage terms in order to do our part for the continuing social good. We made these sacrifices willingly because the benefits of maintaining the social contract are worth the price we paid. Look what those who bought before us received in return:</w:t>
      </w:r>
    </w:p>
    <w:p w14:paraId="4523B5D7" w14:textId="77777777" w:rsidR="00F64AE8" w:rsidRPr="00EF0EDA" w:rsidRDefault="00F64AE8" w:rsidP="00BA74F6">
      <w:pPr>
        <w:pStyle w:val="ListParagraph"/>
        <w:numPr>
          <w:ilvl w:val="0"/>
          <w:numId w:val="17"/>
        </w:numPr>
        <w:ind w:left="1440"/>
      </w:pPr>
      <w:r w:rsidRPr="00EF0EDA">
        <w:t>Dramatic increases in wealth through home equity</w:t>
      </w:r>
      <w:r w:rsidR="001858B5">
        <w:fldChar w:fldCharType="begin"/>
      </w:r>
      <w:r w:rsidR="00FA2AEF">
        <w:instrText xml:space="preserve"> XE "</w:instrText>
      </w:r>
      <w:r w:rsidR="00FA2AEF" w:rsidRPr="008D3E1B">
        <w:rPr>
          <w:rFonts w:cs="Times New Roman"/>
        </w:rPr>
        <w:instrText>equity</w:instrText>
      </w:r>
      <w:r w:rsidR="00FA2AEF">
        <w:instrText xml:space="preserve">" </w:instrText>
      </w:r>
      <w:r w:rsidR="001858B5">
        <w:fldChar w:fldCharType="end"/>
      </w:r>
      <w:r w:rsidRPr="00EF0EDA">
        <w:t>. I think we can all agree this is desirable. You want to be rich, right?</w:t>
      </w:r>
    </w:p>
    <w:p w14:paraId="0603C66F" w14:textId="77777777" w:rsidR="00F64AE8" w:rsidRPr="00EF0EDA" w:rsidRDefault="00F64AE8" w:rsidP="00BA74F6">
      <w:pPr>
        <w:pStyle w:val="ListParagraph"/>
        <w:numPr>
          <w:ilvl w:val="0"/>
          <w:numId w:val="17"/>
        </w:numPr>
        <w:ind w:left="1440"/>
      </w:pPr>
      <w:r w:rsidRPr="00EF0EDA">
        <w:t>The ability to spend more than what is earned through productive activities like work. Think of all the BMWs, Mercedes, vacations to Maui, Coach Bags, designer jeans, Rolex watches and other items purchased with home equity</w:t>
      </w:r>
      <w:r w:rsidR="001858B5">
        <w:fldChar w:fldCharType="begin"/>
      </w:r>
      <w:r w:rsidR="00FA2AEF">
        <w:instrText xml:space="preserve"> XE "</w:instrText>
      </w:r>
      <w:r w:rsidR="00FA2AEF" w:rsidRPr="008D3E1B">
        <w:rPr>
          <w:rFonts w:cs="Times New Roman"/>
        </w:rPr>
        <w:instrText>equity</w:instrText>
      </w:r>
      <w:r w:rsidR="00FA2AEF">
        <w:instrText xml:space="preserve">" </w:instrText>
      </w:r>
      <w:r w:rsidR="001858B5">
        <w:fldChar w:fldCharType="end"/>
      </w:r>
      <w:r w:rsidRPr="00EF0EDA">
        <w:t xml:space="preserve"> </w:t>
      </w:r>
      <w:r w:rsidR="001858B5">
        <w:fldChar w:fldCharType="begin"/>
      </w:r>
      <w:r w:rsidR="00FA2AEF">
        <w:instrText xml:space="preserve"> XE "</w:instrText>
      </w:r>
      <w:r w:rsidR="00FA2AEF" w:rsidRPr="006C558D">
        <w:rPr>
          <w:rFonts w:cs="Times New Roman"/>
        </w:rPr>
        <w:instrText>home equity lines of credit</w:instrText>
      </w:r>
      <w:r w:rsidR="00FA2AEF">
        <w:instrText xml:space="preserve">" </w:instrText>
      </w:r>
      <w:r w:rsidR="001858B5">
        <w:fldChar w:fldCharType="end"/>
      </w:r>
      <w:r w:rsidRPr="00EF0EDA">
        <w:t>lines of credit. You want to double your spending power, right?</w:t>
      </w:r>
    </w:p>
    <w:p w14:paraId="59E0552F" w14:textId="77777777" w:rsidR="00F64AE8" w:rsidRPr="00EF0EDA" w:rsidRDefault="00F64AE8" w:rsidP="00BA74F6">
      <w:pPr>
        <w:pStyle w:val="ListParagraph"/>
        <w:numPr>
          <w:ilvl w:val="0"/>
          <w:numId w:val="17"/>
        </w:numPr>
        <w:ind w:left="1440"/>
      </w:pPr>
      <w:r w:rsidRPr="00EF0EDA">
        <w:t>The ability to buy furniture and home improvements without saving or spending income. Your house should be a self-sustaining asset which provides the ability to maintain itself with perpetual appreciation</w:t>
      </w:r>
      <w:r w:rsidR="001858B5">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fldChar w:fldCharType="end"/>
      </w:r>
      <w:r w:rsidRPr="00EF0EDA">
        <w:t>. Who would not want that?</w:t>
      </w:r>
    </w:p>
    <w:p w14:paraId="0E30C325" w14:textId="77777777" w:rsidR="00F64AE8" w:rsidRPr="00124B71" w:rsidRDefault="00F64AE8" w:rsidP="00BA74F6">
      <w:pPr>
        <w:ind w:left="720"/>
        <w:rPr>
          <w:rFonts w:cs="Times New Roman"/>
        </w:rPr>
      </w:pPr>
      <w:r w:rsidRPr="00124B71">
        <w:rPr>
          <w:rFonts w:cs="Times New Roman"/>
        </w:rPr>
        <w:t xml:space="preserve">We provided all of this to the buyers who came before us, and all we ask is that you do the same for us. Is not this a fair bargain? You want the same for yourself, right? If you do this, the next generation of buyers will learn from your example, and they </w:t>
      </w:r>
      <w:r w:rsidR="008D6515" w:rsidRPr="00124B71">
        <w:rPr>
          <w:rFonts w:cs="Times New Roman"/>
        </w:rPr>
        <w:t xml:space="preserve">will </w:t>
      </w:r>
      <w:r w:rsidRPr="00124B71">
        <w:rPr>
          <w:rFonts w:cs="Times New Roman"/>
        </w:rPr>
        <w:t>be willing to do the same</w:t>
      </w:r>
      <w:r w:rsidR="008531E1" w:rsidRPr="00124B71">
        <w:rPr>
          <w:rFonts w:cs="Times New Roman"/>
        </w:rPr>
        <w:t>.</w:t>
      </w:r>
    </w:p>
    <w:p w14:paraId="7FBB1876" w14:textId="77777777" w:rsidR="00F64AE8" w:rsidRPr="00124B71" w:rsidRDefault="00F64AE8" w:rsidP="00BA74F6">
      <w:pPr>
        <w:ind w:left="720"/>
        <w:rPr>
          <w:rFonts w:cs="Times New Roman"/>
        </w:rPr>
      </w:pPr>
      <w:r w:rsidRPr="00124B71">
        <w:rPr>
          <w:rFonts w:cs="Times New Roman"/>
        </w:rPr>
        <w:t>Some have argued it is our fault that the social contract is falling apart. If we recent homebuyers had simply made our payments, the contract would not have been broken. This is rubbish. The lenders failed us. They knew we could not make those payments when we took out the loans. They knew we were not truthful on our loan applications. They knew they were going to have to provide opportunities for serial refinancing of ever increasing amounts of debt. They failed us. They are the ones who broke the social contract, not us.</w:t>
      </w:r>
    </w:p>
    <w:p w14:paraId="47A665A5" w14:textId="77777777" w:rsidR="00F64AE8" w:rsidRPr="00124B71" w:rsidRDefault="00F64AE8" w:rsidP="00BA74F6">
      <w:pPr>
        <w:ind w:left="720"/>
        <w:rPr>
          <w:rFonts w:cs="Times New Roman"/>
        </w:rPr>
      </w:pPr>
      <w:r w:rsidRPr="00124B71">
        <w:rPr>
          <w:rFonts w:cs="Times New Roman"/>
        </w:rPr>
        <w:t>The tightening of credit just means you will have to make more significant sacrifices to keep the social contract. You may need to borrow money from family members or solicit larger gifts. You may need to become more creative in your attempts to inflate your income or assets. All we had to do was sign some fraudulent paperwork, but you may have to forge some documents or buy a seasoned credit line or find a hard-money lender who does not record the debt (loan sharks</w:t>
      </w:r>
      <w:r w:rsidR="00A40CA5" w:rsidRPr="00124B71">
        <w:rPr>
          <w:rFonts w:cs="Times New Roman"/>
        </w:rPr>
        <w:t>).</w:t>
      </w:r>
      <w:r w:rsidRPr="00124B71">
        <w:rPr>
          <w:rFonts w:cs="Times New Roman"/>
        </w:rPr>
        <w:t xml:space="preserve"> </w:t>
      </w:r>
      <w:r w:rsidRPr="00124B71">
        <w:rPr>
          <w:rFonts w:cs="Times New Roman"/>
        </w:rPr>
        <w:lastRenderedPageBreak/>
        <w:t xml:space="preserve">It is going to be tough, but look at the benefits listed above. Is </w:t>
      </w:r>
      <w:r w:rsidR="008531E1" w:rsidRPr="00124B71">
        <w:rPr>
          <w:rFonts w:cs="Times New Roman"/>
        </w:rPr>
        <w:t xml:space="preserve">it </w:t>
      </w:r>
      <w:r w:rsidRPr="00124B71">
        <w:rPr>
          <w:rFonts w:cs="Times New Roman"/>
        </w:rPr>
        <w:t>not worth the sacrifice?</w:t>
      </w:r>
    </w:p>
    <w:p w14:paraId="559651AB" w14:textId="77777777" w:rsidR="00F64AE8" w:rsidRPr="00124B71" w:rsidRDefault="00F64AE8" w:rsidP="00BA74F6">
      <w:pPr>
        <w:ind w:left="720"/>
        <w:rPr>
          <w:rFonts w:cs="Times New Roman"/>
        </w:rPr>
      </w:pPr>
      <w:r w:rsidRPr="00124B71">
        <w:rPr>
          <w:rFonts w:cs="Times New Roman"/>
        </w:rPr>
        <w:t>It is time for you to buy now. Trees really can grow to the sky; prices really can go up forever</w:t>
      </w:r>
      <w:r w:rsidR="007C469A">
        <w:rPr>
          <w:rFonts w:cs="Times New Roman"/>
        </w:rPr>
        <w:t>–</w:t>
      </w:r>
      <w:r w:rsidRPr="00124B71">
        <w:rPr>
          <w:rFonts w:cs="Times New Roman"/>
        </w:rPr>
        <w:t>if you hold up your end of the California Social Contract. To paraphrase Winston Churchill</w:t>
      </w:r>
      <w:r w:rsidR="001858B5">
        <w:rPr>
          <w:rFonts w:cs="Times New Roman"/>
        </w:rPr>
        <w:fldChar w:fldCharType="begin"/>
      </w:r>
      <w:r w:rsidR="00FB4BC9">
        <w:instrText xml:space="preserve"> XE "</w:instrText>
      </w:r>
      <w:r w:rsidR="00FB4BC9" w:rsidRPr="00DA3BC8">
        <w:rPr>
          <w:rFonts w:cs="Times New Roman"/>
        </w:rPr>
        <w:instrText>Winston Churchill</w:instrText>
      </w:r>
      <w:r w:rsidR="00FB4BC9">
        <w:instrText xml:space="preserve">" </w:instrText>
      </w:r>
      <w:r w:rsidR="001858B5">
        <w:rPr>
          <w:rFonts w:cs="Times New Roman"/>
        </w:rPr>
        <w:fldChar w:fldCharType="end"/>
      </w:r>
      <w:r w:rsidRPr="00124B71">
        <w:rPr>
          <w:rFonts w:cs="Times New Roman"/>
        </w:rPr>
        <w:t xml:space="preserve">, </w:t>
      </w:r>
    </w:p>
    <w:p w14:paraId="02C7E817" w14:textId="77777777" w:rsidR="00F64AE8" w:rsidRPr="00124B71" w:rsidRDefault="00F64AE8" w:rsidP="00BA74F6">
      <w:pPr>
        <w:ind w:left="1440" w:firstLine="0"/>
        <w:rPr>
          <w:rFonts w:cs="Times New Roman"/>
        </w:rPr>
      </w:pPr>
      <w:r w:rsidRPr="00124B71">
        <w:rPr>
          <w:rFonts w:cs="Times New Roman"/>
        </w:rPr>
        <w:t>Let us therefore brace ourselves to our duties, and so bear ourselves that if the {California Social Contract} last for a thousand years, men will still say, ‘This was their finest hour.’</w:t>
      </w:r>
    </w:p>
    <w:p w14:paraId="4A1F5B19" w14:textId="77777777" w:rsidR="00DE27B2" w:rsidRPr="00124B71" w:rsidRDefault="00F64AE8" w:rsidP="00BA74F6">
      <w:pPr>
        <w:ind w:left="720"/>
        <w:rPr>
          <w:rFonts w:cs="Times New Roman"/>
        </w:rPr>
      </w:pPr>
      <w:r w:rsidRPr="00124B71">
        <w:rPr>
          <w:rFonts w:cs="Times New Roman"/>
        </w:rPr>
        <w:t>This is your chance to stand up for what is right and perpetuate a system that is beneficial to our society. History will remember what you do. Will you be the generation that lived up to its duties, or will this be the end of the world as we know it? You decide.</w:t>
      </w:r>
    </w:p>
    <w:p w14:paraId="2FF6B663" w14:textId="77777777" w:rsidR="0056372B" w:rsidRPr="00EF0EDA" w:rsidRDefault="0056372B" w:rsidP="00BA74F6">
      <w:pPr>
        <w:pStyle w:val="Heading2"/>
      </w:pPr>
      <w:bookmarkStart w:id="170" w:name="_Toc238867372"/>
      <w:r w:rsidRPr="00EF0EDA">
        <w:t>Bailouts and False Hopes</w:t>
      </w:r>
      <w:bookmarkEnd w:id="170"/>
    </w:p>
    <w:p w14:paraId="26BFB874" w14:textId="77777777" w:rsidR="008D6515" w:rsidRPr="00124B71" w:rsidRDefault="0056372B" w:rsidP="00AE5BC0">
      <w:pPr>
        <w:rPr>
          <w:rFonts w:cs="Times New Roman"/>
        </w:rPr>
      </w:pPr>
      <w:r w:rsidRPr="00124B71">
        <w:rPr>
          <w:rFonts w:cs="Times New Roman"/>
        </w:rPr>
        <w:t>One of the more interesting phenomen</w:t>
      </w:r>
      <w:r w:rsidR="008531E1" w:rsidRPr="00124B71">
        <w:rPr>
          <w:rFonts w:cs="Times New Roman"/>
        </w:rPr>
        <w:t>a</w:t>
      </w:r>
      <w:r w:rsidRPr="00124B71">
        <w:rPr>
          <w:rFonts w:cs="Times New Roman"/>
        </w:rPr>
        <w:t xml:space="preserve"> observed during the bubble was the perpetuation of denial with rumors of homeowner bailouts</w:t>
      </w:r>
      <w:r w:rsidR="001858B5">
        <w:rPr>
          <w:rFonts w:cs="Times New Roman"/>
        </w:rPr>
        <w:fldChar w:fldCharType="begin"/>
      </w:r>
      <w:r w:rsidR="001A53F8">
        <w:instrText xml:space="preserve"> XE "</w:instrText>
      </w:r>
      <w:r w:rsidR="001A53F8" w:rsidRPr="009808CE">
        <w:rPr>
          <w:rFonts w:cs="Times New Roman"/>
        </w:rPr>
        <w:instrText>bailouts</w:instrText>
      </w:r>
      <w:r w:rsidR="001A53F8">
        <w:instrText xml:space="preserve">" </w:instrText>
      </w:r>
      <w:r w:rsidR="001858B5">
        <w:rPr>
          <w:rFonts w:cs="Times New Roman"/>
        </w:rPr>
        <w:fldChar w:fldCharType="end"/>
      </w:r>
      <w:r w:rsidRPr="00124B71">
        <w:rPr>
          <w:rFonts w:cs="Times New Roman"/>
        </w:rPr>
        <w:t xml:space="preserve">. Many homeowners held out hope that if they could just keep current on their mortgage long enough, the government would come to their rescue in the form of a mandated bailout program. Part of this fantasy was not just that people could keep their homes, but that they could keep living their lifestyle as they did during the bubble. What few seemed to realize </w:t>
      </w:r>
      <w:r w:rsidR="008D6515" w:rsidRPr="00124B71">
        <w:rPr>
          <w:rFonts w:cs="Times New Roman"/>
        </w:rPr>
        <w:t>was</w:t>
      </w:r>
      <w:r w:rsidRPr="00124B71">
        <w:rPr>
          <w:rFonts w:cs="Times New Roman"/>
        </w:rPr>
        <w:t xml:space="preserve"> any government bailout program would be designed to benefit the lenders by keeping borrowers in a perpetual state of indentured servitude. With all their money going toward debt service payments, little was going to be left over </w:t>
      </w:r>
      <w:r w:rsidR="008531E1" w:rsidRPr="00124B71">
        <w:rPr>
          <w:rFonts w:cs="Times New Roman"/>
        </w:rPr>
        <w:t>for living</w:t>
      </w:r>
      <w:r w:rsidRPr="00124B71">
        <w:rPr>
          <w:rFonts w:cs="Times New Roman"/>
        </w:rPr>
        <w:t xml:space="preserve"> a life. </w:t>
      </w:r>
    </w:p>
    <w:p w14:paraId="2413EE5E" w14:textId="77777777" w:rsidR="00BA471A" w:rsidRPr="00124B71" w:rsidRDefault="00BA471A" w:rsidP="00BA471A">
      <w:pPr>
        <w:rPr>
          <w:rFonts w:cs="Times New Roman"/>
        </w:rPr>
      </w:pPr>
      <w:r w:rsidRPr="00124B71">
        <w:rPr>
          <w:rFonts w:cs="Times New Roman"/>
        </w:rPr>
        <w:t>All of these plans had benefits and drawbacks. One of the first problems was to clearly define who should be “bailed out.” The thought of bailing out speculators was not palatable to anyone except perhaps the speculators themselves, but with regular families behaving like speculators, separating the wheat from the chaff was not an easy task. If a family exaggerated their income to obtain more house than they could afford in hopes of capturing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did they deserve a bailout? The credit crisis that popped the Great Housing Bubble was one of solvency, and there was no way to effectively restructure payments when a borrower </w:t>
      </w:r>
      <w:r w:rsidR="00294C12" w:rsidRPr="00124B71">
        <w:rPr>
          <w:rFonts w:cs="Times New Roman"/>
        </w:rPr>
        <w:t xml:space="preserve">could </w:t>
      </w:r>
      <w:r w:rsidRPr="00124B71">
        <w:rPr>
          <w:rFonts w:cs="Times New Roman"/>
        </w:rPr>
        <w:t>not afford to pay the interest on the debt, and this was a very common circumstance. None of the bailout programs did much for those with stated</w:t>
      </w:r>
      <w:r w:rsidR="00294C12" w:rsidRPr="00124B71">
        <w:rPr>
          <w:rFonts w:cs="Times New Roman"/>
        </w:rPr>
        <w:t>-</w:t>
      </w:r>
      <w:r w:rsidRPr="00124B71">
        <w:rPr>
          <w:rFonts w:cs="Times New Roman"/>
        </w:rPr>
        <w:t>income</w:t>
      </w:r>
      <w:r w:rsidR="001858B5">
        <w:rPr>
          <w:rFonts w:cs="Times New Roman"/>
        </w:rPr>
        <w:fldChar w:fldCharType="begin"/>
      </w:r>
      <w:r w:rsidR="00FA2AEF">
        <w:instrText xml:space="preserve"> XE "</w:instrText>
      </w:r>
      <w:r w:rsidR="00FA2AEF" w:rsidRPr="004E3026">
        <w:rPr>
          <w:rFonts w:cs="Times New Roman"/>
        </w:rPr>
        <w:instrText>stated-income</w:instrText>
      </w:r>
      <w:r w:rsidR="00FA2AEF">
        <w:instrText xml:space="preserve">" </w:instrText>
      </w:r>
      <w:r w:rsidR="001858B5">
        <w:rPr>
          <w:rFonts w:cs="Times New Roman"/>
        </w:rPr>
        <w:fldChar w:fldCharType="end"/>
      </w:r>
      <w:r w:rsidRPr="00124B71">
        <w:rPr>
          <w:rFonts w:cs="Times New Roman"/>
        </w:rPr>
        <w:t xml:space="preserve"> (liar) loans,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loans, and others who are unable to make the payments</w:t>
      </w:r>
      <w:r w:rsidR="00A67621" w:rsidRPr="00124B71">
        <w:rPr>
          <w:rFonts w:cs="Times New Roman"/>
        </w:rPr>
        <w:t>, and since this was a significant portion of the housing inventory, none of these plans had any real hope of stopping the fall of prices in the housing market</w:t>
      </w:r>
      <w:r w:rsidRPr="00124B71">
        <w:rPr>
          <w:rFonts w:cs="Times New Roman"/>
        </w:rPr>
        <w:t xml:space="preserve">. </w:t>
      </w:r>
    </w:p>
    <w:p w14:paraId="2BAC56C7" w14:textId="77777777" w:rsidR="00BA471A" w:rsidRPr="00124B71" w:rsidRDefault="00BA471A" w:rsidP="00BA471A">
      <w:pPr>
        <w:rPr>
          <w:rFonts w:cs="Times New Roman"/>
        </w:rPr>
      </w:pPr>
      <w:r w:rsidRPr="00124B71">
        <w:rPr>
          <w:rFonts w:cs="Times New Roman"/>
        </w:rPr>
        <w:t xml:space="preserve"> The main problem with all of the plans is the moral hazard they created because those who did not participate in the bubble and</w:t>
      </w:r>
      <w:r w:rsidR="008531E1" w:rsidRPr="00124B71">
        <w:rPr>
          <w:rFonts w:cs="Times New Roman"/>
        </w:rPr>
        <w:t xml:space="preserve"> instead</w:t>
      </w:r>
      <w:r w:rsidRPr="00124B71">
        <w:rPr>
          <w:rFonts w:cs="Times New Roman"/>
        </w:rPr>
        <w:t xml:space="preserve"> behaved in a prudent manner would be penalized at the expense of those who were </w:t>
      </w:r>
      <w:r w:rsidR="008531E1" w:rsidRPr="00124B71">
        <w:rPr>
          <w:rFonts w:cs="Times New Roman"/>
        </w:rPr>
        <w:t>cavalier about</w:t>
      </w:r>
      <w:r w:rsidRPr="00124B71">
        <w:rPr>
          <w:rFonts w:cs="Times New Roman"/>
        </w:rPr>
        <w:t xml:space="preserve"> risk. In one form or another either through free market impacts or direct subsidies from the government paid by tax dollars, these bailout plans all asked the cautious to support the reckless</w:t>
      </w:r>
      <w:r w:rsidR="00495DA8" w:rsidRPr="00124B71">
        <w:rPr>
          <w:rFonts w:cs="Times New Roman"/>
        </w:rPr>
        <w:t>.</w:t>
      </w:r>
      <w:r w:rsidR="00932101" w:rsidRPr="00124B71">
        <w:rPr>
          <w:rFonts w:cs="Times New Roman"/>
        </w:rPr>
        <w:t xml:space="preserve"> </w:t>
      </w:r>
      <w:r w:rsidR="00410943" w:rsidRPr="00124B71">
        <w:rPr>
          <w:rStyle w:val="EndnoteReference"/>
          <w:rFonts w:cs="Times New Roman"/>
        </w:rPr>
        <w:endnoteReference w:id="115"/>
      </w:r>
      <w:r w:rsidR="0091507D" w:rsidRPr="00124B71">
        <w:rPr>
          <w:rFonts w:cs="Times New Roman"/>
        </w:rPr>
        <w:t xml:space="preserve"> </w:t>
      </w:r>
    </w:p>
    <w:p w14:paraId="0D89E6D7" w14:textId="77777777" w:rsidR="009516A5" w:rsidRPr="00124B71" w:rsidRDefault="00FD371B" w:rsidP="00AE5BC0">
      <w:pPr>
        <w:rPr>
          <w:rFonts w:cs="Times New Roman"/>
        </w:rPr>
      </w:pPr>
      <w:r w:rsidRPr="00124B71">
        <w:rPr>
          <w:rFonts w:cs="Times New Roman"/>
        </w:rPr>
        <w:lastRenderedPageBreak/>
        <w:t>Many of the</w:t>
      </w:r>
      <w:r w:rsidR="00243A15" w:rsidRPr="00124B71">
        <w:rPr>
          <w:rFonts w:cs="Times New Roman"/>
        </w:rPr>
        <w:t xml:space="preserve"> early</w:t>
      </w:r>
      <w:r w:rsidRPr="00124B71">
        <w:rPr>
          <w:rFonts w:cs="Times New Roman"/>
        </w:rPr>
        <w:t xml:space="preserve"> bailout plans called for changing the terms of the mortgage note. This might have been easy in the days when banks held mortgages in their own portfolios, but it was </w:t>
      </w:r>
      <w:r w:rsidR="0091507D" w:rsidRPr="00124B71">
        <w:rPr>
          <w:rFonts w:cs="Times New Roman"/>
        </w:rPr>
        <w:t>much more difficult</w:t>
      </w:r>
      <w:r w:rsidRPr="00124B71">
        <w:rPr>
          <w:rFonts w:cs="Times New Roman"/>
        </w:rPr>
        <w:t xml:space="preserve"> once these mortgages were bundled together in collateralized debt obligations and sold to parties all over the world. Even if it would have been possible to easily change the terms, the resulting turmoil in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Pr="00124B71">
        <w:rPr>
          <w:rFonts w:cs="Times New Roman"/>
        </w:rPr>
        <w:t xml:space="preserve"> would have caused higher mortgage interest rates. When an investor faces the risk of the government changing the terms of their contract, and these changes would not be in their favor, the investor would demand higher returns. Higher investor returns means higher mortgage interest rates which would raise the cost of borrowing. This was the opposite of what the government bail</w:t>
      </w:r>
      <w:r w:rsidR="00536BDC" w:rsidRPr="00124B71">
        <w:rPr>
          <w:rFonts w:cs="Times New Roman"/>
        </w:rPr>
        <w:t>out</w:t>
      </w:r>
      <w:r w:rsidRPr="00124B71">
        <w:rPr>
          <w:rFonts w:cs="Times New Roman"/>
        </w:rPr>
        <w:t xml:space="preserve"> plans were trying to accomplish.</w:t>
      </w:r>
    </w:p>
    <w:p w14:paraId="7E6971B6" w14:textId="77777777" w:rsidR="00790DD0" w:rsidRPr="00EF0EDA" w:rsidRDefault="00790DD0" w:rsidP="00790DD0">
      <w:pPr>
        <w:pStyle w:val="Heading3"/>
      </w:pPr>
      <w:bookmarkStart w:id="171" w:name="_Toc238867373"/>
      <w:r w:rsidRPr="00EF0EDA">
        <w:t>Hope Now</w:t>
      </w:r>
      <w:r w:rsidR="001858B5">
        <w:fldChar w:fldCharType="begin"/>
      </w:r>
      <w:r w:rsidR="00FB4BC9">
        <w:instrText xml:space="preserve"> XE "</w:instrText>
      </w:r>
      <w:r w:rsidR="00FB4BC9" w:rsidRPr="006B794A">
        <w:rPr>
          <w:rFonts w:cs="Times New Roman"/>
        </w:rPr>
        <w:instrText>Hope Now</w:instrText>
      </w:r>
      <w:r w:rsidR="00FB4BC9">
        <w:instrText xml:space="preserve">" </w:instrText>
      </w:r>
      <w:r w:rsidR="001858B5">
        <w:fldChar w:fldCharType="end"/>
      </w:r>
      <w:r w:rsidR="00FD371B" w:rsidRPr="00EF0EDA">
        <w:t>?</w:t>
      </w:r>
      <w:bookmarkEnd w:id="171"/>
    </w:p>
    <w:p w14:paraId="2E3C4862" w14:textId="77777777" w:rsidR="008D6515" w:rsidRPr="00124B71" w:rsidRDefault="008D6515" w:rsidP="00AE5BC0">
      <w:pPr>
        <w:rPr>
          <w:rFonts w:cs="Times New Roman"/>
        </w:rPr>
      </w:pPr>
      <w:r w:rsidRPr="00124B71">
        <w:rPr>
          <w:rFonts w:cs="Times New Roman"/>
        </w:rPr>
        <w:t>The firs</w:t>
      </w:r>
      <w:r w:rsidR="00DD1669" w:rsidRPr="00124B71">
        <w:rPr>
          <w:rFonts w:cs="Times New Roman"/>
        </w:rPr>
        <w:t>t of the numerous bailout programs was “Hope Now</w:t>
      </w:r>
      <w:r w:rsidR="001858B5">
        <w:rPr>
          <w:rFonts w:cs="Times New Roman"/>
        </w:rPr>
        <w:fldChar w:fldCharType="begin"/>
      </w:r>
      <w:r w:rsidR="00FB4BC9">
        <w:instrText xml:space="preserve"> XE "</w:instrText>
      </w:r>
      <w:r w:rsidR="00FB4BC9" w:rsidRPr="006B794A">
        <w:rPr>
          <w:rFonts w:cs="Times New Roman"/>
        </w:rPr>
        <w:instrText>Hope Now</w:instrText>
      </w:r>
      <w:r w:rsidR="00FB4BC9">
        <w:instrText xml:space="preserve">" </w:instrText>
      </w:r>
      <w:r w:rsidR="001858B5">
        <w:rPr>
          <w:rFonts w:cs="Times New Roman"/>
        </w:rPr>
        <w:fldChar w:fldCharType="end"/>
      </w:r>
      <w:r w:rsidR="00DD1669" w:rsidRPr="00124B71">
        <w:rPr>
          <w:rFonts w:cs="Times New Roman"/>
        </w:rPr>
        <w:t xml:space="preserve">” introduced in October of 2007. </w:t>
      </w:r>
      <w:r w:rsidR="00294C12" w:rsidRPr="00124B71">
        <w:rPr>
          <w:rFonts w:cs="Times New Roman"/>
        </w:rPr>
        <w:t xml:space="preserve">As the name suggests, Hope Now was sold to the general public as a reason for them to hang on and continue making crushing payments for as long as possible. It was a false hope, but even false hope gave </w:t>
      </w:r>
      <w:r w:rsidR="00EE7CAE" w:rsidRPr="00124B71">
        <w:rPr>
          <w:rFonts w:cs="Times New Roman"/>
        </w:rPr>
        <w:t>homeowners</w:t>
      </w:r>
      <w:r w:rsidR="00294C12" w:rsidRPr="00124B71">
        <w:rPr>
          <w:rFonts w:cs="Times New Roman"/>
        </w:rPr>
        <w:t xml:space="preserve"> a little emotional relief, and i</w:t>
      </w:r>
      <w:r w:rsidR="00A67621" w:rsidRPr="00124B71">
        <w:rPr>
          <w:rFonts w:cs="Times New Roman"/>
        </w:rPr>
        <w:t>t</w:t>
      </w:r>
      <w:r w:rsidR="00294C12" w:rsidRPr="00124B71">
        <w:rPr>
          <w:rFonts w:cs="Times New Roman"/>
        </w:rPr>
        <w:t xml:space="preserve"> provided a few more payments to the lenders. </w:t>
      </w:r>
      <w:r w:rsidR="00DD1669" w:rsidRPr="00124B71">
        <w:rPr>
          <w:rFonts w:cs="Times New Roman"/>
        </w:rPr>
        <w:t>According to their website, “HOPE NOW is a cooperative effort between counselors, investors, and lenders to maximize outreach efforts to homeowners in distress.”</w:t>
      </w:r>
      <w:r w:rsidR="00495DA8" w:rsidRPr="00124B71">
        <w:rPr>
          <w:rStyle w:val="EndnoteReference"/>
          <w:rFonts w:cs="Times New Roman"/>
        </w:rPr>
        <w:t xml:space="preserve"> </w:t>
      </w:r>
      <w:r w:rsidR="00495DA8" w:rsidRPr="00124B71">
        <w:rPr>
          <w:rStyle w:val="EndnoteReference"/>
          <w:rFonts w:cs="Times New Roman"/>
        </w:rPr>
        <w:endnoteReference w:id="116"/>
      </w:r>
      <w:r w:rsidR="00DD1669" w:rsidRPr="00124B71">
        <w:rPr>
          <w:rFonts w:cs="Times New Roman"/>
        </w:rPr>
        <w:t xml:space="preserve"> The plan was to streamline the process of negotiating workouts between lenders and borrowers to keep borrowers making payments and ostensibly to stop them from losing their homes. The emphasis was on making payments and maximizing investor value in collateralized debt obligations. </w:t>
      </w:r>
      <w:r w:rsidR="00294C12" w:rsidRPr="00124B71">
        <w:rPr>
          <w:rFonts w:cs="Times New Roman"/>
        </w:rPr>
        <w:t xml:space="preserve">Very few people benefited from the program, despite government claims to the contrary, and no rights or benefits were conferred to borrowers that they did not already contractually have. </w:t>
      </w:r>
      <w:r w:rsidR="00DD1669" w:rsidRPr="00124B71">
        <w:rPr>
          <w:rFonts w:cs="Times New Roman"/>
        </w:rPr>
        <w:t>There was much fanfare when it was first announced, but the program did far too little to have any impact on the housing market.</w:t>
      </w:r>
    </w:p>
    <w:p w14:paraId="59B1956B" w14:textId="0E51D573" w:rsidR="00DD1669" w:rsidRPr="00124B71" w:rsidRDefault="00DD1669" w:rsidP="00AE5BC0">
      <w:pPr>
        <w:rPr>
          <w:rFonts w:cs="Times New Roman"/>
        </w:rPr>
      </w:pPr>
      <w:r w:rsidRPr="00124B71">
        <w:rPr>
          <w:rFonts w:cs="Times New Roman"/>
        </w:rPr>
        <w:t>The next bailout was aimed directly at the lenders with the Super SIV</w:t>
      </w:r>
      <w:r w:rsidR="001858B5">
        <w:rPr>
          <w:rFonts w:cs="Times New Roman"/>
        </w:rPr>
        <w:fldChar w:fldCharType="begin"/>
      </w:r>
      <w:r w:rsidR="00FB4BC9">
        <w:instrText xml:space="preserve"> XE "</w:instrText>
      </w:r>
      <w:r w:rsidR="00FB4BC9" w:rsidRPr="005D3CF5">
        <w:rPr>
          <w:rFonts w:cs="Times New Roman"/>
        </w:rPr>
        <w:instrText>Super SIV</w:instrText>
      </w:r>
      <w:r w:rsidR="00FB4BC9">
        <w:instrText xml:space="preserve">" </w:instrText>
      </w:r>
      <w:r w:rsidR="001858B5">
        <w:rPr>
          <w:rFonts w:cs="Times New Roman"/>
        </w:rPr>
        <w:fldChar w:fldCharType="end"/>
      </w:r>
      <w:r w:rsidRPr="00124B71">
        <w:rPr>
          <w:rFonts w:cs="Times New Roman"/>
        </w:rPr>
        <w:t xml:space="preserve"> program</w:t>
      </w:r>
      <w:r w:rsidR="007110FA" w:rsidRPr="00124B71">
        <w:rPr>
          <w:rFonts w:cs="Times New Roman"/>
        </w:rPr>
        <w:t xml:space="preserve"> introduced in </w:t>
      </w:r>
      <w:r w:rsidR="00DE27B2" w:rsidRPr="00124B71">
        <w:rPr>
          <w:rFonts w:cs="Times New Roman"/>
        </w:rPr>
        <w:t>October</w:t>
      </w:r>
      <w:r w:rsidR="007110FA" w:rsidRPr="00124B71">
        <w:rPr>
          <w:rFonts w:cs="Times New Roman"/>
        </w:rPr>
        <w:t xml:space="preserve"> of 2007</w:t>
      </w:r>
      <w:r w:rsidR="00536BDC" w:rsidRPr="00124B71">
        <w:rPr>
          <w:rFonts w:cs="Times New Roman"/>
        </w:rPr>
        <w:t xml:space="preserve"> </w:t>
      </w:r>
      <w:sdt>
        <w:sdtPr>
          <w:rPr>
            <w:rFonts w:cs="Times New Roman"/>
          </w:rPr>
          <w:id w:val="59964104"/>
          <w:citation/>
        </w:sdtPr>
        <w:sdtContent>
          <w:r w:rsidR="001858B5" w:rsidRPr="00124B71">
            <w:rPr>
              <w:rFonts w:cs="Times New Roman"/>
            </w:rPr>
            <w:fldChar w:fldCharType="begin"/>
          </w:r>
          <w:r w:rsidR="00F43CEA" w:rsidRPr="00124B71">
            <w:rPr>
              <w:rFonts w:cs="Times New Roman"/>
            </w:rPr>
            <w:instrText xml:space="preserve"> CITATION Hen07 \l 1033 </w:instrText>
          </w:r>
          <w:r w:rsidR="001858B5" w:rsidRPr="00124B71">
            <w:rPr>
              <w:rFonts w:cs="Times New Roman"/>
            </w:rPr>
            <w:fldChar w:fldCharType="separate"/>
          </w:r>
          <w:r w:rsidR="007E3004" w:rsidRPr="007E3004">
            <w:rPr>
              <w:rFonts w:cs="Times New Roman"/>
              <w:noProof/>
            </w:rPr>
            <w:t>(Paulson, 2007)</w:t>
          </w:r>
          <w:r w:rsidR="001858B5" w:rsidRPr="00124B71">
            <w:rPr>
              <w:rFonts w:cs="Times New Roman"/>
            </w:rPr>
            <w:fldChar w:fldCharType="end"/>
          </w:r>
        </w:sdtContent>
      </w:sdt>
      <w:r w:rsidRPr="00124B71">
        <w:rPr>
          <w:rFonts w:cs="Times New Roman"/>
        </w:rPr>
        <w:t>. An SIV is a special investment vehicle</w:t>
      </w:r>
      <w:r w:rsidR="008219F4">
        <w:rPr>
          <w:rFonts w:cs="Times New Roman"/>
        </w:rPr>
        <w:t>. It</w:t>
      </w:r>
      <w:r w:rsidRPr="00124B71">
        <w:rPr>
          <w:rFonts w:cs="Times New Roman"/>
        </w:rPr>
        <w:t xml:space="preserve"> is an off-balance-sheet investment</w:t>
      </w:r>
      <w:r w:rsidR="001858B5">
        <w:rPr>
          <w:rFonts w:cs="Times New Roman"/>
        </w:rPr>
        <w:fldChar w:fldCharType="begin"/>
      </w:r>
      <w:r w:rsidR="00FB4BC9">
        <w:instrText xml:space="preserve"> XE "</w:instrText>
      </w:r>
      <w:r w:rsidR="00FB4BC9" w:rsidRPr="00AB2A74">
        <w:rPr>
          <w:rFonts w:cs="Times New Roman"/>
        </w:rPr>
        <w:instrText>off-balance-sheet investment</w:instrText>
      </w:r>
      <w:r w:rsidR="00FB4BC9">
        <w:instrText xml:space="preserve">" </w:instrText>
      </w:r>
      <w:r w:rsidR="001858B5">
        <w:rPr>
          <w:rFonts w:cs="Times New Roman"/>
        </w:rPr>
        <w:fldChar w:fldCharType="end"/>
      </w:r>
      <w:r w:rsidRPr="00124B71">
        <w:rPr>
          <w:rFonts w:cs="Times New Roman"/>
        </w:rPr>
        <w:t xml:space="preserve"> designed to hold investments a</w:t>
      </w:r>
      <w:r w:rsidR="00294C12" w:rsidRPr="00124B71">
        <w:rPr>
          <w:rFonts w:cs="Times New Roman"/>
        </w:rPr>
        <w:t xml:space="preserve"> company (usually a </w:t>
      </w:r>
      <w:r w:rsidRPr="00124B71">
        <w:rPr>
          <w:rFonts w:cs="Times New Roman"/>
        </w:rPr>
        <w:t>lender</w:t>
      </w:r>
      <w:r w:rsidR="00294C12" w:rsidRPr="00124B71">
        <w:rPr>
          <w:rFonts w:cs="Times New Roman"/>
        </w:rPr>
        <w:t>)</w:t>
      </w:r>
      <w:r w:rsidRPr="00124B71">
        <w:rPr>
          <w:rFonts w:cs="Times New Roman"/>
        </w:rPr>
        <w:t xml:space="preserve"> does not want to show on </w:t>
      </w:r>
      <w:r w:rsidR="00536BDC" w:rsidRPr="00124B71">
        <w:rPr>
          <w:rFonts w:cs="Times New Roman"/>
        </w:rPr>
        <w:t>its</w:t>
      </w:r>
      <w:r w:rsidRPr="00124B71">
        <w:rPr>
          <w:rFonts w:cs="Times New Roman"/>
        </w:rPr>
        <w:t xml:space="preserve"> </w:t>
      </w:r>
      <w:r w:rsidR="007110FA" w:rsidRPr="00124B71">
        <w:rPr>
          <w:rFonts w:cs="Times New Roman"/>
        </w:rPr>
        <w:t>own balance sheets. It is a smoke-and-mirrors device used primarily to get around regulations intended to stop lenders from taking excessive risk. The Super SIV program was intended to purchase assets from the troubled SIVs and provide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007110FA" w:rsidRPr="00124B71">
        <w:rPr>
          <w:rFonts w:cs="Times New Roman"/>
        </w:rPr>
        <w:t xml:space="preserve"> for lenders who desperately needed it. The problem with the Super SIV was simple: nobody wanted these assets. Moving </w:t>
      </w:r>
      <w:r w:rsidR="00294C12" w:rsidRPr="00124B71">
        <w:rPr>
          <w:rFonts w:cs="Times New Roman"/>
        </w:rPr>
        <w:t>bad mortgage paper</w:t>
      </w:r>
      <w:r w:rsidR="007110FA" w:rsidRPr="00124B71">
        <w:rPr>
          <w:rFonts w:cs="Times New Roman"/>
        </w:rPr>
        <w:t xml:space="preserve"> around was akin to rearranging the deck chairs on the Titanic. Few in the general public knew what this program was for, and even fewer cared. Most wanted to know their government was doing something to solve the problem, and the Super SIV announcement provided them with much wanted denial.</w:t>
      </w:r>
    </w:p>
    <w:p w14:paraId="0CBDFE18" w14:textId="77777777" w:rsidR="00812E9D" w:rsidRPr="00124B71" w:rsidRDefault="007110FA" w:rsidP="00812E9D">
      <w:pPr>
        <w:rPr>
          <w:rFonts w:cs="Times New Roman"/>
        </w:rPr>
      </w:pPr>
      <w:r w:rsidRPr="00124B71">
        <w:rPr>
          <w:rFonts w:cs="Times New Roman"/>
        </w:rPr>
        <w:t xml:space="preserve">In December of 2007, the government offered a more direct </w:t>
      </w:r>
      <w:r w:rsidR="00812E9D" w:rsidRPr="00124B71">
        <w:rPr>
          <w:rFonts w:cs="Times New Roman"/>
        </w:rPr>
        <w:t xml:space="preserve">homeowner bailout plan. The proposal was to freeze the interest rates on certain loans for </w:t>
      </w:r>
      <w:r w:rsidR="00812E9D" w:rsidRPr="00124B71">
        <w:rPr>
          <w:rFonts w:cs="Times New Roman"/>
        </w:rPr>
        <w:lastRenderedPageBreak/>
        <w:t>certain borrowers for five years. This was greeted as a panacea by all parties, and the beast of homeowner denial was fed once again. As with the Hope Now</w:t>
      </w:r>
      <w:r w:rsidR="001858B5">
        <w:rPr>
          <w:rFonts w:cs="Times New Roman"/>
        </w:rPr>
        <w:fldChar w:fldCharType="begin"/>
      </w:r>
      <w:r w:rsidR="00FB4BC9">
        <w:instrText xml:space="preserve"> XE "</w:instrText>
      </w:r>
      <w:r w:rsidR="00FB4BC9" w:rsidRPr="006B794A">
        <w:rPr>
          <w:rFonts w:cs="Times New Roman"/>
        </w:rPr>
        <w:instrText>Hope Now</w:instrText>
      </w:r>
      <w:r w:rsidR="00FB4BC9">
        <w:instrText xml:space="preserve">" </w:instrText>
      </w:r>
      <w:r w:rsidR="001858B5">
        <w:rPr>
          <w:rFonts w:cs="Times New Roman"/>
        </w:rPr>
        <w:fldChar w:fldCharType="end"/>
      </w:r>
      <w:r w:rsidR="00812E9D" w:rsidRPr="00124B71">
        <w:rPr>
          <w:rFonts w:cs="Times New Roman"/>
        </w:rPr>
        <w:t xml:space="preserve"> program, few people qualified, and it did nothing to hold back the tide of increasing defaults and foreclosures.</w:t>
      </w:r>
      <w:r w:rsidR="00FD371B" w:rsidRPr="00124B71">
        <w:rPr>
          <w:rFonts w:cs="Times New Roman"/>
        </w:rPr>
        <w:t xml:space="preserve"> </w:t>
      </w:r>
      <w:r w:rsidR="00DD52DC" w:rsidRPr="00124B71">
        <w:rPr>
          <w:rFonts w:cs="Times New Roman"/>
        </w:rPr>
        <w:t xml:space="preserve">The denial was short lived, and this unnamed bailout plan </w:t>
      </w:r>
      <w:r w:rsidR="00FD371B" w:rsidRPr="00124B71">
        <w:rPr>
          <w:rFonts w:cs="Times New Roman"/>
        </w:rPr>
        <w:t>quickly fell from the headlines</w:t>
      </w:r>
      <w:r w:rsidR="00DD52DC" w:rsidRPr="00124B71">
        <w:rPr>
          <w:rFonts w:cs="Times New Roman"/>
        </w:rPr>
        <w:t>.</w:t>
      </w:r>
    </w:p>
    <w:p w14:paraId="6FC9987C" w14:textId="77777777" w:rsidR="00812E9D" w:rsidRPr="00124B71" w:rsidRDefault="00607517" w:rsidP="00812E9D">
      <w:pPr>
        <w:rPr>
          <w:rFonts w:cs="Times New Roman"/>
        </w:rPr>
      </w:pPr>
      <w:r>
        <w:rPr>
          <w:rFonts w:cs="Times New Roman"/>
        </w:rPr>
        <w:t>In</w:t>
      </w:r>
      <w:r w:rsidR="009D3278" w:rsidRPr="00124B71">
        <w:rPr>
          <w:rFonts w:cs="Times New Roman"/>
        </w:rPr>
        <w:t xml:space="preserve"> February of 2008 </w:t>
      </w:r>
      <w:r w:rsidR="005B17DF" w:rsidRPr="00124B71">
        <w:rPr>
          <w:rFonts w:cs="Times New Roman"/>
        </w:rPr>
        <w:t xml:space="preserve">Congress and the President signed </w:t>
      </w:r>
      <w:r w:rsidR="00790DD0" w:rsidRPr="00124B71">
        <w:rPr>
          <w:rFonts w:cs="Times New Roman"/>
        </w:rPr>
        <w:t>the</w:t>
      </w:r>
      <w:r w:rsidR="005B17DF" w:rsidRPr="00124B71">
        <w:rPr>
          <w:rFonts w:cs="Times New Roman"/>
        </w:rPr>
        <w:t xml:space="preserve"> </w:t>
      </w:r>
      <w:r w:rsidR="00790DD0" w:rsidRPr="00124B71">
        <w:rPr>
          <w:rFonts w:cs="Times New Roman"/>
        </w:rPr>
        <w:t>Economic Stimulus Act of 2008</w:t>
      </w:r>
      <w:r w:rsidR="001858B5">
        <w:rPr>
          <w:rFonts w:cs="Times New Roman"/>
        </w:rPr>
        <w:fldChar w:fldCharType="begin"/>
      </w:r>
      <w:r w:rsidR="00FB4BC9">
        <w:instrText xml:space="preserve"> XE "</w:instrText>
      </w:r>
      <w:r w:rsidR="00FB4BC9" w:rsidRPr="001C3FA6">
        <w:rPr>
          <w:rFonts w:cs="Times New Roman"/>
        </w:rPr>
        <w:instrText>Economic Stimulus Act of 2008</w:instrText>
      </w:r>
      <w:r w:rsidR="00FB4BC9">
        <w:instrText xml:space="preserve">" </w:instrText>
      </w:r>
      <w:r w:rsidR="001858B5">
        <w:rPr>
          <w:rFonts w:cs="Times New Roman"/>
        </w:rPr>
        <w:fldChar w:fldCharType="end"/>
      </w:r>
      <w:r w:rsidR="00790DD0" w:rsidRPr="00124B71">
        <w:rPr>
          <w:rFonts w:cs="Times New Roman"/>
          <w:lang w:bidi="ar-SA"/>
        </w:rPr>
        <w:t xml:space="preserve"> </w:t>
      </w:r>
      <w:r w:rsidR="005B17DF" w:rsidRPr="00124B71">
        <w:rPr>
          <w:rFonts w:cs="Times New Roman"/>
        </w:rPr>
        <w:t>temporarily increasing the conforming loan limit for Fannie Mae</w:t>
      </w:r>
      <w:r w:rsidR="001858B5">
        <w:rPr>
          <w:rFonts w:cs="Times New Roman"/>
        </w:rPr>
        <w:fldChar w:fldCharType="begin"/>
      </w:r>
      <w:r w:rsidR="00FF74AC">
        <w:instrText xml:space="preserve"> XE "</w:instrText>
      </w:r>
      <w:r w:rsidR="00FF74AC" w:rsidRPr="00354E50">
        <w:rPr>
          <w:rFonts w:cs="Times New Roman"/>
        </w:rPr>
        <w:instrText>Fannie Mae</w:instrText>
      </w:r>
      <w:r w:rsidR="00FF74AC">
        <w:instrText xml:space="preserve">" </w:instrText>
      </w:r>
      <w:r w:rsidR="001858B5">
        <w:rPr>
          <w:rFonts w:cs="Times New Roman"/>
        </w:rPr>
        <w:fldChar w:fldCharType="end"/>
      </w:r>
      <w:r w:rsidR="005B17DF" w:rsidRPr="00124B71">
        <w:rPr>
          <w:rFonts w:cs="Times New Roman"/>
        </w:rPr>
        <w:t xml:space="preserve"> and Freddie Mac</w:t>
      </w:r>
      <w:r w:rsidR="001858B5">
        <w:rPr>
          <w:rFonts w:cs="Times New Roman"/>
        </w:rPr>
        <w:fldChar w:fldCharType="begin"/>
      </w:r>
      <w:r w:rsidR="00FF74AC">
        <w:instrText xml:space="preserve"> XE "</w:instrText>
      </w:r>
      <w:r w:rsidR="00FF74AC" w:rsidRPr="00302EDC">
        <w:rPr>
          <w:rFonts w:cs="Times New Roman"/>
        </w:rPr>
        <w:instrText>Freddie Mac</w:instrText>
      </w:r>
      <w:r w:rsidR="00FF74AC">
        <w:instrText xml:space="preserve">" </w:instrText>
      </w:r>
      <w:r w:rsidR="001858B5">
        <w:rPr>
          <w:rFonts w:cs="Times New Roman"/>
        </w:rPr>
        <w:fldChar w:fldCharType="end"/>
      </w:r>
      <w:r w:rsidR="005B17DF" w:rsidRPr="00124B71">
        <w:rPr>
          <w:rFonts w:cs="Times New Roman"/>
        </w:rPr>
        <w:t>, the government sponsored entities (GSEs</w:t>
      </w:r>
      <w:r w:rsidR="001858B5">
        <w:rPr>
          <w:rFonts w:cs="Times New Roman"/>
        </w:rPr>
        <w:fldChar w:fldCharType="begin"/>
      </w:r>
      <w:r w:rsidR="00FF74AC">
        <w:instrText xml:space="preserve"> XE "</w:instrText>
      </w:r>
      <w:r w:rsidR="00FF74AC" w:rsidRPr="006043DC">
        <w:rPr>
          <w:rFonts w:cs="Times New Roman"/>
        </w:rPr>
        <w:instrText>GSEs</w:instrText>
      </w:r>
      <w:r w:rsidR="00FF74AC">
        <w:instrText xml:space="preserve">" </w:instrText>
      </w:r>
      <w:r w:rsidR="001858B5">
        <w:rPr>
          <w:rFonts w:cs="Times New Roman"/>
        </w:rPr>
        <w:fldChar w:fldCharType="end"/>
      </w:r>
      <w:r w:rsidR="005B17DF" w:rsidRPr="00124B71">
        <w:rPr>
          <w:rFonts w:cs="Times New Roman"/>
        </w:rPr>
        <w:t>) that maintain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005B17DF" w:rsidRPr="00124B71">
        <w:rPr>
          <w:rFonts w:cs="Times New Roman"/>
        </w:rPr>
        <w:t>. The GSEs provide insurance to mortgage backed securities, and by raising the conforming limit, the GSEs were able to insure large, so called “jumbo” loans. This enabled the holders of jumbo loans who were unable to sell these mortgages access to capital in the secondary market. All of this was seen as another reason for homeowners in severely inflated bubble markets to hope the government was going to rescue the housing market.</w:t>
      </w:r>
    </w:p>
    <w:p w14:paraId="23EBCEF9" w14:textId="77777777" w:rsidR="00790DD0" w:rsidRPr="00EF0EDA" w:rsidRDefault="00790DD0" w:rsidP="00790DD0">
      <w:pPr>
        <w:pStyle w:val="Heading3"/>
      </w:pPr>
      <w:bookmarkStart w:id="172" w:name="_Toc238867374"/>
      <w:r w:rsidRPr="00EF0EDA">
        <w:t>Forgiveness of Debt</w:t>
      </w:r>
      <w:bookmarkEnd w:id="172"/>
    </w:p>
    <w:p w14:paraId="286FFEF3" w14:textId="1F8CB20F" w:rsidR="00BA471A" w:rsidRPr="00124B71" w:rsidRDefault="00AC2C66" w:rsidP="00BA471A">
      <w:pPr>
        <w:rPr>
          <w:rFonts w:cs="Times New Roman"/>
        </w:rPr>
      </w:pPr>
      <w:r w:rsidRPr="00124B71">
        <w:rPr>
          <w:rFonts w:cs="Times New Roman"/>
        </w:rPr>
        <w:t>Perhaps the most outrageous suggestion put forth was the suggestion by the FED</w:t>
      </w:r>
      <w:r w:rsidR="001858B5">
        <w:rPr>
          <w:rFonts w:cs="Times New Roman"/>
        </w:rPr>
        <w:fldChar w:fldCharType="begin"/>
      </w:r>
      <w:r w:rsidR="005E6B29">
        <w:instrText xml:space="preserve"> XE "</w:instrText>
      </w:r>
      <w:r w:rsidR="005E6B29" w:rsidRPr="00A95B0B">
        <w:rPr>
          <w:rFonts w:cs="Times New Roman"/>
        </w:rPr>
        <w:instrText>FED</w:instrText>
      </w:r>
      <w:r w:rsidR="005E6B29">
        <w:instrText xml:space="preserve">" </w:instrText>
      </w:r>
      <w:r w:rsidR="001858B5">
        <w:rPr>
          <w:rFonts w:cs="Times New Roman"/>
        </w:rPr>
        <w:fldChar w:fldCharType="end"/>
      </w:r>
      <w:r w:rsidRPr="00124B71">
        <w:rPr>
          <w:rFonts w:cs="Times New Roman"/>
        </w:rPr>
        <w:t xml:space="preserve"> Chairman Ben Bernanke</w:t>
      </w:r>
      <w:r w:rsidR="001858B5">
        <w:rPr>
          <w:rFonts w:cs="Times New Roman"/>
        </w:rPr>
        <w:fldChar w:fldCharType="begin"/>
      </w:r>
      <w:r w:rsidR="00FB4BC9">
        <w:instrText xml:space="preserve"> XE "</w:instrText>
      </w:r>
      <w:r w:rsidR="00FB4BC9" w:rsidRPr="00EE313F">
        <w:rPr>
          <w:rFonts w:cs="Times New Roman"/>
        </w:rPr>
        <w:instrText>Ben Bernanke</w:instrText>
      </w:r>
      <w:r w:rsidR="00FB4BC9">
        <w:instrText xml:space="preserve">" </w:instrText>
      </w:r>
      <w:r w:rsidR="001858B5">
        <w:rPr>
          <w:rFonts w:cs="Times New Roman"/>
        </w:rPr>
        <w:fldChar w:fldCharType="end"/>
      </w:r>
      <w:r w:rsidRPr="00124B71">
        <w:rPr>
          <w:rFonts w:cs="Times New Roman"/>
        </w:rPr>
        <w:t xml:space="preserve"> when he proposed lenders forgive mortgage debt</w:t>
      </w:r>
      <w:r w:rsidR="00DD52DC" w:rsidRPr="00124B71">
        <w:rPr>
          <w:rFonts w:cs="Times New Roman"/>
        </w:rPr>
        <w:t xml:space="preserve"> in early 2008</w:t>
      </w:r>
      <w:r w:rsidR="00536BDC" w:rsidRPr="00124B71">
        <w:rPr>
          <w:rFonts w:cs="Times New Roman"/>
        </w:rPr>
        <w:t xml:space="preserve"> </w:t>
      </w:r>
      <w:sdt>
        <w:sdtPr>
          <w:rPr>
            <w:rFonts w:cs="Times New Roman"/>
          </w:rPr>
          <w:id w:val="59964105"/>
          <w:citation/>
        </w:sdtPr>
        <w:sdtContent>
          <w:r w:rsidR="001858B5" w:rsidRPr="00124B71">
            <w:rPr>
              <w:rFonts w:cs="Times New Roman"/>
            </w:rPr>
            <w:fldChar w:fldCharType="begin"/>
          </w:r>
          <w:r w:rsidR="00F43CEA" w:rsidRPr="00124B71">
            <w:rPr>
              <w:rFonts w:cs="Times New Roman"/>
            </w:rPr>
            <w:instrText xml:space="preserve"> CITATION Ben08 \l 1033 </w:instrText>
          </w:r>
          <w:r w:rsidR="001858B5" w:rsidRPr="00124B71">
            <w:rPr>
              <w:rFonts w:cs="Times New Roman"/>
            </w:rPr>
            <w:fldChar w:fldCharType="separate"/>
          </w:r>
          <w:r w:rsidR="007E3004" w:rsidRPr="007E3004">
            <w:rPr>
              <w:rFonts w:cs="Times New Roman"/>
              <w:noProof/>
            </w:rPr>
            <w:t>(Bernanke B. S., Reducing Preventable Mortgage Foreclosures, 2008)</w:t>
          </w:r>
          <w:r w:rsidR="001858B5" w:rsidRPr="00124B71">
            <w:rPr>
              <w:rFonts w:cs="Times New Roman"/>
            </w:rPr>
            <w:fldChar w:fldCharType="end"/>
          </w:r>
        </w:sdtContent>
      </w:sdt>
      <w:r w:rsidRPr="00124B71">
        <w:rPr>
          <w:rFonts w:cs="Times New Roman"/>
        </w:rPr>
        <w:t>.</w:t>
      </w:r>
      <w:r w:rsidR="0021621D" w:rsidRPr="00124B71">
        <w:rPr>
          <w:rFonts w:cs="Times New Roman"/>
        </w:rPr>
        <w:t xml:space="preserve"> The moral hazards were obvious. Would people stop making their payments to make sure they qualified? Would more people buy homes they could not afford then appeal for debt relief? Rational people became frightened when they heard the head banker in the United States propose massive debt forgiveness as they realized this meant the entire banking system was in peril. The implications of this proposal were lost on the typical </w:t>
      </w:r>
      <w:r w:rsidR="00EE7CAE" w:rsidRPr="00124B71">
        <w:rPr>
          <w:rFonts w:cs="Times New Roman"/>
        </w:rPr>
        <w:t>homeowner</w:t>
      </w:r>
      <w:r w:rsidR="0021621D" w:rsidRPr="00124B71">
        <w:rPr>
          <w:rFonts w:cs="Times New Roman"/>
        </w:rPr>
        <w:t xml:space="preserve"> who only saw how they might benefit from it. Debt forgiveness</w:t>
      </w:r>
      <w:r w:rsidR="00DD52DC" w:rsidRPr="00124B71">
        <w:rPr>
          <w:rFonts w:cs="Times New Roman"/>
        </w:rPr>
        <w:t xml:space="preserve"> was the ultimate fantasy of every </w:t>
      </w:r>
      <w:r w:rsidR="00EE7CAE" w:rsidRPr="00124B71">
        <w:rPr>
          <w:rFonts w:cs="Times New Roman"/>
        </w:rPr>
        <w:t>homeowner</w:t>
      </w:r>
      <w:r w:rsidR="00DD52DC" w:rsidRPr="00124B71">
        <w:rPr>
          <w:rFonts w:cs="Times New Roman"/>
        </w:rPr>
        <w:t>. They could be relieved of their financial burdens and get to keep their houses and their lifestyles.</w:t>
      </w:r>
      <w:r w:rsidR="0021621D" w:rsidRPr="00124B71">
        <w:rPr>
          <w:rFonts w:cs="Times New Roman"/>
        </w:rPr>
        <w:t xml:space="preserve"> It did not matter to</w:t>
      </w:r>
      <w:r w:rsidR="00790DD0" w:rsidRPr="00124B71">
        <w:rPr>
          <w:rFonts w:cs="Times New Roman"/>
        </w:rPr>
        <w:t xml:space="preserve"> </w:t>
      </w:r>
      <w:r w:rsidR="0021621D" w:rsidRPr="00124B71">
        <w:rPr>
          <w:rFonts w:cs="Times New Roman"/>
        </w:rPr>
        <w:t>the financially troubled that the proposal made no sense and had no possibility of happening, the thought of it would motivate them to hang on a little longer to see if maybe they could hit the jackpot.</w:t>
      </w:r>
    </w:p>
    <w:p w14:paraId="6B94779B" w14:textId="77777777" w:rsidR="000313CD" w:rsidRDefault="000313CD" w:rsidP="00790DD0">
      <w:pPr>
        <w:pStyle w:val="Heading3"/>
      </w:pPr>
      <w:bookmarkStart w:id="173" w:name="_Toc238867375"/>
      <w:r w:rsidRPr="000313CD">
        <w:t>Housing and Economic Recovery Act of 2008</w:t>
      </w:r>
      <w:bookmarkEnd w:id="173"/>
      <w:r w:rsidR="001858B5">
        <w:fldChar w:fldCharType="begin"/>
      </w:r>
      <w:r w:rsidR="00FB4BC9">
        <w:instrText xml:space="preserve"> XE "</w:instrText>
      </w:r>
      <w:r w:rsidR="00FB4BC9" w:rsidRPr="00A67F38">
        <w:rPr>
          <w:rFonts w:cs="Times New Roman"/>
        </w:rPr>
        <w:instrText>Housing and Economic Recovery Act of 2008</w:instrText>
      </w:r>
      <w:r w:rsidR="00FB4BC9">
        <w:instrText xml:space="preserve">" </w:instrText>
      </w:r>
      <w:r w:rsidR="001858B5">
        <w:fldChar w:fldCharType="end"/>
      </w:r>
    </w:p>
    <w:p w14:paraId="39BD7284" w14:textId="77777777" w:rsidR="000313CD" w:rsidRPr="00124B71" w:rsidRDefault="00D36543" w:rsidP="00607517">
      <w:pPr>
        <w:rPr>
          <w:rFonts w:cs="Times New Roman"/>
        </w:rPr>
      </w:pPr>
      <w:r w:rsidRPr="00124B71">
        <w:rPr>
          <w:rFonts w:cs="Times New Roman"/>
        </w:rPr>
        <w:t xml:space="preserve">In late July 2008, Congress passed and the </w:t>
      </w:r>
      <w:r w:rsidR="006935F8">
        <w:rPr>
          <w:rFonts w:cs="Times New Roman"/>
        </w:rPr>
        <w:t>P</w:t>
      </w:r>
      <w:r w:rsidRPr="00124B71">
        <w:rPr>
          <w:rFonts w:cs="Times New Roman"/>
        </w:rPr>
        <w:t>resident signed the Housing and Economic Recovery Act of 2008</w:t>
      </w:r>
      <w:r w:rsidR="001858B5">
        <w:rPr>
          <w:rFonts w:cs="Times New Roman"/>
        </w:rPr>
        <w:fldChar w:fldCharType="begin"/>
      </w:r>
      <w:r w:rsidR="00FB4BC9">
        <w:instrText xml:space="preserve"> XE "</w:instrText>
      </w:r>
      <w:r w:rsidR="00FB4BC9" w:rsidRPr="00A67F38">
        <w:rPr>
          <w:rFonts w:cs="Times New Roman"/>
        </w:rPr>
        <w:instrText>Housing and Economic Recovery Act of 2008</w:instrText>
      </w:r>
      <w:r w:rsidR="00FB4BC9">
        <w:instrText xml:space="preserve">" </w:instrText>
      </w:r>
      <w:r w:rsidR="001858B5">
        <w:rPr>
          <w:rFonts w:cs="Times New Roman"/>
        </w:rPr>
        <w:fldChar w:fldCharType="end"/>
      </w:r>
      <w:r w:rsidR="00EE7CAE" w:rsidRPr="00124B71">
        <w:rPr>
          <w:rFonts w:cs="Times New Roman"/>
        </w:rPr>
        <w:t xml:space="preserve"> that included the following provisions: </w:t>
      </w:r>
      <w:r w:rsidR="00DB344D" w:rsidRPr="00124B71">
        <w:rPr>
          <w:rFonts w:cs="Times New Roman"/>
        </w:rPr>
        <w:t>Federal Housing Finance Regulatory Reform Act of 2008</w:t>
      </w:r>
      <w:r w:rsidR="001858B5">
        <w:rPr>
          <w:rFonts w:cs="Times New Roman"/>
        </w:rPr>
        <w:fldChar w:fldCharType="begin"/>
      </w:r>
      <w:r w:rsidR="00FB4BC9">
        <w:instrText xml:space="preserve"> XE "</w:instrText>
      </w:r>
      <w:r w:rsidR="00FB4BC9" w:rsidRPr="00373341">
        <w:rPr>
          <w:rFonts w:cs="Times New Roman"/>
        </w:rPr>
        <w:instrText>Federal Housing Finance Regulatory Reform Act of 2008</w:instrText>
      </w:r>
      <w:r w:rsidR="00FB4BC9">
        <w:instrText xml:space="preserve">" </w:instrText>
      </w:r>
      <w:r w:rsidR="001858B5">
        <w:rPr>
          <w:rFonts w:cs="Times New Roman"/>
        </w:rPr>
        <w:fldChar w:fldCharType="end"/>
      </w:r>
      <w:r w:rsidR="00DB344D" w:rsidRPr="00124B71">
        <w:rPr>
          <w:rFonts w:cs="Times New Roman"/>
        </w:rPr>
        <w:t>, HOPE for Homeowners Act of 2008</w:t>
      </w:r>
      <w:r w:rsidR="001858B5">
        <w:rPr>
          <w:rFonts w:cs="Times New Roman"/>
        </w:rPr>
        <w:fldChar w:fldCharType="begin"/>
      </w:r>
      <w:r w:rsidR="00FB4BC9">
        <w:instrText xml:space="preserve"> XE "</w:instrText>
      </w:r>
      <w:r w:rsidR="00FB4BC9" w:rsidRPr="009A24E5">
        <w:rPr>
          <w:rFonts w:cs="Times New Roman"/>
        </w:rPr>
        <w:instrText>HOPE for Homeowners Act of 2008</w:instrText>
      </w:r>
      <w:r w:rsidR="00FB4BC9">
        <w:instrText xml:space="preserve">" </w:instrText>
      </w:r>
      <w:r w:rsidR="001858B5">
        <w:rPr>
          <w:rFonts w:cs="Times New Roman"/>
        </w:rPr>
        <w:fldChar w:fldCharType="end"/>
      </w:r>
      <w:r w:rsidR="00DB344D" w:rsidRPr="00124B71">
        <w:rPr>
          <w:rFonts w:cs="Times New Roman"/>
        </w:rPr>
        <w:t>, and the Foreclosure Prevention Act of 2008</w:t>
      </w:r>
      <w:r w:rsidR="001858B5">
        <w:rPr>
          <w:rFonts w:cs="Times New Roman"/>
        </w:rPr>
        <w:fldChar w:fldCharType="begin"/>
      </w:r>
      <w:r w:rsidR="00FB4BC9">
        <w:instrText xml:space="preserve"> XE "</w:instrText>
      </w:r>
      <w:r w:rsidR="00FB4BC9" w:rsidRPr="00E97723">
        <w:rPr>
          <w:rFonts w:cs="Times New Roman"/>
        </w:rPr>
        <w:instrText>Foreclosure Prevention Act of 2008</w:instrText>
      </w:r>
      <w:r w:rsidR="00FB4BC9">
        <w:instrText xml:space="preserve">" </w:instrText>
      </w:r>
      <w:r w:rsidR="001858B5">
        <w:rPr>
          <w:rFonts w:cs="Times New Roman"/>
        </w:rPr>
        <w:fldChar w:fldCharType="end"/>
      </w:r>
      <w:r w:rsidR="00EE7CAE" w:rsidRPr="00124B71">
        <w:rPr>
          <w:rFonts w:cs="Times New Roman"/>
        </w:rPr>
        <w:t xml:space="preserve">. </w:t>
      </w:r>
      <w:r w:rsidR="00607517">
        <w:rPr>
          <w:rFonts w:cs="Times New Roman"/>
        </w:rPr>
        <w:t xml:space="preserve">At the time of this writing, these programs have not been fully implemented, and it is too soon to </w:t>
      </w:r>
      <w:r w:rsidR="00243A15" w:rsidRPr="00124B71">
        <w:rPr>
          <w:rFonts w:cs="Times New Roman"/>
        </w:rPr>
        <w:t xml:space="preserve">determine if </w:t>
      </w:r>
      <w:r w:rsidR="00E61F6E">
        <w:rPr>
          <w:rFonts w:cs="Times New Roman"/>
        </w:rPr>
        <w:t>they are</w:t>
      </w:r>
      <w:r w:rsidR="00243A15" w:rsidRPr="00124B71">
        <w:rPr>
          <w:rFonts w:cs="Times New Roman"/>
        </w:rPr>
        <w:t xml:space="preserve"> successful. Of course, success can mean different things to different parties. For homeowners, success means keeping their house, getting a lower payment, and profiting from its eventual sale. For lenders and holders of mortgages, success means keeping a steady flow of money coming in from previously insolvent debtors. For the government, success means doing something to make angry homeowners less likely to vote them out of office and </w:t>
      </w:r>
      <w:r w:rsidR="00243A15" w:rsidRPr="00124B71">
        <w:rPr>
          <w:rFonts w:cs="Times New Roman"/>
        </w:rPr>
        <w:lastRenderedPageBreak/>
        <w:t>keep our financial system from complete collapse.</w:t>
      </w:r>
      <w:r w:rsidR="00DB344D" w:rsidRPr="00124B71">
        <w:rPr>
          <w:rFonts w:cs="Times New Roman"/>
        </w:rPr>
        <w:t xml:space="preserve"> As with many pieces of legislation, it is an ugly series of compromises</w:t>
      </w:r>
      <w:r w:rsidR="00647AA9" w:rsidRPr="00124B71">
        <w:rPr>
          <w:rFonts w:cs="Times New Roman"/>
        </w:rPr>
        <w:t>, and ultimately, none of the concerned parties may deem it successful</w:t>
      </w:r>
      <w:r w:rsidR="00DB344D" w:rsidRPr="00124B71">
        <w:rPr>
          <w:rFonts w:cs="Times New Roman"/>
        </w:rPr>
        <w:t xml:space="preserve">. </w:t>
      </w:r>
    </w:p>
    <w:p w14:paraId="33DEF983" w14:textId="77777777" w:rsidR="00C12738" w:rsidRPr="00124B71" w:rsidRDefault="00607517" w:rsidP="000313CD">
      <w:pPr>
        <w:rPr>
          <w:rFonts w:cs="Times New Roman"/>
        </w:rPr>
      </w:pPr>
      <w:r w:rsidRPr="00124B71">
        <w:rPr>
          <w:rFonts w:cs="Times New Roman"/>
        </w:rPr>
        <w:t>In the Savings and Loan</w:t>
      </w:r>
      <w:r w:rsidR="001858B5">
        <w:rPr>
          <w:rFonts w:cs="Times New Roman"/>
        </w:rPr>
        <w:fldChar w:fldCharType="begin"/>
      </w:r>
      <w:r>
        <w:instrText xml:space="preserve"> XE "</w:instrText>
      </w:r>
      <w:r w:rsidRPr="001D0DFD">
        <w:rPr>
          <w:rFonts w:cs="Times New Roman"/>
        </w:rPr>
        <w:instrText>Savings and Loan</w:instrText>
      </w:r>
      <w:r>
        <w:instrText xml:space="preserve">" </w:instrText>
      </w:r>
      <w:r w:rsidR="001858B5">
        <w:rPr>
          <w:rFonts w:cs="Times New Roman"/>
        </w:rPr>
        <w:fldChar w:fldCharType="end"/>
      </w:r>
      <w:r w:rsidRPr="00124B71">
        <w:rPr>
          <w:rFonts w:cs="Times New Roman"/>
        </w:rPr>
        <w:t xml:space="preserve"> disaster of the late 1980s, the government was liable to investors for their losses through the Federal Savings and Loan Insurance Corporation (FSLIC). The government had no choice but to compel taxpayers to cover the costs of the industry bailout. The Great Housing Bubble had no such direct government liability</w:t>
      </w:r>
      <w:r>
        <w:rPr>
          <w:rFonts w:cs="Times New Roman"/>
        </w:rPr>
        <w:t xml:space="preserve"> until this </w:t>
      </w:r>
      <w:r w:rsidR="001175E1">
        <w:rPr>
          <w:rFonts w:cs="Times New Roman"/>
        </w:rPr>
        <w:t>burden</w:t>
      </w:r>
      <w:r>
        <w:rPr>
          <w:rFonts w:cs="Times New Roman"/>
        </w:rPr>
        <w:t xml:space="preserve"> was assumed by the government retroactively</w:t>
      </w:r>
      <w:r w:rsidRPr="00124B71">
        <w:rPr>
          <w:rFonts w:cs="Times New Roman"/>
        </w:rPr>
        <w:t xml:space="preserve">. </w:t>
      </w:r>
      <w:r w:rsidR="00DB344D" w:rsidRPr="00124B71">
        <w:rPr>
          <w:rFonts w:cs="Times New Roman"/>
        </w:rPr>
        <w:t>The Federal Housing Finance Regulatory Reform Act of 2008</w:t>
      </w:r>
      <w:r w:rsidR="001858B5">
        <w:rPr>
          <w:rFonts w:cs="Times New Roman"/>
        </w:rPr>
        <w:fldChar w:fldCharType="begin"/>
      </w:r>
      <w:r w:rsidR="00FB4BC9">
        <w:instrText xml:space="preserve"> XE "</w:instrText>
      </w:r>
      <w:r w:rsidR="00FB4BC9" w:rsidRPr="00373341">
        <w:rPr>
          <w:rFonts w:cs="Times New Roman"/>
        </w:rPr>
        <w:instrText>Federal Housing Finance Regulatory Reform Act of 2008</w:instrText>
      </w:r>
      <w:r w:rsidR="00FB4BC9">
        <w:instrText xml:space="preserve">" </w:instrText>
      </w:r>
      <w:r w:rsidR="001858B5">
        <w:rPr>
          <w:rFonts w:cs="Times New Roman"/>
        </w:rPr>
        <w:fldChar w:fldCharType="end"/>
      </w:r>
      <w:r w:rsidR="00DB344D" w:rsidRPr="00124B71">
        <w:rPr>
          <w:rFonts w:cs="Times New Roman"/>
        </w:rPr>
        <w:t xml:space="preserve"> established a </w:t>
      </w:r>
      <w:r w:rsidR="00107056" w:rsidRPr="00124B71">
        <w:rPr>
          <w:rFonts w:cs="Times New Roman"/>
        </w:rPr>
        <w:t>regulator to watch over the GSEs</w:t>
      </w:r>
      <w:r w:rsidR="001858B5">
        <w:rPr>
          <w:rFonts w:cs="Times New Roman"/>
        </w:rPr>
        <w:fldChar w:fldCharType="begin"/>
      </w:r>
      <w:r w:rsidR="00FF74AC">
        <w:instrText xml:space="preserve"> XE "</w:instrText>
      </w:r>
      <w:r w:rsidR="00FF74AC" w:rsidRPr="006043DC">
        <w:rPr>
          <w:rFonts w:cs="Times New Roman"/>
        </w:rPr>
        <w:instrText>GSEs</w:instrText>
      </w:r>
      <w:r w:rsidR="00FF74AC">
        <w:instrText xml:space="preserve">" </w:instrText>
      </w:r>
      <w:r w:rsidR="001858B5">
        <w:rPr>
          <w:rFonts w:cs="Times New Roman"/>
        </w:rPr>
        <w:fldChar w:fldCharType="end"/>
      </w:r>
      <w:r w:rsidR="00107056" w:rsidRPr="00124B71">
        <w:rPr>
          <w:rFonts w:cs="Times New Roman"/>
        </w:rPr>
        <w:t xml:space="preserve">. This was too late to do anything about the serious problems facing the GSEs, and it </w:t>
      </w:r>
      <w:r w:rsidR="003D660E">
        <w:rPr>
          <w:rFonts w:cs="Times New Roman"/>
        </w:rPr>
        <w:t>acted as</w:t>
      </w:r>
      <w:r w:rsidR="00107056" w:rsidRPr="00124B71">
        <w:rPr>
          <w:rFonts w:cs="Times New Roman"/>
        </w:rPr>
        <w:t xml:space="preserve"> an interim step toward a direct GSE bailout of lenders and investors at the expense of the taxpayers. If one of the GSEs would have failed prior to this legislation, many</w:t>
      </w:r>
      <w:r w:rsidR="00647AA9" w:rsidRPr="00124B71">
        <w:rPr>
          <w:rFonts w:cs="Times New Roman"/>
        </w:rPr>
        <w:t xml:space="preserve"> in Congress</w:t>
      </w:r>
      <w:r w:rsidR="00107056" w:rsidRPr="00124B71">
        <w:rPr>
          <w:rFonts w:cs="Times New Roman"/>
        </w:rPr>
        <w:t xml:space="preserve"> would have resisted a taxpayer bailout because the activities of the GSEs were not strictly regulated. Once the regulatory framework </w:t>
      </w:r>
      <w:r w:rsidR="00564206">
        <w:rPr>
          <w:rFonts w:cs="Times New Roman"/>
        </w:rPr>
        <w:t>wa</w:t>
      </w:r>
      <w:r w:rsidR="00107056" w:rsidRPr="00124B71">
        <w:rPr>
          <w:rFonts w:cs="Times New Roman"/>
        </w:rPr>
        <w:t>s in place, Congress ha</w:t>
      </w:r>
      <w:r w:rsidR="00564206">
        <w:rPr>
          <w:rFonts w:cs="Times New Roman"/>
        </w:rPr>
        <w:t>d</w:t>
      </w:r>
      <w:r w:rsidR="00107056" w:rsidRPr="00124B71">
        <w:rPr>
          <w:rFonts w:cs="Times New Roman"/>
        </w:rPr>
        <w:t xml:space="preserve"> greater political cover to justify a</w:t>
      </w:r>
      <w:r w:rsidR="001429CA" w:rsidRPr="00124B71">
        <w:rPr>
          <w:rFonts w:cs="Times New Roman"/>
        </w:rPr>
        <w:t xml:space="preserve"> </w:t>
      </w:r>
      <w:r w:rsidR="00107056" w:rsidRPr="00124B71">
        <w:rPr>
          <w:rFonts w:cs="Times New Roman"/>
        </w:rPr>
        <w:t xml:space="preserve">taxpayer bailout. </w:t>
      </w:r>
    </w:p>
    <w:p w14:paraId="0C16DBFA" w14:textId="77777777" w:rsidR="00DB344D" w:rsidRPr="00124B71" w:rsidRDefault="00C12738" w:rsidP="000313CD">
      <w:pPr>
        <w:rPr>
          <w:rFonts w:cs="Times New Roman"/>
        </w:rPr>
      </w:pPr>
      <w:r w:rsidRPr="00124B71">
        <w:rPr>
          <w:rFonts w:cs="Times New Roman"/>
        </w:rPr>
        <w:t>In early September 2008, not long after the legislation was passed, the Department of Treasury</w:t>
      </w:r>
      <w:r w:rsidR="001858B5">
        <w:rPr>
          <w:rFonts w:cs="Times New Roman"/>
        </w:rPr>
        <w:fldChar w:fldCharType="begin"/>
      </w:r>
      <w:r w:rsidR="00FB4BC9">
        <w:instrText xml:space="preserve"> XE "</w:instrText>
      </w:r>
      <w:r w:rsidR="00FB4BC9" w:rsidRPr="002E04C4">
        <w:rPr>
          <w:rFonts w:cs="Times New Roman"/>
        </w:rPr>
        <w:instrText>Department of Treasury</w:instrText>
      </w:r>
      <w:r w:rsidR="00FB4BC9">
        <w:instrText xml:space="preserve">" </w:instrText>
      </w:r>
      <w:r w:rsidR="001858B5">
        <w:rPr>
          <w:rFonts w:cs="Times New Roman"/>
        </w:rPr>
        <w:fldChar w:fldCharType="end"/>
      </w:r>
      <w:r w:rsidRPr="00124B71">
        <w:rPr>
          <w:rFonts w:cs="Times New Roman"/>
        </w:rPr>
        <w:t xml:space="preserve"> took over “conservatorship” of the GSEs</w:t>
      </w:r>
      <w:r w:rsidR="001858B5">
        <w:rPr>
          <w:rFonts w:cs="Times New Roman"/>
        </w:rPr>
        <w:fldChar w:fldCharType="begin"/>
      </w:r>
      <w:r w:rsidR="00FF74AC">
        <w:instrText xml:space="preserve"> XE "</w:instrText>
      </w:r>
      <w:r w:rsidR="00FF74AC" w:rsidRPr="006043DC">
        <w:rPr>
          <w:rFonts w:cs="Times New Roman"/>
        </w:rPr>
        <w:instrText>GSEs</w:instrText>
      </w:r>
      <w:r w:rsidR="00FF74AC">
        <w:instrText xml:space="preserve">" </w:instrText>
      </w:r>
      <w:r w:rsidR="001858B5">
        <w:rPr>
          <w:rFonts w:cs="Times New Roman"/>
        </w:rPr>
        <w:fldChar w:fldCharType="end"/>
      </w:r>
      <w:r w:rsidRPr="00124B71">
        <w:rPr>
          <w:rFonts w:cs="Times New Roman"/>
        </w:rPr>
        <w:t>. It is unclear what will happen once under government control</w:t>
      </w:r>
      <w:r w:rsidR="007C469A">
        <w:rPr>
          <w:rFonts w:cs="Times New Roman"/>
        </w:rPr>
        <w:t>–</w:t>
      </w:r>
      <w:r w:rsidR="00607517">
        <w:rPr>
          <w:rFonts w:cs="Times New Roman"/>
        </w:rPr>
        <w:t>other than the taxpayers of the United States will be directly responsible for all losses</w:t>
      </w:r>
      <w:r w:rsidRPr="00124B71">
        <w:rPr>
          <w:rFonts w:cs="Times New Roman"/>
        </w:rPr>
        <w:t xml:space="preserve">. </w:t>
      </w:r>
      <w:r w:rsidR="00592F2D">
        <w:rPr>
          <w:rFonts w:cs="Times New Roman"/>
        </w:rPr>
        <w:t>In time</w:t>
      </w:r>
      <w:r w:rsidRPr="00124B71">
        <w:rPr>
          <w:rFonts w:cs="Times New Roman"/>
        </w:rPr>
        <w:t xml:space="preserve">, the government’s interests in the GSEs will likely be sold, and the GSEs will become private companies again, but this time with greater governmental oversight. </w:t>
      </w:r>
      <w:r w:rsidR="00107056" w:rsidRPr="00124B71">
        <w:rPr>
          <w:rFonts w:cs="Times New Roman"/>
        </w:rPr>
        <w:t xml:space="preserve">With any regulatory framework, enforcement is pivotal to its success. </w:t>
      </w:r>
      <w:r w:rsidR="00F918CA" w:rsidRPr="00124B71">
        <w:rPr>
          <w:rFonts w:cs="Times New Roman"/>
        </w:rPr>
        <w:t>If another bubble starts inflating, enforcement may not take priority over profits, particularly when the GSE lobbyists start donating heavily to key Congressional leaders.</w:t>
      </w:r>
    </w:p>
    <w:p w14:paraId="6401C0F0" w14:textId="77777777" w:rsidR="00107056" w:rsidRPr="00124B71" w:rsidRDefault="00F918CA" w:rsidP="00730276">
      <w:pPr>
        <w:rPr>
          <w:rFonts w:cs="Times New Roman"/>
        </w:rPr>
      </w:pPr>
      <w:r w:rsidRPr="00124B71">
        <w:rPr>
          <w:rFonts w:cs="Times New Roman"/>
        </w:rPr>
        <w:t>The HOPE for Homeowners Act of 2008</w:t>
      </w:r>
      <w:r w:rsidR="001858B5">
        <w:rPr>
          <w:rFonts w:cs="Times New Roman"/>
        </w:rPr>
        <w:fldChar w:fldCharType="begin"/>
      </w:r>
      <w:r w:rsidR="00FB4BC9">
        <w:instrText xml:space="preserve"> XE "</w:instrText>
      </w:r>
      <w:r w:rsidR="00FB4BC9" w:rsidRPr="009A24E5">
        <w:rPr>
          <w:rFonts w:cs="Times New Roman"/>
        </w:rPr>
        <w:instrText>HOPE for Homeowners Act of 2008</w:instrText>
      </w:r>
      <w:r w:rsidR="00FB4BC9">
        <w:instrText xml:space="preserve">" </w:instrText>
      </w:r>
      <w:r w:rsidR="001858B5">
        <w:rPr>
          <w:rFonts w:cs="Times New Roman"/>
        </w:rPr>
        <w:fldChar w:fldCharType="end"/>
      </w:r>
      <w:r w:rsidRPr="00124B71">
        <w:rPr>
          <w:rFonts w:cs="Times New Roman"/>
        </w:rPr>
        <w:t xml:space="preserve"> and the Foreclosure Prevention Act of 2008</w:t>
      </w:r>
      <w:r w:rsidR="001858B5">
        <w:rPr>
          <w:rFonts w:cs="Times New Roman"/>
        </w:rPr>
        <w:fldChar w:fldCharType="begin"/>
      </w:r>
      <w:r w:rsidR="00FB4BC9">
        <w:instrText xml:space="preserve"> XE "</w:instrText>
      </w:r>
      <w:r w:rsidR="00FB4BC9" w:rsidRPr="00E97723">
        <w:rPr>
          <w:rFonts w:cs="Times New Roman"/>
        </w:rPr>
        <w:instrText>Foreclosure Prevention Act of 2008</w:instrText>
      </w:r>
      <w:r w:rsidR="00FB4BC9">
        <w:instrText xml:space="preserve">" </w:instrText>
      </w:r>
      <w:r w:rsidR="001858B5">
        <w:rPr>
          <w:rFonts w:cs="Times New Roman"/>
        </w:rPr>
        <w:fldChar w:fldCharType="end"/>
      </w:r>
      <w:r w:rsidRPr="00124B71">
        <w:rPr>
          <w:rFonts w:cs="Times New Roman"/>
        </w:rPr>
        <w:t xml:space="preserve"> are of </w:t>
      </w:r>
      <w:r w:rsidR="00647AA9" w:rsidRPr="00124B71">
        <w:rPr>
          <w:rFonts w:cs="Times New Roman"/>
        </w:rPr>
        <w:t xml:space="preserve">primary </w:t>
      </w:r>
      <w:r w:rsidRPr="00124B71">
        <w:rPr>
          <w:rFonts w:cs="Times New Roman"/>
        </w:rPr>
        <w:t>interest to homeowners</w:t>
      </w:r>
      <w:r w:rsidR="00932101" w:rsidRPr="00124B71">
        <w:rPr>
          <w:rFonts w:cs="Times New Roman"/>
        </w:rPr>
        <w:t xml:space="preserve">. </w:t>
      </w:r>
      <w:r w:rsidRPr="00124B71">
        <w:rPr>
          <w:rStyle w:val="EndnoteReference"/>
          <w:rFonts w:cs="Times New Roman"/>
        </w:rPr>
        <w:endnoteReference w:id="117"/>
      </w:r>
      <w:r w:rsidRPr="00124B71">
        <w:rPr>
          <w:rFonts w:cs="Times New Roman"/>
        </w:rPr>
        <w:t xml:space="preserve"> </w:t>
      </w:r>
      <w:r w:rsidR="00EE6432" w:rsidRPr="00124B71">
        <w:rPr>
          <w:rFonts w:cs="Times New Roman"/>
        </w:rPr>
        <w:t>It falls well short of what most homeowners wanted: direct debt relief from the government. However, it does provide incentives for lenders and investors to forgive the debts of homeowners, but it makes homeowners agree to take out an FHA</w:t>
      </w:r>
      <w:r w:rsidR="001858B5">
        <w:rPr>
          <w:rFonts w:cs="Times New Roman"/>
        </w:rPr>
        <w:fldChar w:fldCharType="begin"/>
      </w:r>
      <w:r w:rsidR="00FF74AC">
        <w:instrText xml:space="preserve"> XE "</w:instrText>
      </w:r>
      <w:r w:rsidR="00FF74AC" w:rsidRPr="00EA0044">
        <w:rPr>
          <w:rFonts w:cs="Times New Roman"/>
        </w:rPr>
        <w:instrText>FHA</w:instrText>
      </w:r>
      <w:r w:rsidR="00FF74AC">
        <w:instrText xml:space="preserve">" </w:instrText>
      </w:r>
      <w:r w:rsidR="001858B5">
        <w:rPr>
          <w:rFonts w:cs="Times New Roman"/>
        </w:rPr>
        <w:fldChar w:fldCharType="end"/>
      </w:r>
      <w:r w:rsidR="00EE6432" w:rsidRPr="00124B71">
        <w:rPr>
          <w:rFonts w:cs="Times New Roman"/>
        </w:rPr>
        <w:t xml:space="preserve"> loan with a higher interest rate and give half the profits on the eventual sale to the FHA.</w:t>
      </w:r>
      <w:r w:rsidR="00730276" w:rsidRPr="00124B71">
        <w:rPr>
          <w:rFonts w:cs="Times New Roman"/>
        </w:rPr>
        <w:t xml:space="preserve"> Neither of those provisions will be palatable to borrowers.</w:t>
      </w:r>
      <w:r w:rsidR="00EE6432" w:rsidRPr="00124B71">
        <w:rPr>
          <w:rFonts w:cs="Times New Roman"/>
        </w:rPr>
        <w:t xml:space="preserve"> Both the lender and the homeowner must voluntarily participate. If the lender is determined to foreclose or if the borrower is determined to </w:t>
      </w:r>
      <w:r w:rsidR="00730276" w:rsidRPr="00124B71">
        <w:rPr>
          <w:rFonts w:cs="Times New Roman"/>
        </w:rPr>
        <w:t>give up paying back the loan, neither party is compelled to work with the other. For lenders facing taking a property back in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730276" w:rsidRPr="00124B71">
        <w:rPr>
          <w:rFonts w:cs="Times New Roman"/>
        </w:rPr>
        <w:t>, writing off a significant portion of the original loan may be preferable to taking a larger loss in a foreclosure.</w:t>
      </w:r>
      <w:r w:rsidR="00E96F5D" w:rsidRPr="00124B71">
        <w:rPr>
          <w:rFonts w:cs="Times New Roman"/>
        </w:rPr>
        <w:t xml:space="preserve"> </w:t>
      </w:r>
      <w:r w:rsidR="00495DA8" w:rsidRPr="00124B71">
        <w:rPr>
          <w:rFonts w:cs="Times New Roman"/>
        </w:rPr>
        <w:t>D</w:t>
      </w:r>
      <w:r w:rsidR="00E96F5D" w:rsidRPr="00124B71">
        <w:rPr>
          <w:rFonts w:cs="Times New Roman"/>
        </w:rPr>
        <w:t xml:space="preserve">esperate owners facing foreclosure may like the idea of debt forgiveness, but their payments will not go down </w:t>
      </w:r>
      <w:r w:rsidR="00495DA8" w:rsidRPr="00124B71">
        <w:rPr>
          <w:rFonts w:cs="Times New Roman"/>
        </w:rPr>
        <w:t>much</w:t>
      </w:r>
      <w:r w:rsidR="00E96F5D" w:rsidRPr="00124B71">
        <w:rPr>
          <w:rFonts w:cs="Times New Roman"/>
        </w:rPr>
        <w:t>, and giving up half their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E96F5D" w:rsidRPr="00124B71">
        <w:rPr>
          <w:rFonts w:cs="Times New Roman"/>
        </w:rPr>
        <w:t xml:space="preserve"> will not go over well when they go to sell the property.</w:t>
      </w:r>
    </w:p>
    <w:p w14:paraId="32539D17" w14:textId="77777777" w:rsidR="006935F8" w:rsidRDefault="006935F8" w:rsidP="00790DD0">
      <w:pPr>
        <w:pStyle w:val="Heading3"/>
      </w:pPr>
      <w:bookmarkStart w:id="174" w:name="_Toc238867376"/>
      <w:r w:rsidRPr="006935F8">
        <w:t>Emergency Economic Stabilization Act of 2008</w:t>
      </w:r>
      <w:bookmarkEnd w:id="174"/>
    </w:p>
    <w:p w14:paraId="4CBE5665" w14:textId="77777777" w:rsidR="005A2769" w:rsidRDefault="006935F8" w:rsidP="006935F8">
      <w:pPr>
        <w:rPr>
          <w:rFonts w:cs="Times New Roman"/>
        </w:rPr>
      </w:pPr>
      <w:r>
        <w:t xml:space="preserve">In early October 2008, the </w:t>
      </w:r>
      <w:r w:rsidRPr="00124B71">
        <w:rPr>
          <w:rFonts w:cs="Times New Roman"/>
        </w:rPr>
        <w:t xml:space="preserve">Congress passed and the </w:t>
      </w:r>
      <w:r>
        <w:rPr>
          <w:rFonts w:cs="Times New Roman"/>
        </w:rPr>
        <w:t>P</w:t>
      </w:r>
      <w:r w:rsidRPr="00124B71">
        <w:rPr>
          <w:rFonts w:cs="Times New Roman"/>
        </w:rPr>
        <w:t>resident signed</w:t>
      </w:r>
      <w:r>
        <w:rPr>
          <w:rFonts w:cs="Times New Roman"/>
        </w:rPr>
        <w:t xml:space="preserve"> the Emergency Economic Stabilization Act of 2008</w:t>
      </w:r>
      <w:r w:rsidR="001858B5">
        <w:rPr>
          <w:rFonts w:cs="Times New Roman"/>
        </w:rPr>
        <w:fldChar w:fldCharType="begin"/>
      </w:r>
      <w:r w:rsidR="0058304B">
        <w:instrText xml:space="preserve"> XE "</w:instrText>
      </w:r>
      <w:r w:rsidR="0058304B" w:rsidRPr="00B710D8">
        <w:rPr>
          <w:rFonts w:cs="Times New Roman"/>
        </w:rPr>
        <w:instrText>Emergency Economic Stabilization Act of 2008</w:instrText>
      </w:r>
      <w:r w:rsidR="0058304B">
        <w:instrText xml:space="preserve">" </w:instrText>
      </w:r>
      <w:r w:rsidR="001858B5">
        <w:rPr>
          <w:rFonts w:cs="Times New Roman"/>
        </w:rPr>
        <w:fldChar w:fldCharType="end"/>
      </w:r>
      <w:r>
        <w:rPr>
          <w:rFonts w:cs="Times New Roman"/>
        </w:rPr>
        <w:t xml:space="preserve">. The purpose of the bill was “to </w:t>
      </w:r>
      <w:r>
        <w:rPr>
          <w:rFonts w:cs="Times New Roman"/>
        </w:rPr>
        <w:lastRenderedPageBreak/>
        <w:t>restore liquidity and stability to the U.S. financial system and to ensure the economic well-being of Americans.” The law authorized the Secretary of the Treasury to establish a Troubled Asset Relief Program</w:t>
      </w:r>
      <w:r w:rsidR="001858B5">
        <w:rPr>
          <w:rFonts w:cs="Times New Roman"/>
        </w:rPr>
        <w:fldChar w:fldCharType="begin"/>
      </w:r>
      <w:r w:rsidR="0058304B">
        <w:instrText xml:space="preserve"> XE "</w:instrText>
      </w:r>
      <w:r w:rsidR="0058304B" w:rsidRPr="00321E1E">
        <w:rPr>
          <w:rFonts w:cs="Times New Roman"/>
        </w:rPr>
        <w:instrText>Troubled Asset Relief Program</w:instrText>
      </w:r>
      <w:r w:rsidR="0058304B">
        <w:instrText xml:space="preserve">" </w:instrText>
      </w:r>
      <w:r w:rsidR="001858B5">
        <w:rPr>
          <w:rFonts w:cs="Times New Roman"/>
        </w:rPr>
        <w:fldChar w:fldCharType="end"/>
      </w:r>
      <w:r>
        <w:rPr>
          <w:rFonts w:cs="Times New Roman"/>
        </w:rPr>
        <w:t xml:space="preserve"> (TARP) to purchase</w:t>
      </w:r>
      <w:r w:rsidR="00770026">
        <w:rPr>
          <w:rFonts w:cs="Times New Roman"/>
        </w:rPr>
        <w:t xml:space="preserve"> the toxic waste poisoning the balance sheets of lenders and other financial institutions. This measure was passed in response to an unprecedented seizure of the short-term credit markets. Banks quit lending money to other banks once it became apparent that few of them were solvent. This fear spread to all short-term commercial paper and threatened to bring down the entire financial system. It is unclear whether or not this</w:t>
      </w:r>
      <w:r w:rsidR="00592F2D">
        <w:rPr>
          <w:rFonts w:cs="Times New Roman"/>
        </w:rPr>
        <w:t xml:space="preserve"> new program will</w:t>
      </w:r>
      <w:r w:rsidR="00770026">
        <w:rPr>
          <w:rFonts w:cs="Times New Roman"/>
        </w:rPr>
        <w:t xml:space="preserve"> save the institutions holding the toxic waste. </w:t>
      </w:r>
    </w:p>
    <w:p w14:paraId="3D052EC4" w14:textId="77777777" w:rsidR="006935F8" w:rsidRDefault="00592F2D" w:rsidP="006935F8">
      <w:pPr>
        <w:rPr>
          <w:rFonts w:cs="Times New Roman"/>
        </w:rPr>
      </w:pPr>
      <w:r>
        <w:rPr>
          <w:rFonts w:cs="Times New Roman"/>
        </w:rPr>
        <w:t xml:space="preserve">When this legislation was first introduced, there was widespread public disapproval of what amounted to be a transfer of wealth from taxpayers to rich bankers on Wall Street. There was no mention of bailing out troubled homeowners who were the cause of all the financial distress in the lending industry. Since desperate homeowners were not </w:t>
      </w:r>
      <w:r w:rsidR="00DC2669">
        <w:rPr>
          <w:rFonts w:cs="Times New Roman"/>
        </w:rPr>
        <w:t xml:space="preserve">being given any new false hope, they saw no reason to support the bailout. </w:t>
      </w:r>
      <w:r w:rsidR="005A2769">
        <w:rPr>
          <w:rFonts w:cs="Times New Roman"/>
        </w:rPr>
        <w:t xml:space="preserve">A series of dramatic drops in the equities markets while the legislation was being debated helped turn the tide of public opinion. </w:t>
      </w:r>
    </w:p>
    <w:p w14:paraId="0ADFF963" w14:textId="77777777" w:rsidR="00DC2669" w:rsidRPr="006935F8" w:rsidRDefault="00DC2669" w:rsidP="006935F8">
      <w:r>
        <w:rPr>
          <w:rFonts w:cs="Times New Roman"/>
        </w:rPr>
        <w:t>The impact of this legislation is unknown at the time of this writing; however, it appears to be designed as part of a controlled implosion of the banking system. With $700,000,000,000 at his disposal and complete discretion on how to spend it, the Treasury Secretary, with cooperation from the Chairman of the Federal Reserve, will be able to sort out the healthy banks from the unhealthy ones, broker mergers and acquisitions and recapitalize the survivors. By October of 2008, the need for bailouts and false</w:t>
      </w:r>
      <w:r w:rsidR="008219F4">
        <w:rPr>
          <w:rFonts w:cs="Times New Roman"/>
        </w:rPr>
        <w:t xml:space="preserve"> hopes</w:t>
      </w:r>
      <w:r>
        <w:rPr>
          <w:rFonts w:cs="Times New Roman"/>
        </w:rPr>
        <w:t xml:space="preserve"> had gone beyond foolish borrowers; the banks were the ones who needed some denial.</w:t>
      </w:r>
    </w:p>
    <w:p w14:paraId="4D6EF8D2" w14:textId="77777777" w:rsidR="00790DD0" w:rsidRPr="00EF0EDA" w:rsidRDefault="00790DD0" w:rsidP="00790DD0">
      <w:pPr>
        <w:pStyle w:val="Heading3"/>
      </w:pPr>
      <w:bookmarkStart w:id="175" w:name="_Toc238867377"/>
      <w:r w:rsidRPr="00EF0EDA">
        <w:t>Zero Coupon Notes</w:t>
      </w:r>
      <w:bookmarkEnd w:id="175"/>
    </w:p>
    <w:p w14:paraId="354C706C" w14:textId="77777777" w:rsidR="00D3751D" w:rsidRPr="00124B71" w:rsidRDefault="0056372B" w:rsidP="00AE5BC0">
      <w:pPr>
        <w:rPr>
          <w:rFonts w:cs="Times New Roman"/>
        </w:rPr>
      </w:pPr>
      <w:r w:rsidRPr="00124B71">
        <w:rPr>
          <w:rFonts w:cs="Times New Roman"/>
        </w:rPr>
        <w:t>Of all the intervention programs put forward, only one ha</w:t>
      </w:r>
      <w:r w:rsidR="0021621D" w:rsidRPr="00124B71">
        <w:rPr>
          <w:rFonts w:cs="Times New Roman"/>
        </w:rPr>
        <w:t>d</w:t>
      </w:r>
      <w:r w:rsidRPr="00124B71">
        <w:rPr>
          <w:rFonts w:cs="Times New Roman"/>
        </w:rPr>
        <w:t xml:space="preserve"> any chance of providing any real relief to homeowners</w:t>
      </w:r>
      <w:r w:rsidR="0021621D" w:rsidRPr="00124B71">
        <w:rPr>
          <w:rFonts w:cs="Times New Roman"/>
        </w:rPr>
        <w:t xml:space="preserve"> if it had been implemented</w:t>
      </w:r>
      <w:r w:rsidRPr="00124B71">
        <w:rPr>
          <w:rFonts w:cs="Times New Roman"/>
        </w:rPr>
        <w:t>, but the terms would not</w:t>
      </w:r>
      <w:r w:rsidR="0021621D" w:rsidRPr="00124B71">
        <w:rPr>
          <w:rFonts w:cs="Times New Roman"/>
        </w:rPr>
        <w:t xml:space="preserve"> have </w:t>
      </w:r>
      <w:r w:rsidRPr="00124B71">
        <w:rPr>
          <w:rFonts w:cs="Times New Roman"/>
        </w:rPr>
        <w:t>be</w:t>
      </w:r>
      <w:r w:rsidR="0021621D" w:rsidRPr="00124B71">
        <w:rPr>
          <w:rFonts w:cs="Times New Roman"/>
        </w:rPr>
        <w:t>en</w:t>
      </w:r>
      <w:r w:rsidRPr="00124B71">
        <w:rPr>
          <w:rFonts w:cs="Times New Roman"/>
        </w:rPr>
        <w:t xml:space="preserve"> to the liking of homeowners, and the long-term implications </w:t>
      </w:r>
      <w:r w:rsidR="00A67621" w:rsidRPr="00124B71">
        <w:rPr>
          <w:rFonts w:cs="Times New Roman"/>
        </w:rPr>
        <w:t>would not have been</w:t>
      </w:r>
      <w:r w:rsidRPr="00124B71">
        <w:rPr>
          <w:rFonts w:cs="Times New Roman"/>
        </w:rPr>
        <w:t xml:space="preserve"> pleasant</w:t>
      </w:r>
      <w:r w:rsidR="00D3751D" w:rsidRPr="00124B71">
        <w:rPr>
          <w:rFonts w:cs="Times New Roman"/>
        </w:rPr>
        <w:t>: convert part of the mortgage to a zero coupon bond</w:t>
      </w:r>
      <w:r w:rsidR="001858B5">
        <w:rPr>
          <w:rFonts w:cs="Times New Roman"/>
        </w:rPr>
        <w:fldChar w:fldCharType="begin"/>
      </w:r>
      <w:r w:rsidR="006756FD">
        <w:instrText xml:space="preserve"> XE "</w:instrText>
      </w:r>
      <w:r w:rsidR="006756FD" w:rsidRPr="007F238F">
        <w:rPr>
          <w:rFonts w:cs="Times New Roman"/>
        </w:rPr>
        <w:instrText>zero coupon bond</w:instrText>
      </w:r>
      <w:r w:rsidR="006756FD">
        <w:instrText xml:space="preserve">" </w:instrText>
      </w:r>
      <w:r w:rsidR="001858B5">
        <w:rPr>
          <w:rFonts w:cs="Times New Roman"/>
        </w:rPr>
        <w:fldChar w:fldCharType="end"/>
      </w:r>
      <w:r w:rsidR="00D3751D" w:rsidRPr="00124B71">
        <w:rPr>
          <w:rFonts w:cs="Times New Roman"/>
        </w:rPr>
        <w:t>. A zero coupon bond is a bond which does not make periodic interest payments. Think of it a zero amortization loan</w:t>
      </w:r>
      <w:r w:rsidR="001858B5">
        <w:rPr>
          <w:rFonts w:cs="Times New Roman"/>
        </w:rPr>
        <w:fldChar w:fldCharType="begin"/>
      </w:r>
      <w:r w:rsidR="00FB4BC9">
        <w:instrText xml:space="preserve"> XE "</w:instrText>
      </w:r>
      <w:r w:rsidR="00FB4BC9" w:rsidRPr="000E3652">
        <w:rPr>
          <w:rFonts w:cs="Times New Roman"/>
        </w:rPr>
        <w:instrText>zero amortization loan</w:instrText>
      </w:r>
      <w:r w:rsidR="00FB4BC9">
        <w:instrText xml:space="preserve">" </w:instrText>
      </w:r>
      <w:r w:rsidR="001858B5">
        <w:rPr>
          <w:rFonts w:cs="Times New Roman"/>
        </w:rPr>
        <w:fldChar w:fldCharType="end"/>
      </w:r>
      <w:r w:rsidR="00D3751D" w:rsidRPr="00124B71">
        <w:rPr>
          <w:rFonts w:cs="Times New Roman"/>
        </w:rPr>
        <w:t>. The borrower pays neither the interest nor the principal, and both accumulate for the life of the loan. The loan would be due upon the sale of the house.</w:t>
      </w:r>
    </w:p>
    <w:p w14:paraId="5081BACC" w14:textId="77777777" w:rsidR="00790DD0" w:rsidRPr="00124B71" w:rsidRDefault="0056372B" w:rsidP="00AE5BC0">
      <w:pPr>
        <w:rPr>
          <w:rFonts w:cs="Times New Roman"/>
        </w:rPr>
      </w:pPr>
      <w:r w:rsidRPr="00124B71">
        <w:rPr>
          <w:rFonts w:cs="Times New Roman"/>
        </w:rPr>
        <w:t xml:space="preserve">There </w:t>
      </w:r>
      <w:r w:rsidR="0021621D" w:rsidRPr="00124B71">
        <w:rPr>
          <w:rFonts w:cs="Times New Roman"/>
        </w:rPr>
        <w:t>were</w:t>
      </w:r>
      <w:r w:rsidRPr="00124B71">
        <w:rPr>
          <w:rFonts w:cs="Times New Roman"/>
        </w:rPr>
        <w:t xml:space="preserve"> many borrowers who </w:t>
      </w:r>
      <w:r w:rsidR="0021621D" w:rsidRPr="00124B71">
        <w:rPr>
          <w:rFonts w:cs="Times New Roman"/>
        </w:rPr>
        <w:t>were</w:t>
      </w:r>
      <w:r w:rsidRPr="00124B71">
        <w:rPr>
          <w:rFonts w:cs="Times New Roman"/>
        </w:rPr>
        <w:t xml:space="preserve"> capable of making the payments on a conventional 30-year mortgage when their loan</w:t>
      </w:r>
      <w:r w:rsidR="00536BDC" w:rsidRPr="00124B71">
        <w:rPr>
          <w:rFonts w:cs="Times New Roman"/>
        </w:rPr>
        <w:t>s</w:t>
      </w:r>
      <w:r w:rsidRPr="00124B71">
        <w:rPr>
          <w:rFonts w:cs="Times New Roman"/>
        </w:rPr>
        <w:t xml:space="preserve"> reset, but </w:t>
      </w:r>
      <w:r w:rsidR="0021621D" w:rsidRPr="00124B71">
        <w:rPr>
          <w:rFonts w:cs="Times New Roman"/>
        </w:rPr>
        <w:t xml:space="preserve">they were </w:t>
      </w:r>
      <w:r w:rsidRPr="00124B71">
        <w:rPr>
          <w:rFonts w:cs="Times New Roman"/>
        </w:rPr>
        <w:t xml:space="preserve">unable to refinance because they </w:t>
      </w:r>
      <w:r w:rsidR="0021621D" w:rsidRPr="00124B71">
        <w:rPr>
          <w:rFonts w:cs="Times New Roman"/>
        </w:rPr>
        <w:t>owed more on their mortgage than was allowed</w:t>
      </w:r>
      <w:r w:rsidR="00D3751D" w:rsidRPr="00124B71">
        <w:rPr>
          <w:rFonts w:cs="Times New Roman"/>
        </w:rPr>
        <w:t xml:space="preserve"> to qualify for refinancing</w:t>
      </w:r>
      <w:r w:rsidRPr="00124B71">
        <w:rPr>
          <w:rFonts w:cs="Times New Roman"/>
        </w:rPr>
        <w:t xml:space="preserve">. For this group of borrowers, the government </w:t>
      </w:r>
      <w:r w:rsidR="00D3751D" w:rsidRPr="00124B71">
        <w:rPr>
          <w:rFonts w:cs="Times New Roman"/>
        </w:rPr>
        <w:t>could have</w:t>
      </w:r>
      <w:r w:rsidRPr="00124B71">
        <w:rPr>
          <w:rFonts w:cs="Times New Roman"/>
        </w:rPr>
        <w:t xml:space="preserve"> institute</w:t>
      </w:r>
      <w:r w:rsidR="00D3751D" w:rsidRPr="00124B71">
        <w:rPr>
          <w:rFonts w:cs="Times New Roman"/>
        </w:rPr>
        <w:t>d</w:t>
      </w:r>
      <w:r w:rsidRPr="00124B71">
        <w:rPr>
          <w:rFonts w:cs="Times New Roman"/>
        </w:rPr>
        <w:t xml:space="preserve"> a “loan guarantee” program similar to what they did for Chrysler in the </w:t>
      </w:r>
      <w:r w:rsidR="009767F5" w:rsidRPr="00124B71">
        <w:rPr>
          <w:rFonts w:cs="Times New Roman"/>
        </w:rPr>
        <w:t>80s</w:t>
      </w:r>
      <w:r w:rsidRPr="00124B71">
        <w:rPr>
          <w:rFonts w:cs="Times New Roman"/>
        </w:rPr>
        <w:t>. It would</w:t>
      </w:r>
      <w:r w:rsidR="00D3751D" w:rsidRPr="00124B71">
        <w:rPr>
          <w:rFonts w:cs="Times New Roman"/>
        </w:rPr>
        <w:t xml:space="preserve"> have</w:t>
      </w:r>
      <w:r w:rsidRPr="00124B71">
        <w:rPr>
          <w:rFonts w:cs="Times New Roman"/>
        </w:rPr>
        <w:t xml:space="preserve"> be</w:t>
      </w:r>
      <w:r w:rsidR="00D3751D" w:rsidRPr="00124B71">
        <w:rPr>
          <w:rFonts w:cs="Times New Roman"/>
        </w:rPr>
        <w:t>en</w:t>
      </w:r>
      <w:r w:rsidRPr="00124B71">
        <w:rPr>
          <w:rFonts w:cs="Times New Roman"/>
        </w:rPr>
        <w:t xml:space="preserve"> in both the </w:t>
      </w:r>
      <w:r w:rsidR="00AC2C66" w:rsidRPr="00124B71">
        <w:rPr>
          <w:rFonts w:cs="Times New Roman"/>
        </w:rPr>
        <w:t>lender</w:t>
      </w:r>
      <w:r w:rsidRPr="00124B71">
        <w:rPr>
          <w:rFonts w:cs="Times New Roman"/>
        </w:rPr>
        <w:t xml:space="preserve">’s interest and the borrower’s interest to make the loan and have the borrower continue to make payments, and some banks </w:t>
      </w:r>
      <w:r w:rsidR="00D3751D" w:rsidRPr="00124B71">
        <w:rPr>
          <w:rFonts w:cs="Times New Roman"/>
        </w:rPr>
        <w:t>would have</w:t>
      </w:r>
      <w:r w:rsidRPr="00124B71">
        <w:rPr>
          <w:rFonts w:cs="Times New Roman"/>
        </w:rPr>
        <w:t xml:space="preserve"> </w:t>
      </w:r>
      <w:r w:rsidR="00A67621" w:rsidRPr="00124B71">
        <w:rPr>
          <w:rFonts w:cs="Times New Roman"/>
        </w:rPr>
        <w:t xml:space="preserve">done </w:t>
      </w:r>
      <w:r w:rsidRPr="00124B71">
        <w:rPr>
          <w:rFonts w:cs="Times New Roman"/>
        </w:rPr>
        <w:t xml:space="preserve">this on their own (or </w:t>
      </w:r>
      <w:r w:rsidR="00D3751D" w:rsidRPr="00124B71">
        <w:rPr>
          <w:rFonts w:cs="Times New Roman"/>
        </w:rPr>
        <w:t>would have been</w:t>
      </w:r>
      <w:r w:rsidRPr="00124B71">
        <w:rPr>
          <w:rFonts w:cs="Times New Roman"/>
        </w:rPr>
        <w:t xml:space="preserve"> forced to in a “cram down“); however, many other banks</w:t>
      </w:r>
      <w:r w:rsidR="00D3751D" w:rsidRPr="00124B71">
        <w:rPr>
          <w:rFonts w:cs="Times New Roman"/>
        </w:rPr>
        <w:t xml:space="preserve"> would</w:t>
      </w:r>
      <w:r w:rsidRPr="00124B71">
        <w:rPr>
          <w:rFonts w:cs="Times New Roman"/>
        </w:rPr>
        <w:t xml:space="preserve"> not, so a government </w:t>
      </w:r>
      <w:r w:rsidRPr="00124B71">
        <w:rPr>
          <w:rFonts w:cs="Times New Roman"/>
        </w:rPr>
        <w:lastRenderedPageBreak/>
        <w:t xml:space="preserve">program </w:t>
      </w:r>
      <w:r w:rsidR="00D3751D" w:rsidRPr="00124B71">
        <w:rPr>
          <w:rFonts w:cs="Times New Roman"/>
        </w:rPr>
        <w:t>would have been</w:t>
      </w:r>
      <w:r w:rsidRPr="00124B71">
        <w:rPr>
          <w:rFonts w:cs="Times New Roman"/>
        </w:rPr>
        <w:t xml:space="preserve"> necessary to prevent further disruption in the market. </w:t>
      </w:r>
    </w:p>
    <w:p w14:paraId="1BE7FC9A" w14:textId="77777777" w:rsidR="0056372B" w:rsidRPr="00124B71" w:rsidRDefault="0056372B" w:rsidP="00AE5BC0">
      <w:pPr>
        <w:rPr>
          <w:rFonts w:cs="Times New Roman"/>
        </w:rPr>
      </w:pPr>
      <w:r w:rsidRPr="00124B71">
        <w:rPr>
          <w:rFonts w:cs="Times New Roman"/>
        </w:rPr>
        <w:t xml:space="preserve">Here is how it would </w:t>
      </w:r>
      <w:r w:rsidR="00A67621" w:rsidRPr="00124B71">
        <w:rPr>
          <w:rFonts w:cs="Times New Roman"/>
        </w:rPr>
        <w:t xml:space="preserve">have </w:t>
      </w:r>
      <w:r w:rsidRPr="00124B71">
        <w:rPr>
          <w:rFonts w:cs="Times New Roman"/>
        </w:rPr>
        <w:t>work</w:t>
      </w:r>
      <w:r w:rsidR="00A67621" w:rsidRPr="00124B71">
        <w:rPr>
          <w:rFonts w:cs="Times New Roman"/>
        </w:rPr>
        <w:t>ed</w:t>
      </w:r>
      <w:r w:rsidRPr="00124B71">
        <w:rPr>
          <w:rFonts w:cs="Times New Roman"/>
        </w:rPr>
        <w:t xml:space="preserve"> for our typical </w:t>
      </w:r>
      <w:r w:rsidR="00EE7CAE" w:rsidRPr="00124B71">
        <w:rPr>
          <w:rFonts w:cs="Times New Roman"/>
        </w:rPr>
        <w:t>homeowner</w:t>
      </w:r>
      <w:r w:rsidRPr="00124B71">
        <w:rPr>
          <w:rFonts w:cs="Times New Roman"/>
        </w:rPr>
        <w:t>: Assume a borrower utilized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and took out a $500,000 interest-only mortgage with a 2% teaser rate that is due to adjust to 6%. Further assume the borrower’s real income (not what was reported on the liar loan) could support a $1,500 payment on a $250,000 conventional 30-year mortgage at 6%. The bank could convert $250,000 to a conventional mortgage, and convert the other $250,000 to a zero coupon bond</w:t>
      </w:r>
      <w:r w:rsidR="001858B5">
        <w:rPr>
          <w:rFonts w:cs="Times New Roman"/>
        </w:rPr>
        <w:fldChar w:fldCharType="begin"/>
      </w:r>
      <w:r w:rsidR="006756FD">
        <w:instrText xml:space="preserve"> XE "</w:instrText>
      </w:r>
      <w:r w:rsidR="006756FD" w:rsidRPr="007F238F">
        <w:rPr>
          <w:rFonts w:cs="Times New Roman"/>
        </w:rPr>
        <w:instrText>zero coupon bond</w:instrText>
      </w:r>
      <w:r w:rsidR="006756FD">
        <w:instrText xml:space="preserve">" </w:instrText>
      </w:r>
      <w:r w:rsidR="001858B5">
        <w:rPr>
          <w:rFonts w:cs="Times New Roman"/>
        </w:rPr>
        <w:fldChar w:fldCharType="end"/>
      </w:r>
      <w:r w:rsidRPr="00124B71">
        <w:rPr>
          <w:rFonts w:cs="Times New Roman"/>
        </w:rPr>
        <w:t xml:space="preserve"> at 6% due on sale. The </w:t>
      </w:r>
      <w:r w:rsidR="00EE7CAE" w:rsidRPr="00124B71">
        <w:rPr>
          <w:rFonts w:cs="Times New Roman"/>
        </w:rPr>
        <w:t>homeowner</w:t>
      </w:r>
      <w:r w:rsidRPr="00124B71">
        <w:rPr>
          <w:rFonts w:cs="Times New Roman"/>
        </w:rPr>
        <w:t xml:space="preserve"> </w:t>
      </w:r>
      <w:r w:rsidR="00D3751D" w:rsidRPr="00124B71">
        <w:rPr>
          <w:rFonts w:cs="Times New Roman"/>
        </w:rPr>
        <w:t xml:space="preserve">could </w:t>
      </w:r>
      <w:r w:rsidR="00A67621" w:rsidRPr="00124B71">
        <w:rPr>
          <w:rFonts w:cs="Times New Roman"/>
        </w:rPr>
        <w:t>have</w:t>
      </w:r>
      <w:r w:rsidR="00D3751D" w:rsidRPr="00124B71">
        <w:rPr>
          <w:rFonts w:cs="Times New Roman"/>
        </w:rPr>
        <w:t xml:space="preserve"> ma</w:t>
      </w:r>
      <w:r w:rsidR="00A67621" w:rsidRPr="00124B71">
        <w:rPr>
          <w:rFonts w:cs="Times New Roman"/>
        </w:rPr>
        <w:t>d</w:t>
      </w:r>
      <w:r w:rsidR="00D3751D" w:rsidRPr="00124B71">
        <w:rPr>
          <w:rFonts w:cs="Times New Roman"/>
        </w:rPr>
        <w:t>e their payment</w:t>
      </w:r>
      <w:r w:rsidRPr="00124B71">
        <w:rPr>
          <w:rFonts w:cs="Times New Roman"/>
        </w:rPr>
        <w:t xml:space="preserve"> and ke</w:t>
      </w:r>
      <w:r w:rsidR="00A67621" w:rsidRPr="00124B71">
        <w:rPr>
          <w:rFonts w:cs="Times New Roman"/>
        </w:rPr>
        <w:t>pt</w:t>
      </w:r>
      <w:r w:rsidRPr="00124B71">
        <w:rPr>
          <w:rFonts w:cs="Times New Roman"/>
        </w:rPr>
        <w:t xml:space="preserve"> their house</w:t>
      </w:r>
      <w:r w:rsidR="00D3751D" w:rsidRPr="00124B71">
        <w:rPr>
          <w:rFonts w:cs="Times New Roman"/>
        </w:rPr>
        <w:t xml:space="preserve">; however, </w:t>
      </w:r>
      <w:r w:rsidRPr="00124B71">
        <w:rPr>
          <w:rFonts w:cs="Times New Roman"/>
        </w:rPr>
        <w:t xml:space="preserve">when they </w:t>
      </w:r>
      <w:r w:rsidR="00A67621" w:rsidRPr="00124B71">
        <w:rPr>
          <w:rFonts w:cs="Times New Roman"/>
        </w:rPr>
        <w:t>later sold</w:t>
      </w:r>
      <w:r w:rsidRPr="00124B71">
        <w:rPr>
          <w:rFonts w:cs="Times New Roman"/>
        </w:rPr>
        <w:t xml:space="preserve"> their house, they </w:t>
      </w:r>
      <w:r w:rsidR="00D3751D" w:rsidRPr="00124B71">
        <w:rPr>
          <w:rFonts w:cs="Times New Roman"/>
        </w:rPr>
        <w:t>would</w:t>
      </w:r>
      <w:r w:rsidR="00A67621" w:rsidRPr="00124B71">
        <w:rPr>
          <w:rFonts w:cs="Times New Roman"/>
        </w:rPr>
        <w:t xml:space="preserve"> have</w:t>
      </w:r>
      <w:r w:rsidRPr="00124B71">
        <w:rPr>
          <w:rFonts w:cs="Times New Roman"/>
        </w:rPr>
        <w:t xml:space="preserve"> owe</w:t>
      </w:r>
      <w:r w:rsidR="00A67621" w:rsidRPr="00124B71">
        <w:rPr>
          <w:rFonts w:cs="Times New Roman"/>
        </w:rPr>
        <w:t>d</w:t>
      </w:r>
      <w:r w:rsidRPr="00124B71">
        <w:rPr>
          <w:rFonts w:cs="Times New Roman"/>
        </w:rPr>
        <w:t xml:space="preserve"> the bank a </w:t>
      </w:r>
      <w:r w:rsidR="00A67621" w:rsidRPr="00124B71">
        <w:rPr>
          <w:rFonts w:cs="Times New Roman"/>
        </w:rPr>
        <w:t>great deal</w:t>
      </w:r>
      <w:r w:rsidRPr="00124B71">
        <w:rPr>
          <w:rFonts w:cs="Times New Roman"/>
        </w:rPr>
        <w:t xml:space="preserve"> of money. If they </w:t>
      </w:r>
      <w:r w:rsidR="00D3751D" w:rsidRPr="00124B71">
        <w:rPr>
          <w:rFonts w:cs="Times New Roman"/>
        </w:rPr>
        <w:t>sold</w:t>
      </w:r>
      <w:r w:rsidRPr="00124B71">
        <w:rPr>
          <w:rFonts w:cs="Times New Roman"/>
        </w:rPr>
        <w:t xml:space="preserve"> the house in 20 years, they </w:t>
      </w:r>
      <w:r w:rsidR="00D3751D" w:rsidRPr="00124B71">
        <w:rPr>
          <w:rFonts w:cs="Times New Roman"/>
        </w:rPr>
        <w:t>would</w:t>
      </w:r>
      <w:r w:rsidRPr="00124B71">
        <w:rPr>
          <w:rFonts w:cs="Times New Roman"/>
        </w:rPr>
        <w:t xml:space="preserve"> owe $800,000 on the zero coupon bond note. In other words, all the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gain on the value of the home </w:t>
      </w:r>
      <w:r w:rsidR="00D3751D" w:rsidRPr="00124B71">
        <w:rPr>
          <w:rFonts w:cs="Times New Roman"/>
        </w:rPr>
        <w:t>would</w:t>
      </w:r>
      <w:r w:rsidRPr="00124B71">
        <w:rPr>
          <w:rFonts w:cs="Times New Roman"/>
        </w:rPr>
        <w:t xml:space="preserve"> </w:t>
      </w:r>
      <w:r w:rsidR="00A67621" w:rsidRPr="00124B71">
        <w:rPr>
          <w:rFonts w:cs="Times New Roman"/>
        </w:rPr>
        <w:t>have gone</w:t>
      </w:r>
      <w:r w:rsidRPr="00124B71">
        <w:rPr>
          <w:rFonts w:cs="Times New Roman"/>
        </w:rPr>
        <w:t xml:space="preserve"> to the bank.</w:t>
      </w:r>
    </w:p>
    <w:p w14:paraId="2DD26747" w14:textId="77777777" w:rsidR="0056372B" w:rsidRPr="00124B71" w:rsidRDefault="0056372B" w:rsidP="00AE5BC0">
      <w:pPr>
        <w:rPr>
          <w:rFonts w:cs="Times New Roman"/>
        </w:rPr>
      </w:pPr>
      <w:r w:rsidRPr="00124B71">
        <w:rPr>
          <w:rFonts w:cs="Times New Roman"/>
        </w:rPr>
        <w:t>This would</w:t>
      </w:r>
      <w:r w:rsidR="00D3751D" w:rsidRPr="00124B71">
        <w:rPr>
          <w:rFonts w:cs="Times New Roman"/>
        </w:rPr>
        <w:t xml:space="preserve"> have</w:t>
      </w:r>
      <w:r w:rsidRPr="00124B71">
        <w:rPr>
          <w:rFonts w:cs="Times New Roman"/>
        </w:rPr>
        <w:t xml:space="preserve"> solve</w:t>
      </w:r>
      <w:r w:rsidR="00D3751D" w:rsidRPr="00124B71">
        <w:rPr>
          <w:rFonts w:cs="Times New Roman"/>
        </w:rPr>
        <w:t>d</w:t>
      </w:r>
      <w:r w:rsidRPr="00124B71">
        <w:rPr>
          <w:rFonts w:cs="Times New Roman"/>
        </w:rPr>
        <w:t xml:space="preserve"> a multitude of problems: First, it would</w:t>
      </w:r>
      <w:r w:rsidR="00D3751D" w:rsidRPr="00124B71">
        <w:rPr>
          <w:rFonts w:cs="Times New Roman"/>
        </w:rPr>
        <w:t xml:space="preserve"> have</w:t>
      </w:r>
      <w:r w:rsidRPr="00124B71">
        <w:rPr>
          <w:rFonts w:cs="Times New Roman"/>
        </w:rPr>
        <w:t xml:space="preserve"> provide</w:t>
      </w:r>
      <w:r w:rsidR="00D3751D" w:rsidRPr="00124B71">
        <w:rPr>
          <w:rFonts w:cs="Times New Roman"/>
        </w:rPr>
        <w:t>d</w:t>
      </w:r>
      <w:r w:rsidRPr="00124B71">
        <w:rPr>
          <w:rFonts w:cs="Times New Roman"/>
        </w:rPr>
        <w:t xml:space="preserve"> a mechanism whereby people who were victims of predatory lending could</w:t>
      </w:r>
      <w:r w:rsidR="00D3751D" w:rsidRPr="00124B71">
        <w:rPr>
          <w:rFonts w:cs="Times New Roman"/>
        </w:rPr>
        <w:t xml:space="preserve"> have ke</w:t>
      </w:r>
      <w:r w:rsidRPr="00124B71">
        <w:rPr>
          <w:rFonts w:cs="Times New Roman"/>
        </w:rPr>
        <w:t>p</w:t>
      </w:r>
      <w:r w:rsidR="00D3751D" w:rsidRPr="00124B71">
        <w:rPr>
          <w:rFonts w:cs="Times New Roman"/>
        </w:rPr>
        <w:t>t</w:t>
      </w:r>
      <w:r w:rsidRPr="00124B71">
        <w:rPr>
          <w:rFonts w:cs="Times New Roman"/>
        </w:rPr>
        <w:t xml:space="preserve"> their homes. This would </w:t>
      </w:r>
      <w:r w:rsidR="00D3751D" w:rsidRPr="00124B71">
        <w:rPr>
          <w:rFonts w:cs="Times New Roman"/>
        </w:rPr>
        <w:t xml:space="preserve">have </w:t>
      </w:r>
      <w:r w:rsidRPr="00124B71">
        <w:rPr>
          <w:rFonts w:cs="Times New Roman"/>
        </w:rPr>
        <w:t>ma</w:t>
      </w:r>
      <w:r w:rsidR="00D3751D" w:rsidRPr="00124B71">
        <w:rPr>
          <w:rFonts w:cs="Times New Roman"/>
        </w:rPr>
        <w:t>d</w:t>
      </w:r>
      <w:r w:rsidRPr="00124B71">
        <w:rPr>
          <w:rFonts w:cs="Times New Roman"/>
        </w:rPr>
        <w:t xml:space="preserve">e the </w:t>
      </w:r>
      <w:r w:rsidR="00EE7CAE" w:rsidRPr="00124B71">
        <w:rPr>
          <w:rFonts w:cs="Times New Roman"/>
        </w:rPr>
        <w:t>homeowner</w:t>
      </w:r>
      <w:r w:rsidRPr="00124B71">
        <w:rPr>
          <w:rFonts w:cs="Times New Roman"/>
        </w:rPr>
        <w:t xml:space="preserve"> happy, and it would</w:t>
      </w:r>
      <w:r w:rsidR="00D3751D" w:rsidRPr="00124B71">
        <w:rPr>
          <w:rFonts w:cs="Times New Roman"/>
        </w:rPr>
        <w:t xml:space="preserve"> have kept </w:t>
      </w:r>
      <w:r w:rsidRPr="00124B71">
        <w:rPr>
          <w:rFonts w:cs="Times New Roman"/>
        </w:rPr>
        <w:t xml:space="preserve">government regulators out of the </w:t>
      </w:r>
      <w:r w:rsidR="00D3751D" w:rsidRPr="00124B71">
        <w:rPr>
          <w:rFonts w:cs="Times New Roman"/>
        </w:rPr>
        <w:t>lender</w:t>
      </w:r>
      <w:r w:rsidRPr="00124B71">
        <w:rPr>
          <w:rFonts w:cs="Times New Roman"/>
        </w:rPr>
        <w:t>’s business. Second, it would</w:t>
      </w:r>
      <w:r w:rsidR="00D3751D" w:rsidRPr="00124B71">
        <w:rPr>
          <w:rFonts w:cs="Times New Roman"/>
        </w:rPr>
        <w:t xml:space="preserve"> have mad</w:t>
      </w:r>
      <w:r w:rsidRPr="00124B71">
        <w:rPr>
          <w:rFonts w:cs="Times New Roman"/>
        </w:rPr>
        <w:t xml:space="preserve">e the </w:t>
      </w:r>
      <w:r w:rsidR="00D3751D" w:rsidRPr="00124B71">
        <w:rPr>
          <w:rFonts w:cs="Times New Roman"/>
        </w:rPr>
        <w:t>lender</w:t>
      </w:r>
      <w:r w:rsidRPr="00124B71">
        <w:rPr>
          <w:rFonts w:cs="Times New Roman"/>
        </w:rPr>
        <w:t>s more money in the long run because they still</w:t>
      </w:r>
      <w:r w:rsidR="00D3751D" w:rsidRPr="00124B71">
        <w:rPr>
          <w:rFonts w:cs="Times New Roman"/>
        </w:rPr>
        <w:t xml:space="preserve"> </w:t>
      </w:r>
      <w:r w:rsidR="00A67621" w:rsidRPr="00124B71">
        <w:rPr>
          <w:rFonts w:cs="Times New Roman"/>
        </w:rPr>
        <w:t xml:space="preserve">would </w:t>
      </w:r>
      <w:r w:rsidR="00D3751D" w:rsidRPr="00124B71">
        <w:rPr>
          <w:rFonts w:cs="Times New Roman"/>
        </w:rPr>
        <w:t>have been</w:t>
      </w:r>
      <w:r w:rsidRPr="00124B71">
        <w:rPr>
          <w:rFonts w:cs="Times New Roman"/>
        </w:rPr>
        <w:t xml:space="preserve"> making their interest profit even if they d</w:t>
      </w:r>
      <w:r w:rsidR="00D3751D" w:rsidRPr="00124B71">
        <w:rPr>
          <w:rFonts w:cs="Times New Roman"/>
        </w:rPr>
        <w:t>id</w:t>
      </w:r>
      <w:r w:rsidRPr="00124B71">
        <w:rPr>
          <w:rFonts w:cs="Times New Roman"/>
        </w:rPr>
        <w:t xml:space="preserve"> not see it until </w:t>
      </w:r>
      <w:r w:rsidR="00D3751D" w:rsidRPr="00124B71">
        <w:rPr>
          <w:rFonts w:cs="Times New Roman"/>
        </w:rPr>
        <w:t>after</w:t>
      </w:r>
      <w:r w:rsidRPr="00124B71">
        <w:rPr>
          <w:rFonts w:cs="Times New Roman"/>
        </w:rPr>
        <w:t xml:space="preserve"> the home </w:t>
      </w:r>
      <w:r w:rsidR="00536BDC" w:rsidRPr="00124B71">
        <w:rPr>
          <w:rFonts w:cs="Times New Roman"/>
        </w:rPr>
        <w:t>was</w:t>
      </w:r>
      <w:r w:rsidR="00D3751D" w:rsidRPr="00124B71">
        <w:rPr>
          <w:rFonts w:cs="Times New Roman"/>
        </w:rPr>
        <w:t xml:space="preserve"> sold. </w:t>
      </w:r>
      <w:r w:rsidRPr="00124B71">
        <w:rPr>
          <w:rFonts w:cs="Times New Roman"/>
        </w:rPr>
        <w:t>(</w:t>
      </w:r>
      <w:r w:rsidR="00D3751D" w:rsidRPr="00124B71">
        <w:rPr>
          <w:rFonts w:cs="Times New Roman"/>
        </w:rPr>
        <w:t>M</w:t>
      </w:r>
      <w:r w:rsidRPr="00124B71">
        <w:rPr>
          <w:rFonts w:cs="Times New Roman"/>
        </w:rPr>
        <w:t>any may not be aware of it, but lenders book income on the increase in principal on a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w:t>
      </w:r>
      <w:r w:rsidR="00A40CA5" w:rsidRPr="00124B71">
        <w:rPr>
          <w:rFonts w:cs="Times New Roman"/>
        </w:rPr>
        <w:t>).</w:t>
      </w:r>
      <w:r w:rsidRPr="00124B71">
        <w:rPr>
          <w:rFonts w:cs="Times New Roman"/>
        </w:rPr>
        <w:t xml:space="preserve"> Third, since foreclosures </w:t>
      </w:r>
      <w:r w:rsidR="00D3751D" w:rsidRPr="00124B71">
        <w:rPr>
          <w:rFonts w:cs="Times New Roman"/>
        </w:rPr>
        <w:t>were</w:t>
      </w:r>
      <w:r w:rsidRPr="00124B71">
        <w:rPr>
          <w:rFonts w:cs="Times New Roman"/>
        </w:rPr>
        <w:t xml:space="preserve"> the primary mechanism facilitating the crash, it would </w:t>
      </w:r>
      <w:r w:rsidR="00D3751D" w:rsidRPr="00124B71">
        <w:rPr>
          <w:rFonts w:cs="Times New Roman"/>
        </w:rPr>
        <w:t xml:space="preserve">have </w:t>
      </w:r>
      <w:r w:rsidRPr="00124B71">
        <w:rPr>
          <w:rFonts w:cs="Times New Roman"/>
        </w:rPr>
        <w:t>kep</w:t>
      </w:r>
      <w:r w:rsidR="00D3751D" w:rsidRPr="00124B71">
        <w:rPr>
          <w:rFonts w:cs="Times New Roman"/>
        </w:rPr>
        <w:t>t</w:t>
      </w:r>
      <w:r w:rsidRPr="00124B71">
        <w:rPr>
          <w:rFonts w:cs="Times New Roman"/>
        </w:rPr>
        <w:t xml:space="preserve"> home prices from crashing by reducing the number of foreclosures.</w:t>
      </w:r>
    </w:p>
    <w:p w14:paraId="7BD0E5A2" w14:textId="77777777" w:rsidR="0056372B" w:rsidRPr="00124B71" w:rsidRDefault="0056372B" w:rsidP="00AE5BC0">
      <w:pPr>
        <w:rPr>
          <w:rFonts w:cs="Times New Roman"/>
        </w:rPr>
      </w:pPr>
      <w:r w:rsidRPr="00124B71">
        <w:rPr>
          <w:rFonts w:cs="Times New Roman"/>
        </w:rPr>
        <w:t xml:space="preserve">Sounds like a panacea, but there </w:t>
      </w:r>
      <w:r w:rsidR="00A67621" w:rsidRPr="00124B71">
        <w:rPr>
          <w:rFonts w:cs="Times New Roman"/>
        </w:rPr>
        <w:t>would have been</w:t>
      </w:r>
      <w:r w:rsidRPr="00124B71">
        <w:rPr>
          <w:rFonts w:cs="Times New Roman"/>
        </w:rPr>
        <w:t xml:space="preserve"> som</w:t>
      </w:r>
      <w:r w:rsidR="00D3751D" w:rsidRPr="00124B71">
        <w:rPr>
          <w:rFonts w:cs="Times New Roman"/>
        </w:rPr>
        <w:t>e problems. The first problem would</w:t>
      </w:r>
      <w:r w:rsidRPr="00124B71">
        <w:rPr>
          <w:rFonts w:cs="Times New Roman"/>
        </w:rPr>
        <w:t xml:space="preserve"> become apparent when people start selling their houses. People are greedy. They </w:t>
      </w:r>
      <w:r w:rsidR="003D5DDE" w:rsidRPr="00124B71">
        <w:rPr>
          <w:rFonts w:cs="Times New Roman"/>
        </w:rPr>
        <w:t>would</w:t>
      </w:r>
      <w:r w:rsidRPr="00124B71">
        <w:rPr>
          <w:rFonts w:cs="Times New Roman"/>
        </w:rPr>
        <w:t xml:space="preserve"> not </w:t>
      </w:r>
      <w:r w:rsidR="00A67621" w:rsidRPr="00124B71">
        <w:rPr>
          <w:rFonts w:cs="Times New Roman"/>
        </w:rPr>
        <w:t xml:space="preserve">have </w:t>
      </w:r>
      <w:r w:rsidRPr="00124B71">
        <w:rPr>
          <w:rFonts w:cs="Times New Roman"/>
        </w:rPr>
        <w:t>want</w:t>
      </w:r>
      <w:r w:rsidR="00A67621" w:rsidRPr="00124B71">
        <w:rPr>
          <w:rFonts w:cs="Times New Roman"/>
        </w:rPr>
        <w:t>ed</w:t>
      </w:r>
      <w:r w:rsidRPr="00124B71">
        <w:rPr>
          <w:rFonts w:cs="Times New Roman"/>
        </w:rPr>
        <w:t xml:space="preserve"> to give the bank all their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when they </w:t>
      </w:r>
      <w:r w:rsidR="003D5DDE" w:rsidRPr="00124B71">
        <w:rPr>
          <w:rFonts w:cs="Times New Roman"/>
        </w:rPr>
        <w:t>sold</w:t>
      </w:r>
      <w:r w:rsidRPr="00124B71">
        <w:rPr>
          <w:rFonts w:cs="Times New Roman"/>
        </w:rPr>
        <w:t xml:space="preserve">. They </w:t>
      </w:r>
      <w:r w:rsidR="003D5DDE" w:rsidRPr="00124B71">
        <w:rPr>
          <w:rFonts w:cs="Times New Roman"/>
        </w:rPr>
        <w:t>would</w:t>
      </w:r>
      <w:r w:rsidR="00A67621" w:rsidRPr="00124B71">
        <w:rPr>
          <w:rFonts w:cs="Times New Roman"/>
        </w:rPr>
        <w:t xml:space="preserve"> have</w:t>
      </w:r>
      <w:r w:rsidRPr="00124B71">
        <w:rPr>
          <w:rFonts w:cs="Times New Roman"/>
        </w:rPr>
        <w:t xml:space="preserve"> conveniently </w:t>
      </w:r>
      <w:r w:rsidR="00A67621" w:rsidRPr="00124B71">
        <w:rPr>
          <w:rFonts w:cs="Times New Roman"/>
        </w:rPr>
        <w:t>forgotten</w:t>
      </w:r>
      <w:r w:rsidRPr="00124B71">
        <w:rPr>
          <w:rFonts w:cs="Times New Roman"/>
        </w:rPr>
        <w:t xml:space="preserve"> the debt relief and avoiding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and all the problems they had earlier. All they </w:t>
      </w:r>
      <w:r w:rsidR="003D5DDE" w:rsidRPr="00124B71">
        <w:rPr>
          <w:rFonts w:cs="Times New Roman"/>
        </w:rPr>
        <w:t>would</w:t>
      </w:r>
      <w:r w:rsidR="00A67621" w:rsidRPr="00124B71">
        <w:rPr>
          <w:rFonts w:cs="Times New Roman"/>
        </w:rPr>
        <w:t xml:space="preserve"> have</w:t>
      </w:r>
      <w:r w:rsidRPr="00124B71">
        <w:rPr>
          <w:rFonts w:cs="Times New Roman"/>
        </w:rPr>
        <w:t xml:space="preserve"> see</w:t>
      </w:r>
      <w:r w:rsidR="00A67621" w:rsidRPr="00124B71">
        <w:rPr>
          <w:rFonts w:cs="Times New Roman"/>
        </w:rPr>
        <w:t>n</w:t>
      </w:r>
      <w:r w:rsidRPr="00124B71">
        <w:rPr>
          <w:rFonts w:cs="Times New Roman"/>
        </w:rPr>
        <w:t xml:space="preserve"> is that they sold the house for </w:t>
      </w:r>
      <w:r w:rsidR="00A67621" w:rsidRPr="00124B71">
        <w:rPr>
          <w:rFonts w:cs="Times New Roman"/>
        </w:rPr>
        <w:t>much</w:t>
      </w:r>
      <w:r w:rsidRPr="00124B71">
        <w:rPr>
          <w:rFonts w:cs="Times New Roman"/>
        </w:rPr>
        <w:t xml:space="preserve"> more than they paid for it, and they did not make any money. And what happens when the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does not match the term of the note? </w:t>
      </w:r>
      <w:r w:rsidR="00A67621" w:rsidRPr="00124B71">
        <w:rPr>
          <w:rFonts w:cs="Times New Roman"/>
        </w:rPr>
        <w:t>Would they have completed</w:t>
      </w:r>
      <w:r w:rsidRPr="00124B71">
        <w:rPr>
          <w:rFonts w:cs="Times New Roman"/>
        </w:rPr>
        <w:t xml:space="preserve"> a short-sale 20 years down the line? This </w:t>
      </w:r>
      <w:r w:rsidR="003D5DDE" w:rsidRPr="00124B71">
        <w:rPr>
          <w:rFonts w:cs="Times New Roman"/>
        </w:rPr>
        <w:t>would</w:t>
      </w:r>
      <w:r w:rsidRPr="00124B71">
        <w:rPr>
          <w:rFonts w:cs="Times New Roman"/>
        </w:rPr>
        <w:t xml:space="preserve"> </w:t>
      </w:r>
      <w:r w:rsidR="00A67621" w:rsidRPr="00124B71">
        <w:rPr>
          <w:rFonts w:cs="Times New Roman"/>
        </w:rPr>
        <w:t xml:space="preserve">have </w:t>
      </w:r>
      <w:r w:rsidRPr="00124B71">
        <w:rPr>
          <w:rFonts w:cs="Times New Roman"/>
        </w:rPr>
        <w:t>cause</w:t>
      </w:r>
      <w:r w:rsidR="00A67621" w:rsidRPr="00124B71">
        <w:rPr>
          <w:rFonts w:cs="Times New Roman"/>
        </w:rPr>
        <w:t>d</w:t>
      </w:r>
      <w:r w:rsidRPr="00124B71">
        <w:rPr>
          <w:rFonts w:cs="Times New Roman"/>
        </w:rPr>
        <w:t xml:space="preserve"> a huge uproar and more calls for congressional intervention. In other words, for everyone involved the day of reckoning </w:t>
      </w:r>
      <w:r w:rsidR="003D5DDE" w:rsidRPr="00124B71">
        <w:rPr>
          <w:rFonts w:cs="Times New Roman"/>
        </w:rPr>
        <w:t>would be</w:t>
      </w:r>
      <w:r w:rsidRPr="00124B71">
        <w:rPr>
          <w:rFonts w:cs="Times New Roman"/>
        </w:rPr>
        <w:t xml:space="preserve"> delayed, not avoided. </w:t>
      </w:r>
    </w:p>
    <w:p w14:paraId="180665B3" w14:textId="77777777" w:rsidR="0056372B" w:rsidRPr="00124B71" w:rsidRDefault="003D5DDE" w:rsidP="00AE5BC0">
      <w:pPr>
        <w:rPr>
          <w:rFonts w:cs="Times New Roman"/>
        </w:rPr>
      </w:pPr>
      <w:r w:rsidRPr="00124B71">
        <w:rPr>
          <w:rFonts w:cs="Times New Roman"/>
        </w:rPr>
        <w:t>This solution would have done</w:t>
      </w:r>
      <w:r w:rsidR="0056372B" w:rsidRPr="00124B71">
        <w:rPr>
          <w:rFonts w:cs="Times New Roman"/>
        </w:rPr>
        <w:t xml:space="preserve"> nothing for the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0056372B" w:rsidRPr="00124B71">
        <w:rPr>
          <w:rFonts w:cs="Times New Roman"/>
        </w:rPr>
        <w:t xml:space="preserve"> problem. If prices d</w:t>
      </w:r>
      <w:r w:rsidRPr="00124B71">
        <w:rPr>
          <w:rFonts w:cs="Times New Roman"/>
        </w:rPr>
        <w:t>id</w:t>
      </w:r>
      <w:r w:rsidR="0056372B" w:rsidRPr="00124B71">
        <w:rPr>
          <w:rFonts w:cs="Times New Roman"/>
        </w:rPr>
        <w:t xml:space="preserve"> not crash, a great many people really </w:t>
      </w:r>
      <w:r w:rsidRPr="00124B71">
        <w:rPr>
          <w:rFonts w:cs="Times New Roman"/>
        </w:rPr>
        <w:t>would have been</w:t>
      </w:r>
      <w:r w:rsidR="0056372B" w:rsidRPr="00124B71">
        <w:rPr>
          <w:rFonts w:cs="Times New Roman"/>
        </w:rPr>
        <w:t xml:space="preserve"> priced out forever. To solve th</w:t>
      </w:r>
      <w:r w:rsidRPr="00124B71">
        <w:rPr>
          <w:rFonts w:cs="Times New Roman"/>
        </w:rPr>
        <w:t>at problem, banks would have</w:t>
      </w:r>
      <w:r w:rsidR="00A67621" w:rsidRPr="00124B71">
        <w:rPr>
          <w:rFonts w:cs="Times New Roman"/>
        </w:rPr>
        <w:t xml:space="preserve"> had to mak</w:t>
      </w:r>
      <w:r w:rsidRPr="00124B71">
        <w:rPr>
          <w:rFonts w:cs="Times New Roman"/>
        </w:rPr>
        <w:t>e</w:t>
      </w:r>
      <w:r w:rsidR="0056372B" w:rsidRPr="00124B71">
        <w:rPr>
          <w:rFonts w:cs="Times New Roman"/>
        </w:rPr>
        <w:t xml:space="preserve"> zero coupon bonds available to every</w:t>
      </w:r>
      <w:r w:rsidRPr="00124B71">
        <w:rPr>
          <w:rFonts w:cs="Times New Roman"/>
        </w:rPr>
        <w:t>one, and eventually everyone would</w:t>
      </w:r>
      <w:r w:rsidR="0056372B" w:rsidRPr="00124B71">
        <w:rPr>
          <w:rFonts w:cs="Times New Roman"/>
        </w:rPr>
        <w:t xml:space="preserve"> have</w:t>
      </w:r>
      <w:r w:rsidRPr="00124B71">
        <w:rPr>
          <w:rFonts w:cs="Times New Roman"/>
        </w:rPr>
        <w:t xml:space="preserve"> had</w:t>
      </w:r>
      <w:r w:rsidR="0056372B" w:rsidRPr="00124B71">
        <w:rPr>
          <w:rFonts w:cs="Times New Roman"/>
        </w:rPr>
        <w:t xml:space="preserve"> them. Think about where we </w:t>
      </w:r>
      <w:r w:rsidRPr="00124B71">
        <w:rPr>
          <w:rFonts w:cs="Times New Roman"/>
        </w:rPr>
        <w:t>would have been</w:t>
      </w:r>
      <w:r w:rsidR="0056372B" w:rsidRPr="00124B71">
        <w:rPr>
          <w:rFonts w:cs="Times New Roman"/>
        </w:rPr>
        <w:t xml:space="preserve"> then: we </w:t>
      </w:r>
      <w:r w:rsidRPr="00124B71">
        <w:rPr>
          <w:rFonts w:cs="Times New Roman"/>
        </w:rPr>
        <w:t>would</w:t>
      </w:r>
      <w:r w:rsidR="0056372B" w:rsidRPr="00124B71">
        <w:rPr>
          <w:rFonts w:cs="Times New Roman"/>
        </w:rPr>
        <w:t xml:space="preserve"> </w:t>
      </w:r>
      <w:r w:rsidR="00D2021D" w:rsidRPr="00124B71">
        <w:rPr>
          <w:rFonts w:cs="Times New Roman"/>
        </w:rPr>
        <w:t xml:space="preserve">have </w:t>
      </w:r>
      <w:r w:rsidR="0056372B" w:rsidRPr="00124B71">
        <w:rPr>
          <w:rFonts w:cs="Times New Roman"/>
        </w:rPr>
        <w:t>be</w:t>
      </w:r>
      <w:r w:rsidR="00D2021D" w:rsidRPr="00124B71">
        <w:rPr>
          <w:rFonts w:cs="Times New Roman"/>
        </w:rPr>
        <w:t>come</w:t>
      </w:r>
      <w:r w:rsidR="0056372B" w:rsidRPr="00124B71">
        <w:rPr>
          <w:rFonts w:cs="Times New Roman"/>
        </w:rPr>
        <w:t xml:space="preserve"> a society of </w:t>
      </w:r>
      <w:r w:rsidR="00EE7CAE" w:rsidRPr="00124B71">
        <w:rPr>
          <w:rFonts w:cs="Times New Roman"/>
        </w:rPr>
        <w:t>homeowners</w:t>
      </w:r>
      <w:r w:rsidR="0056372B" w:rsidRPr="00124B71">
        <w:rPr>
          <w:rFonts w:cs="Times New Roman"/>
        </w:rPr>
        <w:t xml:space="preserve"> who ha</w:t>
      </w:r>
      <w:r w:rsidR="00A67621" w:rsidRPr="00124B71">
        <w:rPr>
          <w:rFonts w:cs="Times New Roman"/>
        </w:rPr>
        <w:t>d</w:t>
      </w:r>
      <w:r w:rsidR="0056372B" w:rsidRPr="00124B71">
        <w:rPr>
          <w:rFonts w:cs="Times New Roman"/>
        </w:rPr>
        <w:t xml:space="preserve"> collectively agreed to give all our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56372B" w:rsidRPr="00124B71">
        <w:rPr>
          <w:rFonts w:cs="Times New Roman"/>
        </w:rPr>
        <w:t xml:space="preserve"> to the bank for the pride of ownership: starts to sound a bit like Pottersville</w:t>
      </w:r>
      <w:r w:rsidR="001858B5">
        <w:rPr>
          <w:rFonts w:cs="Times New Roman"/>
        </w:rPr>
        <w:fldChar w:fldCharType="begin"/>
      </w:r>
      <w:r w:rsidR="00FB4BC9">
        <w:instrText xml:space="preserve"> XE "</w:instrText>
      </w:r>
      <w:r w:rsidR="00FB4BC9" w:rsidRPr="00AA169F">
        <w:rPr>
          <w:rFonts w:cs="Times New Roman"/>
        </w:rPr>
        <w:instrText>Pottersville</w:instrText>
      </w:r>
      <w:r w:rsidR="00FB4BC9">
        <w:instrText xml:space="preserve">" </w:instrText>
      </w:r>
      <w:r w:rsidR="001858B5">
        <w:rPr>
          <w:rFonts w:cs="Times New Roman"/>
        </w:rPr>
        <w:fldChar w:fldCharType="end"/>
      </w:r>
      <w:r w:rsidR="0056372B" w:rsidRPr="00124B71">
        <w:rPr>
          <w:rFonts w:cs="Times New Roman"/>
        </w:rPr>
        <w:t xml:space="preserve"> from It’s a Wonderful Life</w:t>
      </w:r>
      <w:r w:rsidR="001858B5">
        <w:rPr>
          <w:rFonts w:cs="Times New Roman"/>
        </w:rPr>
        <w:fldChar w:fldCharType="begin"/>
      </w:r>
      <w:r w:rsidR="00FB4BC9">
        <w:instrText xml:space="preserve"> XE "</w:instrText>
      </w:r>
      <w:r w:rsidR="00FB4BC9" w:rsidRPr="00DF75BC">
        <w:rPr>
          <w:rFonts w:cs="Times New Roman"/>
        </w:rPr>
        <w:instrText>It’s a Wonderful Life</w:instrText>
      </w:r>
      <w:r w:rsidR="00FB4BC9">
        <w:instrText xml:space="preserve">" </w:instrText>
      </w:r>
      <w:r w:rsidR="001858B5">
        <w:rPr>
          <w:rFonts w:cs="Times New Roman"/>
        </w:rPr>
        <w:fldChar w:fldCharType="end"/>
      </w:r>
      <w:r w:rsidR="0056372B" w:rsidRPr="00124B71">
        <w:rPr>
          <w:rFonts w:cs="Times New Roman"/>
        </w:rPr>
        <w:t>.</w:t>
      </w:r>
      <w:r w:rsidR="00932101" w:rsidRPr="00124B71">
        <w:rPr>
          <w:rFonts w:cs="Times New Roman"/>
        </w:rPr>
        <w:t xml:space="preserve"> </w:t>
      </w:r>
      <w:r w:rsidR="00495DA8" w:rsidRPr="00124B71">
        <w:rPr>
          <w:rStyle w:val="EndnoteReference"/>
          <w:rFonts w:cs="Times New Roman"/>
        </w:rPr>
        <w:endnoteReference w:id="118"/>
      </w:r>
      <w:r w:rsidR="0056372B" w:rsidRPr="00124B71">
        <w:rPr>
          <w:rFonts w:cs="Times New Roman"/>
        </w:rPr>
        <w:t xml:space="preserve"> Is that the way we all </w:t>
      </w:r>
      <w:r w:rsidR="00D2021D" w:rsidRPr="00124B71">
        <w:rPr>
          <w:rFonts w:cs="Times New Roman"/>
        </w:rPr>
        <w:t xml:space="preserve">would have </w:t>
      </w:r>
      <w:r w:rsidR="0056372B" w:rsidRPr="00124B71">
        <w:rPr>
          <w:rFonts w:cs="Times New Roman"/>
        </w:rPr>
        <w:t>want</w:t>
      </w:r>
      <w:r w:rsidR="00D2021D" w:rsidRPr="00124B71">
        <w:rPr>
          <w:rFonts w:cs="Times New Roman"/>
        </w:rPr>
        <w:t>ed</w:t>
      </w:r>
      <w:r w:rsidR="0056372B" w:rsidRPr="00124B71">
        <w:rPr>
          <w:rFonts w:cs="Times New Roman"/>
        </w:rPr>
        <w:t xml:space="preserve"> to live? </w:t>
      </w:r>
    </w:p>
    <w:p w14:paraId="48784271" w14:textId="77777777" w:rsidR="0056372B" w:rsidRPr="00124B71" w:rsidRDefault="0056372B" w:rsidP="00D2021D">
      <w:pPr>
        <w:rPr>
          <w:rFonts w:cs="Times New Roman"/>
        </w:rPr>
      </w:pPr>
      <w:r w:rsidRPr="00124B71">
        <w:rPr>
          <w:rFonts w:cs="Times New Roman"/>
        </w:rPr>
        <w:t>The zero coupon bond</w:t>
      </w:r>
      <w:r w:rsidR="001858B5">
        <w:rPr>
          <w:rFonts w:cs="Times New Roman"/>
        </w:rPr>
        <w:fldChar w:fldCharType="begin"/>
      </w:r>
      <w:r w:rsidR="006756FD">
        <w:instrText xml:space="preserve"> XE "</w:instrText>
      </w:r>
      <w:r w:rsidR="006756FD" w:rsidRPr="007F238F">
        <w:rPr>
          <w:rFonts w:cs="Times New Roman"/>
        </w:rPr>
        <w:instrText>zero coupon bond</w:instrText>
      </w:r>
      <w:r w:rsidR="006756FD">
        <w:instrText xml:space="preserve">" </w:instrText>
      </w:r>
      <w:r w:rsidR="001858B5">
        <w:rPr>
          <w:rFonts w:cs="Times New Roman"/>
        </w:rPr>
        <w:fldChar w:fldCharType="end"/>
      </w:r>
      <w:r w:rsidRPr="00124B71">
        <w:rPr>
          <w:rFonts w:cs="Times New Roman"/>
        </w:rPr>
        <w:t xml:space="preserve"> solution would</w:t>
      </w:r>
      <w:r w:rsidR="00D2021D" w:rsidRPr="00124B71">
        <w:rPr>
          <w:rFonts w:cs="Times New Roman"/>
        </w:rPr>
        <w:t xml:space="preserve"> have</w:t>
      </w:r>
      <w:r w:rsidRPr="00124B71">
        <w:rPr>
          <w:rFonts w:cs="Times New Roman"/>
        </w:rPr>
        <w:t xml:space="preserve"> effectively eliminate</w:t>
      </w:r>
      <w:r w:rsidR="00D2021D" w:rsidRPr="00124B71">
        <w:rPr>
          <w:rFonts w:cs="Times New Roman"/>
        </w:rPr>
        <w:t>d</w:t>
      </w:r>
      <w:r w:rsidRPr="00124B71">
        <w:rPr>
          <w:rFonts w:cs="Times New Roman"/>
        </w:rPr>
        <w:t xml:space="preserve"> the move-up</w:t>
      </w:r>
      <w:r w:rsidR="001858B5">
        <w:rPr>
          <w:rFonts w:cs="Times New Roman"/>
        </w:rPr>
        <w:fldChar w:fldCharType="begin"/>
      </w:r>
      <w:r w:rsidR="00FA2AEF">
        <w:instrText xml:space="preserve"> XE "</w:instrText>
      </w:r>
      <w:r w:rsidR="00FA2AEF" w:rsidRPr="003772E0">
        <w:rPr>
          <w:rFonts w:cs="Times New Roman"/>
        </w:rPr>
        <w:instrText>move-up</w:instrText>
      </w:r>
      <w:r w:rsidR="00FA2AEF">
        <w:instrText xml:space="preserve">" </w:instrText>
      </w:r>
      <w:r w:rsidR="001858B5">
        <w:rPr>
          <w:rFonts w:cs="Times New Roman"/>
        </w:rPr>
        <w:fldChar w:fldCharType="end"/>
      </w:r>
      <w:r w:rsidRPr="00124B71">
        <w:rPr>
          <w:rFonts w:cs="Times New Roman"/>
        </w:rPr>
        <w:t xml:space="preserve"> market because </w:t>
      </w:r>
      <w:r w:rsidR="00D2021D" w:rsidRPr="00124B71">
        <w:rPr>
          <w:rFonts w:cs="Times New Roman"/>
        </w:rPr>
        <w:t>people would not have had any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D2021D" w:rsidRPr="00124B71">
        <w:rPr>
          <w:rFonts w:cs="Times New Roman"/>
        </w:rPr>
        <w:t xml:space="preserve"> to take with them from house to house. Unless a prospective move-up buyer has saved a </w:t>
      </w:r>
      <w:r w:rsidR="00D2021D" w:rsidRPr="00124B71">
        <w:rPr>
          <w:rFonts w:cs="Times New Roman"/>
        </w:rPr>
        <w:lastRenderedPageBreak/>
        <w:t>substantial sum or obtained a large pay increase to afford a larger payment, they could not get a more expensive home. T</w:t>
      </w:r>
      <w:r w:rsidRPr="00124B71">
        <w:rPr>
          <w:rFonts w:cs="Times New Roman"/>
        </w:rPr>
        <w:t xml:space="preserve">his would </w:t>
      </w:r>
      <w:r w:rsidR="00D2021D" w:rsidRPr="00124B71">
        <w:rPr>
          <w:rFonts w:cs="Times New Roman"/>
        </w:rPr>
        <w:t xml:space="preserve">have </w:t>
      </w:r>
      <w:r w:rsidRPr="00124B71">
        <w:rPr>
          <w:rFonts w:cs="Times New Roman"/>
        </w:rPr>
        <w:t>result</w:t>
      </w:r>
      <w:r w:rsidR="00D2021D" w:rsidRPr="00124B71">
        <w:rPr>
          <w:rFonts w:cs="Times New Roman"/>
        </w:rPr>
        <w:t>ed</w:t>
      </w:r>
      <w:r w:rsidRPr="00124B71">
        <w:rPr>
          <w:rFonts w:cs="Times New Roman"/>
        </w:rPr>
        <w:t xml:space="preserve"> in a dramatic flattening of prices. In other words, the low end would</w:t>
      </w:r>
      <w:r w:rsidR="00D2021D" w:rsidRPr="00124B71">
        <w:rPr>
          <w:rFonts w:cs="Times New Roman"/>
        </w:rPr>
        <w:t xml:space="preserve"> have</w:t>
      </w:r>
      <w:r w:rsidRPr="00124B71">
        <w:rPr>
          <w:rFonts w:cs="Times New Roman"/>
        </w:rPr>
        <w:t xml:space="preserve"> be</w:t>
      </w:r>
      <w:r w:rsidR="00D2021D" w:rsidRPr="00124B71">
        <w:rPr>
          <w:rFonts w:cs="Times New Roman"/>
        </w:rPr>
        <w:t>en</w:t>
      </w:r>
      <w:r w:rsidRPr="00124B71">
        <w:rPr>
          <w:rFonts w:cs="Times New Roman"/>
        </w:rPr>
        <w:t xml:space="preserve"> supported at inflated levels while the high end would </w:t>
      </w:r>
      <w:r w:rsidR="00D2021D" w:rsidRPr="00124B71">
        <w:rPr>
          <w:rFonts w:cs="Times New Roman"/>
        </w:rPr>
        <w:t xml:space="preserve">have </w:t>
      </w:r>
      <w:r w:rsidRPr="00124B71">
        <w:rPr>
          <w:rFonts w:cs="Times New Roman"/>
        </w:rPr>
        <w:t>stagnate</w:t>
      </w:r>
      <w:r w:rsidR="00D2021D" w:rsidRPr="00124B71">
        <w:rPr>
          <w:rFonts w:cs="Times New Roman"/>
        </w:rPr>
        <w:t>d</w:t>
      </w:r>
      <w:r w:rsidRPr="00124B71">
        <w:rPr>
          <w:rFonts w:cs="Times New Roman"/>
        </w:rPr>
        <w:t xml:space="preserve"> or decline</w:t>
      </w:r>
      <w:r w:rsidR="00D2021D" w:rsidRPr="00124B71">
        <w:rPr>
          <w:rFonts w:cs="Times New Roman"/>
        </w:rPr>
        <w:t>d</w:t>
      </w:r>
      <w:r w:rsidRPr="00124B71">
        <w:rPr>
          <w:rFonts w:cs="Times New Roman"/>
        </w:rPr>
        <w:t>.</w:t>
      </w:r>
    </w:p>
    <w:p w14:paraId="4899CEA7" w14:textId="77777777" w:rsidR="0056372B" w:rsidRPr="00124B71" w:rsidRDefault="00D2021D" w:rsidP="00AE5BC0">
      <w:pPr>
        <w:rPr>
          <w:rFonts w:cs="Times New Roman"/>
        </w:rPr>
      </w:pPr>
      <w:r w:rsidRPr="00124B71">
        <w:rPr>
          <w:rFonts w:cs="Times New Roman"/>
        </w:rPr>
        <w:t>Also</w:t>
      </w:r>
      <w:r w:rsidR="0056372B" w:rsidRPr="00124B71">
        <w:rPr>
          <w:rFonts w:cs="Times New Roman"/>
        </w:rPr>
        <w:t xml:space="preserve">, </w:t>
      </w:r>
      <w:r w:rsidRPr="00124B71">
        <w:rPr>
          <w:rFonts w:cs="Times New Roman"/>
        </w:rPr>
        <w:t>b</w:t>
      </w:r>
      <w:r w:rsidR="0056372B" w:rsidRPr="00124B71">
        <w:rPr>
          <w:rFonts w:cs="Times New Roman"/>
        </w:rPr>
        <w:t xml:space="preserve">ased on the problems above, it </w:t>
      </w:r>
      <w:r w:rsidRPr="00124B71">
        <w:rPr>
          <w:rFonts w:cs="Times New Roman"/>
        </w:rPr>
        <w:t>would have been</w:t>
      </w:r>
      <w:r w:rsidR="0056372B" w:rsidRPr="00124B71">
        <w:rPr>
          <w:rFonts w:cs="Times New Roman"/>
        </w:rPr>
        <w:t xml:space="preserve"> difficult to find a new equilibrium in prices. How would people</w:t>
      </w:r>
      <w:r w:rsidRPr="00124B71">
        <w:rPr>
          <w:rFonts w:cs="Times New Roman"/>
        </w:rPr>
        <w:t xml:space="preserve"> have calculated</w:t>
      </w:r>
      <w:r w:rsidR="0056372B" w:rsidRPr="00124B71">
        <w:rPr>
          <w:rFonts w:cs="Times New Roman"/>
        </w:rPr>
        <w:t xml:space="preserve"> how much anything </w:t>
      </w:r>
      <w:r w:rsidRPr="00124B71">
        <w:rPr>
          <w:rFonts w:cs="Times New Roman"/>
        </w:rPr>
        <w:t>wa</w:t>
      </w:r>
      <w:r w:rsidR="0056372B" w:rsidRPr="00124B71">
        <w:rPr>
          <w:rFonts w:cs="Times New Roman"/>
        </w:rPr>
        <w:t>s worth? How would all price ranges</w:t>
      </w:r>
      <w:r w:rsidRPr="00124B71">
        <w:rPr>
          <w:rFonts w:cs="Times New Roman"/>
        </w:rPr>
        <w:t xml:space="preserve"> have</w:t>
      </w:r>
      <w:r w:rsidR="0056372B" w:rsidRPr="00124B71">
        <w:rPr>
          <w:rFonts w:cs="Times New Roman"/>
        </w:rPr>
        <w:t xml:space="preserve"> be</w:t>
      </w:r>
      <w:r w:rsidRPr="00124B71">
        <w:rPr>
          <w:rFonts w:cs="Times New Roman"/>
        </w:rPr>
        <w:t>en</w:t>
      </w:r>
      <w:r w:rsidR="0056372B" w:rsidRPr="00124B71">
        <w:rPr>
          <w:rFonts w:cs="Times New Roman"/>
        </w:rPr>
        <w:t xml:space="preserve"> supported equally? Small changes in the interest rate on the zero coupon bond</w:t>
      </w:r>
      <w:r w:rsidR="001858B5">
        <w:rPr>
          <w:rFonts w:cs="Times New Roman"/>
        </w:rPr>
        <w:fldChar w:fldCharType="begin"/>
      </w:r>
      <w:r w:rsidR="006756FD">
        <w:instrText xml:space="preserve"> XE "</w:instrText>
      </w:r>
      <w:r w:rsidR="006756FD" w:rsidRPr="007F238F">
        <w:rPr>
          <w:rFonts w:cs="Times New Roman"/>
        </w:rPr>
        <w:instrText>zero coupon bond</w:instrText>
      </w:r>
      <w:r w:rsidR="006756FD">
        <w:instrText xml:space="preserve">" </w:instrText>
      </w:r>
      <w:r w:rsidR="001858B5">
        <w:rPr>
          <w:rFonts w:cs="Times New Roman"/>
        </w:rPr>
        <w:fldChar w:fldCharType="end"/>
      </w:r>
      <w:r w:rsidR="0056372B" w:rsidRPr="00124B71">
        <w:rPr>
          <w:rFonts w:cs="Times New Roman"/>
        </w:rPr>
        <w:t xml:space="preserve"> </w:t>
      </w:r>
      <w:r w:rsidRPr="00124B71">
        <w:rPr>
          <w:rFonts w:cs="Times New Roman"/>
        </w:rPr>
        <w:t>would have made</w:t>
      </w:r>
      <w:r w:rsidR="0056372B" w:rsidRPr="00124B71">
        <w:rPr>
          <w:rFonts w:cs="Times New Roman"/>
        </w:rPr>
        <w:t xml:space="preserve"> the difference between hundreds of thousands of dollars at the time of sale, particularly on a long-term hold. Does anyone think this </w:t>
      </w:r>
      <w:r w:rsidRPr="00124B71">
        <w:rPr>
          <w:rFonts w:cs="Times New Roman"/>
        </w:rPr>
        <w:t>would have</w:t>
      </w:r>
      <w:r w:rsidR="0056372B" w:rsidRPr="00124B71">
        <w:rPr>
          <w:rFonts w:cs="Times New Roman"/>
        </w:rPr>
        <w:t xml:space="preserve"> turn</w:t>
      </w:r>
      <w:r w:rsidRPr="00124B71">
        <w:rPr>
          <w:rFonts w:cs="Times New Roman"/>
        </w:rPr>
        <w:t>ed</w:t>
      </w:r>
      <w:r w:rsidR="0056372B" w:rsidRPr="00124B71">
        <w:rPr>
          <w:rFonts w:cs="Times New Roman"/>
        </w:rPr>
        <w:t xml:space="preserve"> out in favor of the borrower? We would</w:t>
      </w:r>
      <w:r w:rsidRPr="00124B71">
        <w:rPr>
          <w:rFonts w:cs="Times New Roman"/>
        </w:rPr>
        <w:t xml:space="preserve"> have</w:t>
      </w:r>
      <w:r w:rsidR="0056372B" w:rsidRPr="00124B71">
        <w:rPr>
          <w:rFonts w:cs="Times New Roman"/>
        </w:rPr>
        <w:t xml:space="preserve"> undoubtedly see</w:t>
      </w:r>
      <w:r w:rsidRPr="00124B71">
        <w:rPr>
          <w:rFonts w:cs="Times New Roman"/>
        </w:rPr>
        <w:t>n</w:t>
      </w:r>
      <w:r w:rsidR="0056372B" w:rsidRPr="00124B71">
        <w:rPr>
          <w:rFonts w:cs="Times New Roman"/>
        </w:rPr>
        <w:t xml:space="preserve"> many short-sales as the banks graciously agree</w:t>
      </w:r>
      <w:r w:rsidRPr="00124B71">
        <w:rPr>
          <w:rFonts w:cs="Times New Roman"/>
        </w:rPr>
        <w:t>d</w:t>
      </w:r>
      <w:r w:rsidR="0056372B" w:rsidRPr="00124B71">
        <w:rPr>
          <w:rFonts w:cs="Times New Roman"/>
        </w:rPr>
        <w:t xml:space="preserve"> to take all the gains and forgive the rest of the debt. This </w:t>
      </w:r>
      <w:r w:rsidRPr="00124B71">
        <w:rPr>
          <w:rFonts w:cs="Times New Roman"/>
        </w:rPr>
        <w:t>would take</w:t>
      </w:r>
      <w:r w:rsidR="0056372B" w:rsidRPr="00124B71">
        <w:rPr>
          <w:rFonts w:cs="Times New Roman"/>
        </w:rPr>
        <w:t xml:space="preserve"> us back to our first problem with angry, greedy sellers.</w:t>
      </w:r>
    </w:p>
    <w:p w14:paraId="4F99C232" w14:textId="77777777" w:rsidR="0056372B" w:rsidRPr="00124B71" w:rsidRDefault="0056372B" w:rsidP="00AE5BC0">
      <w:pPr>
        <w:rPr>
          <w:rFonts w:cs="Times New Roman"/>
        </w:rPr>
      </w:pPr>
      <w:r w:rsidRPr="00124B71">
        <w:rPr>
          <w:rFonts w:cs="Times New Roman"/>
        </w:rPr>
        <w:t xml:space="preserve">Finally, this </w:t>
      </w:r>
      <w:r w:rsidR="00D2021D" w:rsidRPr="00124B71">
        <w:rPr>
          <w:rFonts w:cs="Times New Roman"/>
        </w:rPr>
        <w:t>would have been</w:t>
      </w:r>
      <w:r w:rsidRPr="00124B71">
        <w:rPr>
          <w:rFonts w:cs="Times New Roman"/>
        </w:rPr>
        <w:t xml:space="preserve"> only a short to medium term solution to the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problem. For as much as we are addicted to credit in this country, there is a point where people </w:t>
      </w:r>
      <w:r w:rsidR="00D2021D" w:rsidRPr="00124B71">
        <w:rPr>
          <w:rFonts w:cs="Times New Roman"/>
        </w:rPr>
        <w:t>would have said</w:t>
      </w:r>
      <w:r w:rsidRPr="00124B71">
        <w:rPr>
          <w:rFonts w:cs="Times New Roman"/>
        </w:rPr>
        <w:t xml:space="preserve"> “enough is enough.” When a house fails to have any investment value</w:t>
      </w:r>
      <w:r w:rsidR="001858B5">
        <w:rPr>
          <w:rFonts w:cs="Times New Roman"/>
        </w:rPr>
        <w:fldChar w:fldCharType="begin"/>
      </w:r>
      <w:r w:rsidR="00FF74AC">
        <w:instrText xml:space="preserve"> XE "</w:instrText>
      </w:r>
      <w:r w:rsidR="00FF74AC" w:rsidRPr="000E370D">
        <w:rPr>
          <w:rFonts w:cs="Times New Roman"/>
        </w:rPr>
        <w:instrText>investment value</w:instrText>
      </w:r>
      <w:r w:rsidR="00FF74AC">
        <w:instrText xml:space="preserve">" </w:instrText>
      </w:r>
      <w:r w:rsidR="001858B5">
        <w:rPr>
          <w:rFonts w:cs="Times New Roman"/>
        </w:rPr>
        <w:fldChar w:fldCharType="end"/>
      </w:r>
      <w:r w:rsidRPr="00124B71">
        <w:rPr>
          <w:rFonts w:cs="Times New Roman"/>
        </w:rPr>
        <w:t xml:space="preserve">, people </w:t>
      </w:r>
      <w:r w:rsidR="00D2021D" w:rsidRPr="00124B71">
        <w:rPr>
          <w:rFonts w:cs="Times New Roman"/>
        </w:rPr>
        <w:t>would</w:t>
      </w:r>
      <w:r w:rsidRPr="00124B71">
        <w:rPr>
          <w:rFonts w:cs="Times New Roman"/>
        </w:rPr>
        <w:t xml:space="preserve"> not </w:t>
      </w:r>
      <w:r w:rsidR="00B804A9" w:rsidRPr="00124B71">
        <w:rPr>
          <w:rFonts w:cs="Times New Roman"/>
        </w:rPr>
        <w:t>have been</w:t>
      </w:r>
      <w:r w:rsidRPr="00124B71">
        <w:rPr>
          <w:rFonts w:cs="Times New Roman"/>
        </w:rPr>
        <w:t xml:space="preserve"> so excited about home ownership. People can blather on about pride of ownership all they want, but people want to make money </w:t>
      </w:r>
      <w:r w:rsidR="00536BDC" w:rsidRPr="00124B71">
        <w:rPr>
          <w:rFonts w:cs="Times New Roman"/>
        </w:rPr>
        <w:t>when</w:t>
      </w:r>
      <w:r w:rsidRPr="00124B71">
        <w:rPr>
          <w:rFonts w:cs="Times New Roman"/>
        </w:rPr>
        <w:t xml:space="preserve"> selling their houses. Inflated valuations are only supported by greed. If home ownership becomes less desirable, prices </w:t>
      </w:r>
      <w:r w:rsidR="00B804A9" w:rsidRPr="00124B71">
        <w:rPr>
          <w:rFonts w:cs="Times New Roman"/>
        </w:rPr>
        <w:t xml:space="preserve">would have </w:t>
      </w:r>
      <w:r w:rsidRPr="00124B71">
        <w:rPr>
          <w:rFonts w:cs="Times New Roman"/>
        </w:rPr>
        <w:t>end</w:t>
      </w:r>
      <w:r w:rsidR="00B804A9" w:rsidRPr="00124B71">
        <w:rPr>
          <w:rFonts w:cs="Times New Roman"/>
        </w:rPr>
        <w:t>ed</w:t>
      </w:r>
      <w:r w:rsidRPr="00124B71">
        <w:rPr>
          <w:rFonts w:cs="Times New Roman"/>
        </w:rPr>
        <w:t xml:space="preserve"> up falling back to their rental equivalent value</w:t>
      </w:r>
      <w:r w:rsidR="00536BDC" w:rsidRPr="00124B71">
        <w:rPr>
          <w:rFonts w:cs="Times New Roman"/>
        </w:rPr>
        <w:t>s</w:t>
      </w:r>
      <w:r w:rsidRPr="00124B71">
        <w:rPr>
          <w:rFonts w:cs="Times New Roman"/>
        </w:rPr>
        <w:t xml:space="preserve"> because the demand </w:t>
      </w:r>
      <w:r w:rsidR="00D2021D" w:rsidRPr="00124B71">
        <w:rPr>
          <w:rFonts w:cs="Times New Roman"/>
        </w:rPr>
        <w:t>would</w:t>
      </w:r>
      <w:r w:rsidRPr="00124B71">
        <w:rPr>
          <w:rFonts w:cs="Times New Roman"/>
        </w:rPr>
        <w:t xml:space="preserve"> not</w:t>
      </w:r>
      <w:r w:rsidR="00B804A9" w:rsidRPr="00124B71">
        <w:rPr>
          <w:rFonts w:cs="Times New Roman"/>
        </w:rPr>
        <w:t xml:space="preserve"> have</w:t>
      </w:r>
      <w:r w:rsidRPr="00124B71">
        <w:rPr>
          <w:rFonts w:cs="Times New Roman"/>
        </w:rPr>
        <w:t xml:space="preserve"> be</w:t>
      </w:r>
      <w:r w:rsidR="00B804A9" w:rsidRPr="00124B71">
        <w:rPr>
          <w:rFonts w:cs="Times New Roman"/>
        </w:rPr>
        <w:t>en</w:t>
      </w:r>
      <w:r w:rsidRPr="00124B71">
        <w:rPr>
          <w:rFonts w:cs="Times New Roman"/>
        </w:rPr>
        <w:t xml:space="preserve"> there. In the long run, we would </w:t>
      </w:r>
      <w:r w:rsidR="00D2021D" w:rsidRPr="00124B71">
        <w:rPr>
          <w:rFonts w:cs="Times New Roman"/>
        </w:rPr>
        <w:t xml:space="preserve">have </w:t>
      </w:r>
      <w:r w:rsidRPr="00124B71">
        <w:rPr>
          <w:rFonts w:cs="Times New Roman"/>
        </w:rPr>
        <w:t>end</w:t>
      </w:r>
      <w:r w:rsidR="00D2021D" w:rsidRPr="00124B71">
        <w:rPr>
          <w:rFonts w:cs="Times New Roman"/>
        </w:rPr>
        <w:t>ed</w:t>
      </w:r>
      <w:r w:rsidRPr="00124B71">
        <w:rPr>
          <w:rFonts w:cs="Times New Roman"/>
        </w:rPr>
        <w:t xml:space="preserve"> up with prices where they should</w:t>
      </w:r>
      <w:r w:rsidR="00D2021D" w:rsidRPr="00124B71">
        <w:rPr>
          <w:rFonts w:cs="Times New Roman"/>
        </w:rPr>
        <w:t xml:space="preserve"> have </w:t>
      </w:r>
      <w:r w:rsidRPr="00124B71">
        <w:rPr>
          <w:rFonts w:cs="Times New Roman"/>
        </w:rPr>
        <w:t>be</w:t>
      </w:r>
      <w:r w:rsidR="00D2021D" w:rsidRPr="00124B71">
        <w:rPr>
          <w:rFonts w:cs="Times New Roman"/>
        </w:rPr>
        <w:t>en</w:t>
      </w:r>
      <w:r w:rsidRPr="00124B71">
        <w:rPr>
          <w:rFonts w:cs="Times New Roman"/>
        </w:rPr>
        <w:t xml:space="preserve"> anyway, it would </w:t>
      </w:r>
      <w:r w:rsidR="00D2021D" w:rsidRPr="00124B71">
        <w:rPr>
          <w:rFonts w:cs="Times New Roman"/>
        </w:rPr>
        <w:t xml:space="preserve">have </w:t>
      </w:r>
      <w:r w:rsidRPr="00124B71">
        <w:rPr>
          <w:rFonts w:cs="Times New Roman"/>
        </w:rPr>
        <w:t>be</w:t>
      </w:r>
      <w:r w:rsidR="00D2021D" w:rsidRPr="00124B71">
        <w:rPr>
          <w:rFonts w:cs="Times New Roman"/>
        </w:rPr>
        <w:t>en</w:t>
      </w:r>
      <w:r w:rsidRPr="00124B71">
        <w:rPr>
          <w:rFonts w:cs="Times New Roman"/>
        </w:rPr>
        <w:t xml:space="preserve"> a much more prolonged and painful journey</w:t>
      </w:r>
      <w:r w:rsidR="00D2021D" w:rsidRPr="00124B71">
        <w:rPr>
          <w:rFonts w:cs="Times New Roman"/>
        </w:rPr>
        <w:t xml:space="preserve"> very similar to the Japanese experience of the 1990s</w:t>
      </w:r>
      <w:r w:rsidRPr="00124B71">
        <w:rPr>
          <w:rFonts w:cs="Times New Roman"/>
        </w:rPr>
        <w:t xml:space="preserve">. </w:t>
      </w:r>
    </w:p>
    <w:p w14:paraId="58BBD6B9" w14:textId="77777777" w:rsidR="0056372B" w:rsidRPr="00124B71" w:rsidRDefault="0056372B" w:rsidP="00AE5BC0">
      <w:pPr>
        <w:rPr>
          <w:rFonts w:cs="Times New Roman"/>
        </w:rPr>
      </w:pPr>
      <w:r w:rsidRPr="00124B71">
        <w:rPr>
          <w:rFonts w:cs="Times New Roman"/>
        </w:rPr>
        <w:t>Zero coupon bond structures and other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Pr="00124B71">
        <w:rPr>
          <w:rFonts w:cs="Times New Roman"/>
        </w:rPr>
        <w:t xml:space="preserve"> terms are quite common in complex real estate deals. Exotic loan terms are the exclusive purview of sophisticated investors who understand what they are doing. They are not intended for consumption by the general public. Given the profusion of interest-only, and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loans in the market, is </w:t>
      </w:r>
      <w:r w:rsidR="00D2021D" w:rsidRPr="00124B71">
        <w:rPr>
          <w:rFonts w:cs="Times New Roman"/>
        </w:rPr>
        <w:t>not a surprise the financial innovations of the Great Housing Bubble turned out badly.</w:t>
      </w:r>
    </w:p>
    <w:p w14:paraId="392959E3" w14:textId="77777777" w:rsidR="009516A5" w:rsidRPr="00EF0EDA" w:rsidRDefault="00077E37" w:rsidP="009516A5">
      <w:pPr>
        <w:pStyle w:val="Heading3"/>
      </w:pPr>
      <w:bookmarkStart w:id="176" w:name="_Toc238867378"/>
      <w:r w:rsidRPr="00EF0EDA">
        <w:t>Let Markets Work</w:t>
      </w:r>
      <w:bookmarkEnd w:id="176"/>
    </w:p>
    <w:p w14:paraId="026A3BC6" w14:textId="77777777" w:rsidR="009516A5" w:rsidRPr="00124B71" w:rsidRDefault="009516A5" w:rsidP="009516A5">
      <w:pPr>
        <w:rPr>
          <w:rFonts w:cs="Times New Roman"/>
        </w:rPr>
      </w:pPr>
      <w:r w:rsidRPr="00124B71">
        <w:rPr>
          <w:rFonts w:cs="Times New Roman"/>
        </w:rPr>
        <w:t xml:space="preserve">It is difficult not to become cynical about all the various bailout programs, and the proposals outlined were not the only ones discussed in the public forum. There was a steady drumbeat of public plans and announcements that were never substantial, and their only purpose seemed to be to foster denial among those who needed it. </w:t>
      </w:r>
    </w:p>
    <w:p w14:paraId="4083DA65" w14:textId="77777777" w:rsidR="00536BDC" w:rsidRPr="00124B71" w:rsidRDefault="0066472D" w:rsidP="00536BDC">
      <w:pPr>
        <w:rPr>
          <w:rFonts w:cs="Times New Roman"/>
        </w:rPr>
      </w:pPr>
      <w:r w:rsidRPr="00124B71">
        <w:rPr>
          <w:rFonts w:cs="Times New Roman"/>
        </w:rPr>
        <w:t xml:space="preserve">There is no possible bailout program without the commensurate moral hazards and unfair benefits they would contain. The best course of action would be to ease the transition of people from overextended homeowner to renter and not to attempt to manipulate the financial markets for the benefit of a few. </w:t>
      </w:r>
      <w:r w:rsidR="009516A5" w:rsidRPr="00124B71">
        <w:rPr>
          <w:rFonts w:cs="Times New Roman"/>
        </w:rPr>
        <w:t xml:space="preserve">There is nothing that can be done to </w:t>
      </w:r>
      <w:r w:rsidRPr="00124B71">
        <w:rPr>
          <w:rFonts w:cs="Times New Roman"/>
        </w:rPr>
        <w:t>prevent</w:t>
      </w:r>
      <w:r w:rsidR="009516A5" w:rsidRPr="00124B71">
        <w:rPr>
          <w:rFonts w:cs="Times New Roman"/>
        </w:rPr>
        <w:t xml:space="preserve"> of the collapse of financial </w:t>
      </w:r>
      <w:r w:rsidR="009516A5" w:rsidRPr="00124B71">
        <w:rPr>
          <w:rFonts w:cs="Times New Roman"/>
        </w:rPr>
        <w:lastRenderedPageBreak/>
        <w:t>bubble</w:t>
      </w:r>
      <w:r w:rsidR="00536BDC" w:rsidRPr="00124B71">
        <w:rPr>
          <w:rFonts w:cs="Times New Roman"/>
        </w:rPr>
        <w:t>s</w:t>
      </w:r>
      <w:r w:rsidR="009516A5" w:rsidRPr="00124B71">
        <w:rPr>
          <w:rFonts w:cs="Times New Roman"/>
        </w:rPr>
        <w:t>. The solution lies in</w:t>
      </w:r>
      <w:r w:rsidRPr="00124B71">
        <w:rPr>
          <w:rFonts w:cs="Times New Roman"/>
        </w:rPr>
        <w:t xml:space="preserve"> easing the pain of their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Pr="00124B71">
        <w:rPr>
          <w:rFonts w:cs="Times New Roman"/>
        </w:rPr>
        <w:t xml:space="preserve"> and</w:t>
      </w:r>
      <w:r w:rsidR="009516A5" w:rsidRPr="00124B71">
        <w:rPr>
          <w:rFonts w:cs="Times New Roman"/>
        </w:rPr>
        <w:t xml:space="preserve"> </w:t>
      </w:r>
      <w:r w:rsidRPr="00124B71">
        <w:rPr>
          <w:rFonts w:cs="Times New Roman"/>
        </w:rPr>
        <w:t xml:space="preserve">in </w:t>
      </w:r>
      <w:r w:rsidR="009516A5" w:rsidRPr="00124B71">
        <w:rPr>
          <w:rFonts w:cs="Times New Roman"/>
        </w:rPr>
        <w:t>preventing them from inflating</w:t>
      </w:r>
      <w:r w:rsidRPr="00124B71">
        <w:rPr>
          <w:rFonts w:cs="Times New Roman"/>
        </w:rPr>
        <w:t xml:space="preserve"> in the future</w:t>
      </w:r>
      <w:r w:rsidR="00536BDC" w:rsidRPr="00124B71">
        <w:rPr>
          <w:rFonts w:cs="Times New Roman"/>
        </w:rPr>
        <w:t>.</w:t>
      </w:r>
    </w:p>
    <w:p w14:paraId="1D5E28C4" w14:textId="77777777" w:rsidR="001767A9" w:rsidRPr="00EF0EDA" w:rsidRDefault="000261EF" w:rsidP="00536BDC">
      <w:pPr>
        <w:pStyle w:val="Heading2"/>
      </w:pPr>
      <w:bookmarkStart w:id="177" w:name="_Toc238867379"/>
      <w:r w:rsidRPr="00EF0EDA">
        <w:t>Summary</w:t>
      </w:r>
      <w:bookmarkEnd w:id="177"/>
    </w:p>
    <w:p w14:paraId="404EAA0A" w14:textId="77777777" w:rsidR="00E31197" w:rsidRPr="00124B71" w:rsidRDefault="00E31197" w:rsidP="00EE33FF">
      <w:pPr>
        <w:rPr>
          <w:rFonts w:cs="Times New Roman"/>
        </w:rPr>
      </w:pPr>
      <w:r w:rsidRPr="00124B71">
        <w:rPr>
          <w:rFonts w:cs="Times New Roman"/>
        </w:rPr>
        <w:t>The motivations for purchasing real estate or any asset differ considerably between investors and speculators. Since speculators rely on capturing the change in asset price, they are much more emotionally involved with the gyrations of market resale value, and since their emotions work against them, the</w:t>
      </w:r>
      <w:r w:rsidR="00165DD4" w:rsidRPr="00124B71">
        <w:rPr>
          <w:rFonts w:cs="Times New Roman"/>
        </w:rPr>
        <w:t>y</w:t>
      </w:r>
      <w:r w:rsidRPr="00124B71">
        <w:rPr>
          <w:rFonts w:cs="Times New Roman"/>
        </w:rPr>
        <w:t xml:space="preserve"> most often sell at a loss. Trading houses became epidemic in the Great Housing Bubble. Houses became commodities</w:t>
      </w:r>
      <w:r w:rsidR="001858B5">
        <w:rPr>
          <w:rFonts w:cs="Times New Roman"/>
        </w:rPr>
        <w:fldChar w:fldCharType="begin"/>
      </w:r>
      <w:r w:rsidR="00FF74AC">
        <w:instrText xml:space="preserve"> XE "</w:instrText>
      </w:r>
      <w:r w:rsidR="00FF74AC" w:rsidRPr="00E862A6">
        <w:rPr>
          <w:rFonts w:cs="Times New Roman"/>
        </w:rPr>
        <w:instrText>commodities</w:instrText>
      </w:r>
      <w:r w:rsidR="00FF74AC">
        <w:instrText xml:space="preserve">" </w:instrText>
      </w:r>
      <w:r w:rsidR="001858B5">
        <w:rPr>
          <w:rFonts w:cs="Times New Roman"/>
        </w:rPr>
        <w:fldChar w:fldCharType="end"/>
      </w:r>
      <w:r w:rsidRPr="00124B71">
        <w:rPr>
          <w:rFonts w:cs="Times New Roman"/>
        </w:rPr>
        <w:t xml:space="preserve"> to buy and sell and lost their intrinsic value as a shelter or a place to call “home.” People utilized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a</w:t>
      </w:r>
      <w:r w:rsidR="00165DD4" w:rsidRPr="00124B71">
        <w:rPr>
          <w:rFonts w:cs="Times New Roman"/>
        </w:rPr>
        <w:t>nd</w:t>
      </w:r>
      <w:r w:rsidRPr="00124B71">
        <w:rPr>
          <w:rFonts w:cs="Times New Roman"/>
        </w:rPr>
        <w:t xml:space="preserve"> treated mortgage obligations as little more than options contracts.</w:t>
      </w:r>
    </w:p>
    <w:p w14:paraId="24DE1C5F" w14:textId="77777777" w:rsidR="00E31197" w:rsidRPr="00124B71" w:rsidRDefault="00E31197" w:rsidP="00EE33FF">
      <w:pPr>
        <w:rPr>
          <w:rFonts w:cs="Times New Roman"/>
        </w:rPr>
      </w:pPr>
      <w:r w:rsidRPr="00124B71">
        <w:rPr>
          <w:rFonts w:cs="Times New Roman"/>
        </w:rPr>
        <w:t>The emotional cycle</w:t>
      </w:r>
      <w:r w:rsidR="001858B5">
        <w:rPr>
          <w:rFonts w:cs="Times New Roman"/>
        </w:rPr>
        <w:fldChar w:fldCharType="begin"/>
      </w:r>
      <w:r w:rsidR="006756FD">
        <w:instrText xml:space="preserve"> XE "</w:instrText>
      </w:r>
      <w:r w:rsidR="006756FD" w:rsidRPr="00BD7E77">
        <w:rPr>
          <w:rFonts w:cs="Times New Roman"/>
        </w:rPr>
        <w:instrText>emotional cycle</w:instrText>
      </w:r>
      <w:r w:rsidR="006756FD">
        <w:instrText xml:space="preserve">" </w:instrText>
      </w:r>
      <w:r w:rsidR="001858B5">
        <w:rPr>
          <w:rFonts w:cs="Times New Roman"/>
        </w:rPr>
        <w:fldChar w:fldCharType="end"/>
      </w:r>
      <w:r w:rsidRPr="00124B71">
        <w:rPr>
          <w:rFonts w:cs="Times New Roman"/>
        </w:rPr>
        <w:t xml:space="preserve"> of an asset price bubble emanates from the emotional cycle of individual speculators. Efficient markets theory would say these emotions are irrelevant as each investor acts rationally based on fundamental market data. Behavioral finance theory</w:t>
      </w:r>
      <w:r w:rsidR="001858B5">
        <w:rPr>
          <w:rFonts w:cs="Times New Roman"/>
        </w:rPr>
        <w:fldChar w:fldCharType="begin"/>
      </w:r>
      <w:r w:rsidR="001A53F8">
        <w:instrText xml:space="preserve"> XE "</w:instrText>
      </w:r>
      <w:r w:rsidR="001A53F8" w:rsidRPr="002045BB">
        <w:rPr>
          <w:rFonts w:cs="Times New Roman"/>
        </w:rPr>
        <w:instrText>Behavioral finance theory</w:instrText>
      </w:r>
      <w:r w:rsidR="001A53F8">
        <w:instrText xml:space="preserve">" </w:instrText>
      </w:r>
      <w:r w:rsidR="001858B5">
        <w:rPr>
          <w:rFonts w:cs="Times New Roman"/>
        </w:rPr>
        <w:fldChar w:fldCharType="end"/>
      </w:r>
      <w:r w:rsidRPr="00124B71">
        <w:rPr>
          <w:rFonts w:cs="Times New Roman"/>
        </w:rPr>
        <w:t xml:space="preserve"> argues </w:t>
      </w:r>
      <w:r w:rsidR="00165DD4" w:rsidRPr="00124B71">
        <w:rPr>
          <w:rFonts w:cs="Times New Roman"/>
        </w:rPr>
        <w:t>our</w:t>
      </w:r>
      <w:r w:rsidRPr="00124B71">
        <w:rPr>
          <w:rFonts w:cs="Times New Roman"/>
        </w:rPr>
        <w:t xml:space="preserve"> herd instincts coupled with irrational beliefs and expectations are primary forces at work in financial markets. Efficient markets theory fails to explain asset price bubbles, whereas behavioral finance theory does. When the bubble bursts, each speculator must go through the stages of grief as </w:t>
      </w:r>
      <w:r w:rsidR="00165DD4" w:rsidRPr="00124B71">
        <w:rPr>
          <w:rFonts w:cs="Times New Roman"/>
        </w:rPr>
        <w:t>she</w:t>
      </w:r>
      <w:r w:rsidRPr="00124B71">
        <w:rPr>
          <w:rFonts w:cs="Times New Roman"/>
        </w:rPr>
        <w:t xml:space="preserve"> come</w:t>
      </w:r>
      <w:r w:rsidR="00165DD4" w:rsidRPr="00124B71">
        <w:rPr>
          <w:rFonts w:cs="Times New Roman"/>
        </w:rPr>
        <w:t>s</w:t>
      </w:r>
      <w:r w:rsidRPr="00124B71">
        <w:rPr>
          <w:rFonts w:cs="Times New Roman"/>
        </w:rPr>
        <w:t xml:space="preserve"> to accept </w:t>
      </w:r>
      <w:r w:rsidR="00165DD4" w:rsidRPr="00124B71">
        <w:rPr>
          <w:rFonts w:cs="Times New Roman"/>
        </w:rPr>
        <w:t>her</w:t>
      </w:r>
      <w:r w:rsidRPr="00124B71">
        <w:rPr>
          <w:rFonts w:cs="Times New Roman"/>
        </w:rPr>
        <w:t xml:space="preserve"> loss. These stages have analogous counterparts in the price cycle of an asset bubble, and it is through the actions of these grieving speculators that the timing of the cycle takes place.</w:t>
      </w:r>
    </w:p>
    <w:p w14:paraId="77F34113" w14:textId="77777777" w:rsidR="00E31197" w:rsidRPr="00124B71" w:rsidRDefault="00E31197" w:rsidP="00EE33FF">
      <w:pPr>
        <w:rPr>
          <w:rFonts w:cs="Times New Roman"/>
        </w:rPr>
      </w:pPr>
      <w:r w:rsidRPr="00124B71">
        <w:rPr>
          <w:rFonts w:cs="Times New Roman"/>
        </w:rPr>
        <w:t xml:space="preserve">Asset price bubbles can </w:t>
      </w:r>
      <w:r w:rsidR="00971D00" w:rsidRPr="00124B71">
        <w:rPr>
          <w:rFonts w:cs="Times New Roman"/>
        </w:rPr>
        <w:t>distort the values and behaviors of entire segments of society. Pathological beliefs can take root and grow into an unsustainable system doomed to crash down around all those who subscribe to the cultural pathology</w:t>
      </w:r>
      <w:r w:rsidR="001858B5">
        <w:rPr>
          <w:rFonts w:cs="Times New Roman"/>
        </w:rPr>
        <w:fldChar w:fldCharType="begin"/>
      </w:r>
      <w:r w:rsidR="00B26DFF">
        <w:instrText xml:space="preserve"> XE "</w:instrText>
      </w:r>
      <w:r w:rsidR="00B26DFF" w:rsidRPr="006D38B8">
        <w:rPr>
          <w:rFonts w:cs="Times New Roman"/>
        </w:rPr>
        <w:instrText>cultural pathology</w:instrText>
      </w:r>
      <w:r w:rsidR="00B26DFF">
        <w:instrText xml:space="preserve">" </w:instrText>
      </w:r>
      <w:r w:rsidR="001858B5">
        <w:rPr>
          <w:rFonts w:cs="Times New Roman"/>
        </w:rPr>
        <w:fldChar w:fldCharType="end"/>
      </w:r>
      <w:r w:rsidR="00971D00" w:rsidRPr="00124B71">
        <w:rPr>
          <w:rFonts w:cs="Times New Roman"/>
        </w:rPr>
        <w:t>. The activity of governments can serve to reinforce pathological behaviors, and when called upon by a desperate public, the government can pander to the emotional needs of the citizenry through</w:t>
      </w:r>
      <w:r w:rsidR="005D0836" w:rsidRPr="00124B71">
        <w:rPr>
          <w:rFonts w:cs="Times New Roman"/>
        </w:rPr>
        <w:t xml:space="preserve"> generating</w:t>
      </w:r>
      <w:r w:rsidR="00971D00" w:rsidRPr="00124B71">
        <w:rPr>
          <w:rFonts w:cs="Times New Roman"/>
        </w:rPr>
        <w:t xml:space="preserve"> false hopes</w:t>
      </w:r>
      <w:r w:rsidR="001858B5">
        <w:rPr>
          <w:rFonts w:cs="Times New Roman"/>
        </w:rPr>
        <w:fldChar w:fldCharType="begin"/>
      </w:r>
      <w:r w:rsidR="001A53F8">
        <w:instrText xml:space="preserve"> XE "</w:instrText>
      </w:r>
      <w:r w:rsidR="001A53F8" w:rsidRPr="00DC069C">
        <w:rPr>
          <w:rFonts w:cs="Times New Roman"/>
        </w:rPr>
        <w:instrText>false hopes</w:instrText>
      </w:r>
      <w:r w:rsidR="001A53F8">
        <w:instrText xml:space="preserve">" </w:instrText>
      </w:r>
      <w:r w:rsidR="001858B5">
        <w:rPr>
          <w:rFonts w:cs="Times New Roman"/>
        </w:rPr>
        <w:fldChar w:fldCharType="end"/>
      </w:r>
      <w:r w:rsidR="00971D00" w:rsidRPr="00124B71">
        <w:rPr>
          <w:rFonts w:cs="Times New Roman"/>
        </w:rPr>
        <w:t xml:space="preserve"> and </w:t>
      </w:r>
      <w:r w:rsidR="005D0836" w:rsidRPr="00124B71">
        <w:rPr>
          <w:rFonts w:cs="Times New Roman"/>
        </w:rPr>
        <w:t xml:space="preserve">supporting </w:t>
      </w:r>
      <w:r w:rsidR="00971D00" w:rsidRPr="00124B71">
        <w:rPr>
          <w:rFonts w:cs="Times New Roman"/>
        </w:rPr>
        <w:t>denial.</w:t>
      </w:r>
    </w:p>
    <w:p w14:paraId="4A146A91" w14:textId="77777777" w:rsidR="00F64E70" w:rsidRPr="00124B71" w:rsidRDefault="00AA50D7" w:rsidP="00F64E70">
      <w:pPr>
        <w:rPr>
          <w:rFonts w:cs="Times New Roman"/>
        </w:rPr>
      </w:pPr>
      <w:r w:rsidRPr="00124B71">
        <w:rPr>
          <w:rFonts w:cs="Times New Roman"/>
        </w:rPr>
        <w:t>Many</w:t>
      </w:r>
      <w:r w:rsidR="00F64E70" w:rsidRPr="00124B71">
        <w:rPr>
          <w:rFonts w:cs="Times New Roman"/>
        </w:rPr>
        <w:t xml:space="preserve"> people like it when houses go up in price. During a rally the bulls become intoxicated with greed and obsessed with owning real estate as an investment. However, once houses become an investment, the prices of houses begin to behave like an investment, and volatility is introduced into the system. When houses trade with the volatility of a commodities</w:t>
      </w:r>
      <w:r w:rsidR="001858B5">
        <w:rPr>
          <w:rFonts w:cs="Times New Roman"/>
        </w:rPr>
        <w:fldChar w:fldCharType="begin"/>
      </w:r>
      <w:r w:rsidR="00FF74AC">
        <w:instrText xml:space="preserve"> XE "</w:instrText>
      </w:r>
      <w:r w:rsidR="00FF74AC" w:rsidRPr="00E862A6">
        <w:rPr>
          <w:rFonts w:cs="Times New Roman"/>
        </w:rPr>
        <w:instrText>commodities</w:instrText>
      </w:r>
      <w:r w:rsidR="00FF74AC">
        <w:instrText xml:space="preserve">" </w:instrText>
      </w:r>
      <w:r w:rsidR="001858B5">
        <w:rPr>
          <w:rFonts w:cs="Times New Roman"/>
        </w:rPr>
        <w:fldChar w:fldCharType="end"/>
      </w:r>
      <w:r w:rsidR="00F64E70" w:rsidRPr="00124B71">
        <w:rPr>
          <w:rFonts w:cs="Times New Roman"/>
        </w:rPr>
        <w:t xml:space="preserve"> market, it causes more harm than good. Price volatility is a very disruptive feature in a housing market: the upswings are euphoric, and the downswings are devastating</w:t>
      </w:r>
      <w:r w:rsidR="007C469A">
        <w:rPr>
          <w:rFonts w:cs="Times New Roman"/>
        </w:rPr>
        <w:t>–</w:t>
      </w:r>
      <w:r w:rsidR="00F64E70" w:rsidRPr="00124B71">
        <w:rPr>
          <w:rFonts w:cs="Times New Roman"/>
        </w:rPr>
        <w:t>and there are downswings. Declining house prices are emotionally and financially draining both to individuals and to the economy as a whole. The upswings create massive amounts of unsustainable borrowing and spending, and the downswings create economic contraction, foreclosures and personal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00F64E70" w:rsidRPr="00124B71">
        <w:rPr>
          <w:rFonts w:cs="Times New Roman"/>
        </w:rPr>
        <w:t xml:space="preserve">. Is the ecstasy of </w:t>
      </w:r>
      <w:r w:rsidR="005D0836" w:rsidRPr="00124B71">
        <w:rPr>
          <w:rFonts w:cs="Times New Roman"/>
        </w:rPr>
        <w:t>a</w:t>
      </w:r>
      <w:r w:rsidR="00F64E70" w:rsidRPr="00124B71">
        <w:rPr>
          <w:rFonts w:cs="Times New Roman"/>
        </w:rPr>
        <w:t xml:space="preserve"> rally worth the despair of a crash? </w:t>
      </w:r>
    </w:p>
    <w:p w14:paraId="0C490F7A" w14:textId="77777777" w:rsidR="00160680" w:rsidRPr="00124B71" w:rsidRDefault="001767A9" w:rsidP="009118A7">
      <w:pPr>
        <w:rPr>
          <w:rFonts w:cs="Times New Roman"/>
        </w:rPr>
      </w:pPr>
      <w:r w:rsidRPr="00124B71">
        <w:rPr>
          <w:rFonts w:cs="Times New Roman"/>
        </w:rPr>
        <w:t xml:space="preserve">Houses should not be viewed as a commodity to trade. Most people lack the financial sophistication to successfully trade in commodity markets. Buying </w:t>
      </w:r>
      <w:r w:rsidRPr="00124B71">
        <w:rPr>
          <w:rFonts w:cs="Times New Roman"/>
        </w:rPr>
        <w:lastRenderedPageBreak/>
        <w:t>and hoping prices go up is not a successful strategy. Volatility in housing prices is harmful to the community as the financial and emotional costs of the inevitable price crash are just too great. Everyone pays a price. Renters who chose not to participate are forced to wait to obtain the security of home ownership at an affordable price, and buyers who endure the crash… well, their pain is obvious.</w:t>
      </w:r>
    </w:p>
    <w:p w14:paraId="69E363C8" w14:textId="77777777" w:rsidR="009118A7" w:rsidRPr="00124B71" w:rsidRDefault="009118A7" w:rsidP="008560E2">
      <w:pPr>
        <w:rPr>
          <w:rFonts w:cs="Times New Roman"/>
        </w:rPr>
        <w:sectPr w:rsidR="009118A7" w:rsidRPr="00124B71" w:rsidSect="009729DE">
          <w:headerReference w:type="even" r:id="rId72"/>
          <w:headerReference w:type="default" r:id="rId73"/>
          <w:endnotePr>
            <w:numFmt w:val="decimal"/>
          </w:endnotePr>
          <w:type w:val="oddPage"/>
          <w:pgSz w:w="8640" w:h="12960" w:code="173"/>
          <w:pgMar w:top="1008" w:right="936" w:bottom="1080" w:left="936" w:header="504" w:footer="504" w:gutter="0"/>
          <w:cols w:space="720"/>
          <w:titlePg/>
          <w:docGrid w:linePitch="360"/>
        </w:sectPr>
      </w:pPr>
    </w:p>
    <w:p w14:paraId="5377CCCB" w14:textId="77777777" w:rsidR="00DA2D13" w:rsidRPr="00EF0EDA" w:rsidRDefault="00DA2D13" w:rsidP="00DA2D13">
      <w:pPr>
        <w:pStyle w:val="Heading1"/>
      </w:pPr>
      <w:bookmarkStart w:id="178" w:name="_Toc238867380"/>
      <w:r w:rsidRPr="00EF0EDA">
        <w:lastRenderedPageBreak/>
        <w:t>Future House Prices</w:t>
      </w:r>
      <w:bookmarkEnd w:id="178"/>
    </w:p>
    <w:p w14:paraId="35F8591F" w14:textId="77777777" w:rsidR="001767A9" w:rsidRPr="00124B71" w:rsidRDefault="001767A9" w:rsidP="008560E2">
      <w:pPr>
        <w:rPr>
          <w:rFonts w:cs="Times New Roman"/>
        </w:rPr>
      </w:pPr>
      <w:r w:rsidRPr="00124B71">
        <w:rPr>
          <w:rFonts w:cs="Times New Roman"/>
        </w:rPr>
        <w:t>For all our wisdom and collective experience, none of us knows what the markets will do next. Like an ocean current or a raging river, a financial market charts its own course. It is fickle and feckless and flows without regard to our hopes and dreams. The ebbs and flows of financial markets are meaningful to us, but in reality they are just movements in price; nothing more. Price rallies make homeowners blissful and renters bitter, while price declines make homeowners gloomy and renters gleeful.</w:t>
      </w:r>
      <w:r w:rsidR="0043289F" w:rsidRPr="00124B71">
        <w:rPr>
          <w:rFonts w:cs="Times New Roman"/>
        </w:rPr>
        <w:t xml:space="preserve"> </w:t>
      </w:r>
      <w:r w:rsidRPr="00124B71">
        <w:rPr>
          <w:rFonts w:cs="Times New Roman"/>
        </w:rPr>
        <w:t>These feelings and emotions are independent of movements in price. The market just moves, that is all it does. It is benign, yet dangerous; it is indifferent, yet demonstrative; the market is a paradox which we must simply accept.</w:t>
      </w:r>
    </w:p>
    <w:p w14:paraId="137FB7C8" w14:textId="77777777" w:rsidR="008C6569" w:rsidRPr="00124B71" w:rsidRDefault="006B0311" w:rsidP="008C6569">
      <w:pPr>
        <w:rPr>
          <w:rFonts w:cs="Times New Roman"/>
        </w:rPr>
      </w:pPr>
      <w:r w:rsidRPr="00124B71">
        <w:rPr>
          <w:rFonts w:cs="Times New Roman"/>
        </w:rPr>
        <w:t>During the rally of the Great Housing Bubble</w:t>
      </w:r>
      <w:r w:rsidR="008C6569" w:rsidRPr="00124B71">
        <w:rPr>
          <w:rFonts w:cs="Times New Roman"/>
        </w:rPr>
        <w:t xml:space="preserve">, buyers </w:t>
      </w:r>
      <w:r w:rsidRPr="00124B71">
        <w:rPr>
          <w:rFonts w:cs="Times New Roman"/>
        </w:rPr>
        <w:t>did</w:t>
      </w:r>
      <w:r w:rsidR="008219F4">
        <w:rPr>
          <w:rFonts w:cs="Times New Roman"/>
        </w:rPr>
        <w:t xml:space="preserve"> not concern</w:t>
      </w:r>
      <w:r w:rsidR="008C6569" w:rsidRPr="00124B71">
        <w:rPr>
          <w:rFonts w:cs="Times New Roman"/>
        </w:rPr>
        <w:t xml:space="preserve"> themselves with the day they were going to become sellers. Why would they? There was an endless demand for properties, and buyers were </w:t>
      </w:r>
      <w:r w:rsidRPr="00124B71">
        <w:rPr>
          <w:rFonts w:cs="Times New Roman"/>
        </w:rPr>
        <w:t>paying</w:t>
      </w:r>
      <w:r w:rsidR="008C6569" w:rsidRPr="00124B71">
        <w:rPr>
          <w:rFonts w:cs="Times New Roman"/>
        </w:rPr>
        <w:t xml:space="preserve"> whatever was asked. </w:t>
      </w:r>
      <w:r w:rsidR="004E79CA" w:rsidRPr="00124B71">
        <w:rPr>
          <w:rFonts w:cs="Times New Roman"/>
        </w:rPr>
        <w:t xml:space="preserve">If they wanted a price above current market values to pay off a loan, all they had to do was wait. </w:t>
      </w:r>
      <w:r w:rsidR="00BA1893" w:rsidRPr="00124B71">
        <w:rPr>
          <w:rFonts w:cs="Times New Roman"/>
        </w:rPr>
        <w:t>Once the bubble burst and home prices started to decline, the conditions people were accustomed to during the rally dramatically changed.</w:t>
      </w:r>
      <w:r w:rsidR="009743F9" w:rsidRPr="00124B71">
        <w:rPr>
          <w:rFonts w:cs="Times New Roman"/>
        </w:rPr>
        <w:t xml:space="preserve"> </w:t>
      </w:r>
      <w:r w:rsidR="00BA1893" w:rsidRPr="00124B71">
        <w:rPr>
          <w:rFonts w:cs="Times New Roman"/>
        </w:rPr>
        <w:t>A</w:t>
      </w:r>
      <w:r w:rsidR="008C6569" w:rsidRPr="00124B71">
        <w:rPr>
          <w:rFonts w:cs="Times New Roman"/>
        </w:rPr>
        <w:t xml:space="preserve">nyone considering buying a home in the aftermath of </w:t>
      </w:r>
      <w:r w:rsidR="00BA1893" w:rsidRPr="00124B71">
        <w:rPr>
          <w:rFonts w:cs="Times New Roman"/>
        </w:rPr>
        <w:t>a crash</w:t>
      </w:r>
      <w:r w:rsidR="008C6569" w:rsidRPr="00124B71">
        <w:rPr>
          <w:rFonts w:cs="Times New Roman"/>
        </w:rPr>
        <w:t xml:space="preserve"> should think about the buyer who is going to buy their home from them at some point in the future, and more specifically, what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8C6569" w:rsidRPr="00124B71">
        <w:rPr>
          <w:rFonts w:cs="Times New Roman"/>
        </w:rPr>
        <w:t xml:space="preserv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008C6569" w:rsidRPr="00124B71">
        <w:rPr>
          <w:rFonts w:cs="Times New Roman"/>
        </w:rPr>
        <w:t xml:space="preserve"> and loan terms </w:t>
      </w:r>
      <w:r w:rsidR="00124B71" w:rsidRPr="00124B71">
        <w:rPr>
          <w:rFonts w:cs="Times New Roman"/>
        </w:rPr>
        <w:t>this future buyer will</w:t>
      </w:r>
      <w:r w:rsidR="008C6569" w:rsidRPr="00124B71">
        <w:rPr>
          <w:rFonts w:cs="Times New Roman"/>
        </w:rPr>
        <w:t xml:space="preserve"> utilize. This is important, because the amount of money this take-out buyer will pay for the home is completely dependent upon these variables. </w:t>
      </w:r>
      <w:r w:rsidR="008C6569" w:rsidRPr="00124B71">
        <w:rPr>
          <w:rStyle w:val="Emphasis"/>
          <w:rFonts w:cs="Times New Roman"/>
          <w:b w:val="0"/>
          <w:i w:val="0"/>
        </w:rPr>
        <w:t>A</w:t>
      </w:r>
      <w:r w:rsidR="004E79CA" w:rsidRPr="00124B71">
        <w:rPr>
          <w:rStyle w:val="Emphasis"/>
          <w:rFonts w:cs="Times New Roman"/>
          <w:b w:val="0"/>
          <w:i w:val="0"/>
        </w:rPr>
        <w:t>t most, a</w:t>
      </w:r>
      <w:r w:rsidR="008C6569" w:rsidRPr="00124B71">
        <w:rPr>
          <w:rStyle w:val="Emphasis"/>
          <w:rFonts w:cs="Times New Roman"/>
          <w:b w:val="0"/>
          <w:i w:val="0"/>
        </w:rPr>
        <w:t xml:space="preserve"> house is only worth what a buyer can pay for it.</w:t>
      </w:r>
      <w:r w:rsidR="008C6569" w:rsidRPr="00124B71">
        <w:rPr>
          <w:rFonts w:cs="Times New Roman"/>
          <w:b/>
          <w:i/>
        </w:rPr>
        <w:t xml:space="preserve"> </w:t>
      </w:r>
      <w:r w:rsidR="004E79CA" w:rsidRPr="00124B71">
        <w:rPr>
          <w:rFonts w:cs="Times New Roman"/>
        </w:rPr>
        <w:t>In a declining market with few qualified buyers, many of those qualified buyers will only make offers if the deal is exceptional or simply wait for further price declines.</w:t>
      </w:r>
    </w:p>
    <w:p w14:paraId="25BA2C01" w14:textId="77777777" w:rsidR="00EE2106" w:rsidRPr="00124B71" w:rsidRDefault="00EE2106" w:rsidP="008C6569">
      <w:pPr>
        <w:rPr>
          <w:rFonts w:cs="Times New Roman"/>
        </w:rPr>
      </w:pPr>
      <w:r w:rsidRPr="00124B71">
        <w:rPr>
          <w:rFonts w:cs="Times New Roman"/>
        </w:rPr>
        <w:t>In a market environment where prices are detached from fundamental valuations, bubble buyers face a daunting challenge just to break even on their purchase when the time comes to sell it. A future buyer must have favorable borrowing terms allowing for a high degree of leverage</w:t>
      </w:r>
      <w:r w:rsidR="001858B5">
        <w:rPr>
          <w:rFonts w:cs="Times New Roman"/>
        </w:rPr>
        <w:fldChar w:fldCharType="begin"/>
      </w:r>
      <w:r w:rsidR="00FF74AC">
        <w:instrText xml:space="preserve"> XE "</w:instrText>
      </w:r>
      <w:r w:rsidR="00FF74AC" w:rsidRPr="00070786">
        <w:rPr>
          <w:rFonts w:cs="Times New Roman"/>
        </w:rPr>
        <w:instrText>leverage</w:instrText>
      </w:r>
      <w:r w:rsidR="00FF74AC">
        <w:instrText xml:space="preserve">" </w:instrText>
      </w:r>
      <w:r w:rsidR="001858B5">
        <w:rPr>
          <w:rFonts w:cs="Times New Roman"/>
        </w:rPr>
        <w:fldChar w:fldCharType="end"/>
      </w:r>
      <w:r w:rsidRPr="00124B71">
        <w:rPr>
          <w:rFonts w:cs="Times New Roman"/>
        </w:rPr>
        <w:t xml:space="preserve"> or they may not be able to borrow the prodigious sums borrowers during the bubble rally were able to obtain. If a future buyer is not able to borrow as much with their income as </w:t>
      </w:r>
      <w:r w:rsidRPr="00124B71">
        <w:rPr>
          <w:rFonts w:cs="Times New Roman"/>
        </w:rPr>
        <w:lastRenderedPageBreak/>
        <w:t>bubble buyers, then wages must increase over time to permit future borrower</w:t>
      </w:r>
      <w:r w:rsidR="005D0836" w:rsidRPr="00124B71">
        <w:rPr>
          <w:rFonts w:cs="Times New Roman"/>
        </w:rPr>
        <w:t>s</w:t>
      </w:r>
      <w:r w:rsidRPr="00124B71">
        <w:rPr>
          <w:rFonts w:cs="Times New Roman"/>
        </w:rPr>
        <w:t xml:space="preserve"> to borrow the same sum and allow a bubble buyer to avoid a loss. Unfortunately</w:t>
      </w:r>
      <w:r w:rsidR="00586DBE" w:rsidRPr="00124B71">
        <w:rPr>
          <w:rFonts w:cs="Times New Roman"/>
        </w:rPr>
        <w:t>, it</w:t>
      </w:r>
      <w:r w:rsidRPr="00124B71">
        <w:rPr>
          <w:rFonts w:cs="Times New Roman"/>
        </w:rPr>
        <w:t xml:space="preserve"> will take many years for wages to catch up to bubble prices.</w:t>
      </w:r>
      <w:r w:rsidR="004E79CA" w:rsidRPr="00124B71">
        <w:rPr>
          <w:rFonts w:cs="Times New Roman"/>
        </w:rPr>
        <w:t xml:space="preserve"> Even when this occurs, and a seller can recover their purchase price, inflation will have diminished the value of those dollars. If the prices are adjusted for inflation, many bubble buyers will never see an inflation adjusted breakeven price.</w:t>
      </w:r>
    </w:p>
    <w:p w14:paraId="7236EC9D" w14:textId="77777777" w:rsidR="007E0A6C" w:rsidRPr="00EF0EDA" w:rsidRDefault="007E0A6C" w:rsidP="007E0A6C">
      <w:pPr>
        <w:pStyle w:val="Heading2"/>
      </w:pPr>
      <w:bookmarkStart w:id="179" w:name="_Toc238867381"/>
      <w:r w:rsidRPr="00EF0EDA">
        <w:t>How Far to Fall</w:t>
      </w:r>
      <w:bookmarkEnd w:id="179"/>
    </w:p>
    <w:p w14:paraId="40204376" w14:textId="77777777" w:rsidR="00BA1893" w:rsidRPr="00124B71" w:rsidRDefault="00BA1893" w:rsidP="008C6569">
      <w:pPr>
        <w:rPr>
          <w:rFonts w:cs="Times New Roman"/>
        </w:rPr>
      </w:pPr>
      <w:r w:rsidRPr="00124B71">
        <w:rPr>
          <w:rFonts w:cs="Times New Roman"/>
        </w:rPr>
        <w:t>This book was written as the market crash was just beginning, and although there was already significant history to discuss, the price levels where the markets ultimately found stability had not yet been reached. The remainder of this chapter is a projection of what should happen if the residential real estate market responds as history would suggest. There will undoubtedly be unexpected twists and turns that impact the various variables influencing housing prices, and changes to these variables will change the timing and the depth of the crash. The projections and discussion which follows is based on first a return to historic norms and finally a look at what could happen if the crashing market causes an “overshoot” of fundamental valuations as often occurs in the collapse of a financial bubble</w:t>
      </w:r>
      <w:r w:rsidR="001858B5">
        <w:rPr>
          <w:rFonts w:cs="Times New Roman"/>
        </w:rPr>
        <w:fldChar w:fldCharType="begin"/>
      </w:r>
      <w:r w:rsidR="002321D5">
        <w:instrText xml:space="preserve"> XE "</w:instrText>
      </w:r>
      <w:r w:rsidR="002321D5" w:rsidRPr="005E11A5">
        <w:rPr>
          <w:rFonts w:cs="Times New Roman"/>
        </w:rPr>
        <w:instrText>financial bubble</w:instrText>
      </w:r>
      <w:r w:rsidR="002321D5">
        <w:instrText xml:space="preserve">" </w:instrText>
      </w:r>
      <w:r w:rsidR="001858B5">
        <w:rPr>
          <w:rFonts w:cs="Times New Roman"/>
        </w:rPr>
        <w:fldChar w:fldCharType="end"/>
      </w:r>
      <w:r w:rsidRPr="00124B71">
        <w:rPr>
          <w:rFonts w:cs="Times New Roman"/>
        </w:rPr>
        <w:t>.</w:t>
      </w:r>
    </w:p>
    <w:p w14:paraId="30C8EC72" w14:textId="77777777" w:rsidR="00D864AD" w:rsidRPr="00124B71" w:rsidRDefault="00D864AD" w:rsidP="008C6569">
      <w:pPr>
        <w:rPr>
          <w:rFonts w:cs="Times New Roman"/>
        </w:rPr>
      </w:pPr>
      <w:r w:rsidRPr="00124B71">
        <w:rPr>
          <w:rFonts w:cs="Times New Roman"/>
        </w:rPr>
        <w:t>All methods of predicting future price action rely on the same basic premise: prices are tethered to some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Pr="00124B71">
        <w:rPr>
          <w:rFonts w:cs="Times New Roman"/>
        </w:rPr>
        <w:t xml:space="preserve">, </w:t>
      </w:r>
      <w:r w:rsidR="008D593B" w:rsidRPr="00124B71">
        <w:rPr>
          <w:rFonts w:cs="Times New Roman"/>
        </w:rPr>
        <w:t xml:space="preserve">and although prices may deviate from this value for extended periods of time, prices eventually return to fundamental valuations. This premise has been reinforced by market observation; in fact, many estimates of fundamental value are based on market action. Since many market participants believe in buying and selling based on fundamental values, there is also an element of self-fulfilling prophecy contained therein. </w:t>
      </w:r>
      <w:r w:rsidRPr="00124B71">
        <w:rPr>
          <w:rFonts w:cs="Times New Roman"/>
        </w:rPr>
        <w:t>The efficient markets theory</w:t>
      </w:r>
      <w:r w:rsidR="001858B5">
        <w:rPr>
          <w:rFonts w:cs="Times New Roman"/>
        </w:rPr>
        <w:fldChar w:fldCharType="begin"/>
      </w:r>
      <w:r w:rsidR="00B26DFF">
        <w:instrText xml:space="preserve"> XE "</w:instrText>
      </w:r>
      <w:r w:rsidR="00B26DFF" w:rsidRPr="00715992">
        <w:rPr>
          <w:rFonts w:cs="Times New Roman"/>
        </w:rPr>
        <w:instrText>efficient markets theory</w:instrText>
      </w:r>
      <w:r w:rsidR="00B26DFF">
        <w:instrText xml:space="preserve">" </w:instrText>
      </w:r>
      <w:r w:rsidR="001858B5">
        <w:rPr>
          <w:rFonts w:cs="Times New Roman"/>
        </w:rPr>
        <w:fldChar w:fldCharType="end"/>
      </w:r>
      <w:r w:rsidRPr="00124B71">
        <w:rPr>
          <w:rFonts w:cs="Times New Roman"/>
        </w:rPr>
        <w:t xml:space="preserve"> is based on this idea, and although the behavioral finance theory is needed to explain the wide deviations from fundamentals real-world prices exhibit, both theories share the same notion of an underlying fundamental valuation </w:t>
      </w:r>
      <w:r w:rsidR="0098795E" w:rsidRPr="00124B71">
        <w:rPr>
          <w:rFonts w:cs="Times New Roman"/>
        </w:rPr>
        <w:t>on</w:t>
      </w:r>
      <w:r w:rsidRPr="00124B71">
        <w:rPr>
          <w:rFonts w:cs="Times New Roman"/>
        </w:rPr>
        <w:t xml:space="preserve"> which prices are ultimately based. </w:t>
      </w:r>
      <w:r w:rsidR="008D593B" w:rsidRPr="00124B71">
        <w:rPr>
          <w:rFonts w:cs="Times New Roman"/>
        </w:rPr>
        <w:t>The challenge to market prognosticators is to</w:t>
      </w:r>
      <w:r w:rsidR="00C75548" w:rsidRPr="00124B71">
        <w:rPr>
          <w:rFonts w:cs="Times New Roman"/>
        </w:rPr>
        <w:t xml:space="preserve"> select a fundamental valuation to which prices will return, and then extrapolate a period of time in which the return of prices to fundamental valuation will take place.</w:t>
      </w:r>
    </w:p>
    <w:p w14:paraId="27239E71" w14:textId="77777777" w:rsidR="00C75548" w:rsidRPr="00124B71" w:rsidRDefault="007E0A6C" w:rsidP="00D719B9">
      <w:pPr>
        <w:rPr>
          <w:rFonts w:cs="Times New Roman"/>
        </w:rPr>
      </w:pPr>
      <w:r w:rsidRPr="00124B71">
        <w:rPr>
          <w:rFonts w:cs="Times New Roman"/>
        </w:rPr>
        <w:t xml:space="preserve">There are a number of ways to project how far and how fast prices will fall. </w:t>
      </w:r>
      <w:r w:rsidR="00B0277F">
        <w:rPr>
          <w:rFonts w:cs="Times New Roman"/>
        </w:rPr>
        <w:t>On</w:t>
      </w:r>
      <w:r w:rsidR="00D719B9" w:rsidRPr="00124B71">
        <w:rPr>
          <w:rFonts w:cs="Times New Roman"/>
        </w:rPr>
        <w:t>e is to look at the price charts themselves and try to project reasonable trend lines to approximate bottoming valuations. This is not an accurate methodology as it is based on the assumption of a repetition of past performance without examining the reasons for this past performance; however, it does serve as a useful rough estimate</w:t>
      </w:r>
      <w:r w:rsidR="00BA4A84" w:rsidRPr="00124B71">
        <w:rPr>
          <w:rFonts w:cs="Times New Roman"/>
        </w:rPr>
        <w:t xml:space="preserve">. </w:t>
      </w:r>
      <w:r w:rsidR="00D719B9" w:rsidRPr="00124B71">
        <w:rPr>
          <w:rFonts w:cs="Times New Roman"/>
        </w:rPr>
        <w:t xml:space="preserve">A more accurate and detailed method is to examine the variables that determine market pricing and see how changes in these variables impact resale values. </w:t>
      </w:r>
      <w:r w:rsidR="00C75548" w:rsidRPr="00124B71">
        <w:rPr>
          <w:rFonts w:cs="Times New Roman"/>
        </w:rPr>
        <w:t>This process involves</w:t>
      </w:r>
      <w:r w:rsidR="00D719B9" w:rsidRPr="00124B71">
        <w:rPr>
          <w:rFonts w:cs="Times New Roman"/>
        </w:rPr>
        <w:t xml:space="preserve"> assess</w:t>
      </w:r>
      <w:r w:rsidR="00C75548" w:rsidRPr="00124B71">
        <w:rPr>
          <w:rFonts w:cs="Times New Roman"/>
        </w:rPr>
        <w:t>ing</w:t>
      </w:r>
      <w:r w:rsidR="00D719B9" w:rsidRPr="00124B71">
        <w:rPr>
          <w:rFonts w:cs="Times New Roman"/>
        </w:rPr>
        <w:t xml:space="preserve"> current fundamental values to make a statement as to where prices should be</w:t>
      </w:r>
      <w:r w:rsidR="007C469A">
        <w:rPr>
          <w:rFonts w:cs="Times New Roman"/>
        </w:rPr>
        <w:t>–</w:t>
      </w:r>
      <w:r w:rsidR="00D719B9" w:rsidRPr="00124B71">
        <w:rPr>
          <w:rFonts w:cs="Times New Roman"/>
        </w:rPr>
        <w:t>and would have been if there had not been a residential real estate bubble</w:t>
      </w:r>
      <w:r w:rsidR="007C469A">
        <w:rPr>
          <w:rFonts w:cs="Times New Roman"/>
        </w:rPr>
        <w:t>–</w:t>
      </w:r>
      <w:r w:rsidR="00D719B9" w:rsidRPr="00124B71">
        <w:rPr>
          <w:rFonts w:cs="Times New Roman"/>
        </w:rPr>
        <w:t>then estimat</w:t>
      </w:r>
      <w:r w:rsidR="00C75548" w:rsidRPr="00124B71">
        <w:rPr>
          <w:rFonts w:cs="Times New Roman"/>
        </w:rPr>
        <w:t>ing</w:t>
      </w:r>
      <w:r w:rsidR="00D719B9" w:rsidRPr="00124B71">
        <w:rPr>
          <w:rFonts w:cs="Times New Roman"/>
        </w:rPr>
        <w:t xml:space="preserve"> how long it will take for these variables to</w:t>
      </w:r>
      <w:r w:rsidR="00BA4A84" w:rsidRPr="00124B71">
        <w:rPr>
          <w:rFonts w:cs="Times New Roman"/>
        </w:rPr>
        <w:t xml:space="preserve"> return to their historic norms. </w:t>
      </w:r>
      <w:r w:rsidR="005342F2" w:rsidRPr="00124B71">
        <w:rPr>
          <w:rFonts w:cs="Times New Roman"/>
        </w:rPr>
        <w:t>Also, t</w:t>
      </w:r>
      <w:r w:rsidR="00C75548" w:rsidRPr="00124B71">
        <w:rPr>
          <w:rFonts w:cs="Times New Roman"/>
        </w:rPr>
        <w:t xml:space="preserve">here are a number of exogenous forces that act on market pricing in an indirect manner. </w:t>
      </w:r>
      <w:r w:rsidR="00C75548" w:rsidRPr="00124B71">
        <w:rPr>
          <w:rFonts w:cs="Times New Roman"/>
        </w:rPr>
        <w:lastRenderedPageBreak/>
        <w:t>These include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C75548" w:rsidRPr="00124B71">
        <w:rPr>
          <w:rFonts w:cs="Times New Roman"/>
        </w:rPr>
        <w:t xml:space="preserve"> ratios, availability of credit and changes in loan terms, mortgage interest rates, unemployment</w:t>
      </w:r>
      <w:r w:rsidR="001858B5">
        <w:rPr>
          <w:rFonts w:cs="Times New Roman"/>
        </w:rPr>
        <w:fldChar w:fldCharType="begin"/>
      </w:r>
      <w:r w:rsidR="00FB4BC9">
        <w:instrText xml:space="preserve"> XE "</w:instrText>
      </w:r>
      <w:r w:rsidR="00FB4BC9" w:rsidRPr="00E7306C">
        <w:rPr>
          <w:rFonts w:cs="Times New Roman"/>
        </w:rPr>
        <w:instrText>unemployment</w:instrText>
      </w:r>
      <w:r w:rsidR="00FB4BC9">
        <w:instrText xml:space="preserve">" </w:instrText>
      </w:r>
      <w:r w:rsidR="001858B5">
        <w:rPr>
          <w:rFonts w:cs="Times New Roman"/>
        </w:rPr>
        <w:fldChar w:fldCharType="end"/>
      </w:r>
      <w:r w:rsidR="00C75548" w:rsidRPr="00124B71">
        <w:rPr>
          <w:rFonts w:cs="Times New Roman"/>
        </w:rPr>
        <w:t xml:space="preserve"> rates,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C75548" w:rsidRPr="00124B71">
        <w:rPr>
          <w:rFonts w:cs="Times New Roman"/>
        </w:rPr>
        <w:t xml:space="preserve"> rates, home ownership rates</w:t>
      </w:r>
      <w:r w:rsidR="001858B5">
        <w:rPr>
          <w:rFonts w:cs="Times New Roman"/>
        </w:rPr>
        <w:fldChar w:fldCharType="begin"/>
      </w:r>
      <w:r w:rsidR="00074436">
        <w:instrText xml:space="preserve"> XE "</w:instrText>
      </w:r>
      <w:r w:rsidR="00074436" w:rsidRPr="00FD699A">
        <w:rPr>
          <w:rFonts w:cs="Times New Roman"/>
        </w:rPr>
        <w:instrText>home ownership rates</w:instrText>
      </w:r>
      <w:r w:rsidR="00074436">
        <w:instrText xml:space="preserve">" </w:instrText>
      </w:r>
      <w:r w:rsidR="001858B5">
        <w:rPr>
          <w:rFonts w:cs="Times New Roman"/>
        </w:rPr>
        <w:fldChar w:fldCharType="end"/>
      </w:r>
      <w:r w:rsidR="00C75548" w:rsidRPr="00124B71">
        <w:rPr>
          <w:rFonts w:cs="Times New Roman"/>
        </w:rPr>
        <w:t xml:space="preserve">, </w:t>
      </w:r>
      <w:r w:rsidR="005342F2" w:rsidRPr="00124B71">
        <w:rPr>
          <w:rFonts w:cs="Times New Roman"/>
        </w:rPr>
        <w:t xml:space="preserve">possible government intervention in the markets, </w:t>
      </w:r>
      <w:r w:rsidR="00C75548" w:rsidRPr="00124B71">
        <w:rPr>
          <w:rFonts w:cs="Times New Roman"/>
        </w:rPr>
        <w:t xml:space="preserve">and other factors. </w:t>
      </w:r>
      <w:r w:rsidR="005342F2" w:rsidRPr="00124B71">
        <w:rPr>
          <w:rFonts w:cs="Times New Roman"/>
        </w:rPr>
        <w:t>These forces do not directly impact house prices as changes in these variables do not have strong correlation with hous</w:t>
      </w:r>
      <w:r w:rsidR="00ED6EEF" w:rsidRPr="00124B71">
        <w:rPr>
          <w:rFonts w:cs="Times New Roman"/>
        </w:rPr>
        <w:t>e</w:t>
      </w:r>
      <w:r w:rsidR="005342F2" w:rsidRPr="00124B71">
        <w:rPr>
          <w:rFonts w:cs="Times New Roman"/>
        </w:rPr>
        <w:t xml:space="preserve"> prices; however, these variables can and do impact the variables that do correspond with house prices</w:t>
      </w:r>
      <w:r w:rsidR="00EE2106" w:rsidRPr="00124B71">
        <w:rPr>
          <w:rFonts w:cs="Times New Roman"/>
        </w:rPr>
        <w:t>, therefore an evaluation is provided of</w:t>
      </w:r>
      <w:r w:rsidR="005342F2" w:rsidRPr="00124B71">
        <w:rPr>
          <w:rFonts w:cs="Times New Roman"/>
        </w:rPr>
        <w:t xml:space="preserve"> the role these factors play in market pricing.</w:t>
      </w:r>
    </w:p>
    <w:p w14:paraId="1C822467" w14:textId="77777777" w:rsidR="00806363" w:rsidRPr="00124B71" w:rsidRDefault="00806363" w:rsidP="00D719B9">
      <w:pPr>
        <w:rPr>
          <w:rFonts w:cs="Times New Roman"/>
        </w:rPr>
      </w:pPr>
      <w:r w:rsidRPr="00124B71">
        <w:rPr>
          <w:rFonts w:cs="Times New Roman"/>
        </w:rPr>
        <w:t>The timing of the decline is the most difficult parameter to evaluate and estimate</w:t>
      </w:r>
      <w:r w:rsidR="0087538F" w:rsidRPr="00124B71">
        <w:rPr>
          <w:rFonts w:cs="Times New Roman"/>
        </w:rPr>
        <w:t>.</w:t>
      </w:r>
      <w:r w:rsidR="00932101" w:rsidRPr="00124B71">
        <w:rPr>
          <w:rFonts w:cs="Times New Roman"/>
        </w:rPr>
        <w:t xml:space="preserve"> </w:t>
      </w:r>
      <w:r w:rsidR="00857EFD" w:rsidRPr="00124B71">
        <w:rPr>
          <w:rStyle w:val="EndnoteReference"/>
          <w:rFonts w:cs="Times New Roman"/>
        </w:rPr>
        <w:endnoteReference w:id="119"/>
      </w:r>
      <w:r w:rsidRPr="00124B71">
        <w:rPr>
          <w:rFonts w:cs="Times New Roman"/>
        </w:rPr>
        <w:t xml:space="preserve"> House prices are notoriously “sticky” during price declines because sellers are loath to sell at a loss. The timing of a decline is impacted both</w:t>
      </w:r>
      <w:r w:rsidR="0098795E" w:rsidRPr="00124B71">
        <w:rPr>
          <w:rFonts w:cs="Times New Roman"/>
        </w:rPr>
        <w:t xml:space="preserve"> by</w:t>
      </w:r>
      <w:r w:rsidRPr="00124B71">
        <w:rPr>
          <w:rFonts w:cs="Times New Roman"/>
        </w:rPr>
        <w:t xml:space="preserve"> psychological and technical factors. The motivations of sellers based on their personal circumstances and emotional states will determine if there is a heightened sense of urgency to sell which would push prices down </w:t>
      </w:r>
      <w:r w:rsidR="00E639FD" w:rsidRPr="00124B71">
        <w:rPr>
          <w:rFonts w:cs="Times New Roman"/>
        </w:rPr>
        <w:t>quickly. During the price correction of the coastal bubble of the early 90s, prices declined very slowly as unmotivated sellers held on and waited for prices to come back. The market experienced denial and fear, but there was not a stage of capitulatory selling that drove prices down quickly as is typical in the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00E639FD" w:rsidRPr="00124B71">
        <w:rPr>
          <w:rFonts w:cs="Times New Roman"/>
        </w:rPr>
        <w:t xml:space="preserve"> of a speculative bubble. The primary technical factor impacting the rate of price decline is the presence of foreclosures and real estate owned (REO</w:t>
      </w:r>
      <w:r w:rsidR="00A40CA5" w:rsidRPr="00124B71">
        <w:rPr>
          <w:rFonts w:cs="Times New Roman"/>
        </w:rPr>
        <w:t>).</w:t>
      </w:r>
      <w:r w:rsidR="00E639FD" w:rsidRPr="00124B71">
        <w:rPr>
          <w:rFonts w:cs="Times New Roman"/>
        </w:rPr>
        <w:t xml:space="preserve"> REOs</w:t>
      </w:r>
      <w:r w:rsidR="001858B5">
        <w:rPr>
          <w:rFonts w:cs="Times New Roman"/>
        </w:rPr>
        <w:fldChar w:fldCharType="begin"/>
      </w:r>
      <w:r w:rsidR="001A53F8">
        <w:instrText xml:space="preserve"> XE "</w:instrText>
      </w:r>
      <w:r w:rsidR="001A53F8" w:rsidRPr="005B3581">
        <w:rPr>
          <w:rFonts w:cs="Times New Roman"/>
        </w:rPr>
        <w:instrText>REOs</w:instrText>
      </w:r>
      <w:r w:rsidR="001A53F8">
        <w:instrText xml:space="preserve">" </w:instrText>
      </w:r>
      <w:r w:rsidR="001858B5">
        <w:rPr>
          <w:rFonts w:cs="Times New Roman"/>
        </w:rPr>
        <w:fldChar w:fldCharType="end"/>
      </w:r>
      <w:r w:rsidR="00E639FD" w:rsidRPr="00124B71">
        <w:rPr>
          <w:rFonts w:cs="Times New Roman"/>
        </w:rPr>
        <w:t xml:space="preserve"> are a form of must-sell</w:t>
      </w:r>
      <w:r w:rsidR="001858B5">
        <w:rPr>
          <w:rFonts w:cs="Times New Roman"/>
        </w:rPr>
        <w:fldChar w:fldCharType="begin"/>
      </w:r>
      <w:r w:rsidR="00C12412">
        <w:instrText xml:space="preserve"> XE "</w:instrText>
      </w:r>
      <w:r w:rsidR="00C12412" w:rsidRPr="0032623E">
        <w:rPr>
          <w:rFonts w:cs="Times New Roman"/>
        </w:rPr>
        <w:instrText>must-sell</w:instrText>
      </w:r>
      <w:r w:rsidR="00C12412">
        <w:instrText xml:space="preserve">" </w:instrText>
      </w:r>
      <w:r w:rsidR="001858B5">
        <w:rPr>
          <w:rFonts w:cs="Times New Roman"/>
        </w:rPr>
        <w:fldChar w:fldCharType="end"/>
      </w:r>
      <w:r w:rsidR="00E639FD" w:rsidRPr="00124B71">
        <w:rPr>
          <w:rFonts w:cs="Times New Roman"/>
        </w:rPr>
        <w:t xml:space="preserve"> inventory (as are new homes</w:t>
      </w:r>
      <w:r w:rsidR="00A40CA5" w:rsidRPr="00124B71">
        <w:rPr>
          <w:rFonts w:cs="Times New Roman"/>
        </w:rPr>
        <w:t>).</w:t>
      </w:r>
      <w:r w:rsidR="00E639FD" w:rsidRPr="00124B71">
        <w:rPr>
          <w:rFonts w:cs="Times New Roman"/>
        </w:rPr>
        <w:t xml:space="preserve"> If there is more inventory of the must-sell variety than the market can absorb, prices are pushed lower. The more of this must-sell inventory there is on the market, the faster prices decline. If the pattern of the early 90s is repeated, the price decline of the Great Housing Bubble may drag out slowly while fundamentals catch up to market pricing. In fact, this</w:t>
      </w:r>
      <w:r w:rsidR="008219F4">
        <w:rPr>
          <w:rFonts w:cs="Times New Roman"/>
        </w:rPr>
        <w:t xml:space="preserve"> is</w:t>
      </w:r>
      <w:r w:rsidR="00E639FD" w:rsidRPr="00124B71">
        <w:rPr>
          <w:rFonts w:cs="Times New Roman"/>
        </w:rPr>
        <w:t xml:space="preserve"> probably what will occur on the national market unless the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E639FD" w:rsidRPr="00124B71">
        <w:rPr>
          <w:rFonts w:cs="Times New Roman"/>
        </w:rPr>
        <w:t xml:space="preserve"> numbers and resultant REOs overwhelm market buyers. In the extreme bubble markets like Irvine, California, the combination of high foreclosure rates and general market panic will likely push prices lower much more quickly</w:t>
      </w:r>
      <w:r w:rsidR="00932101" w:rsidRPr="00124B71">
        <w:rPr>
          <w:rFonts w:cs="Times New Roman"/>
        </w:rPr>
        <w:t xml:space="preserve">. </w:t>
      </w:r>
      <w:r w:rsidR="001A03C9" w:rsidRPr="00124B71">
        <w:rPr>
          <w:rStyle w:val="EndnoteReference"/>
          <w:rFonts w:cs="Times New Roman"/>
        </w:rPr>
        <w:endnoteReference w:id="120"/>
      </w:r>
      <w:r w:rsidR="009F53D4" w:rsidRPr="00124B71">
        <w:rPr>
          <w:rFonts w:cs="Times New Roman"/>
        </w:rPr>
        <w:t xml:space="preserve"> Even though the percentage decline in house prices is projected to be double the decline witnessed in the </w:t>
      </w:r>
      <w:r w:rsidR="00A64944" w:rsidRPr="00124B71">
        <w:rPr>
          <w:rFonts w:cs="Times New Roman"/>
        </w:rPr>
        <w:t xml:space="preserve">coastal </w:t>
      </w:r>
      <w:r w:rsidR="009F53D4" w:rsidRPr="00124B71">
        <w:rPr>
          <w:rFonts w:cs="Times New Roman"/>
        </w:rPr>
        <w:t>bubble of the early 90s, the duration of the decline may be similar as capitulatory selling pushes prices lower at a faster rate.</w:t>
      </w:r>
    </w:p>
    <w:p w14:paraId="47BB449B" w14:textId="77777777" w:rsidR="00D049DC" w:rsidRPr="00EF0EDA" w:rsidRDefault="00D049DC" w:rsidP="00D049DC">
      <w:pPr>
        <w:pStyle w:val="Heading3"/>
      </w:pPr>
      <w:bookmarkStart w:id="180" w:name="_Toc238867382"/>
      <w:r w:rsidRPr="00EF0EDA">
        <w:t>Price Action</w:t>
      </w:r>
      <w:bookmarkEnd w:id="180"/>
    </w:p>
    <w:p w14:paraId="7643C932" w14:textId="77777777" w:rsidR="006D41C5" w:rsidRPr="00124B71" w:rsidRDefault="00ED6EEF" w:rsidP="00D864AD">
      <w:pPr>
        <w:rPr>
          <w:rFonts w:cs="Times New Roman"/>
        </w:rPr>
      </w:pPr>
      <w:r w:rsidRPr="00124B71">
        <w:rPr>
          <w:rFonts w:cs="Times New Roman"/>
        </w:rPr>
        <w:t>Most market participants focus on price action. The price-to-price feedback mechanism largely responsible for bubble market behavior gathers its strength from an awareness of market pricing, and the widespread belief that</w:t>
      </w:r>
      <w:r w:rsidR="006D41C5" w:rsidRPr="00124B71">
        <w:rPr>
          <w:rFonts w:cs="Times New Roman"/>
        </w:rPr>
        <w:t xml:space="preserve"> short-term,</w:t>
      </w:r>
      <w:r w:rsidRPr="00124B71">
        <w:rPr>
          <w:rFonts w:cs="Times New Roman"/>
        </w:rPr>
        <w:t xml:space="preserve"> past price performance is predictive of</w:t>
      </w:r>
      <w:r w:rsidR="006D41C5" w:rsidRPr="00124B71">
        <w:rPr>
          <w:rFonts w:cs="Times New Roman"/>
        </w:rPr>
        <w:t xml:space="preserve"> long-term,</w:t>
      </w:r>
      <w:r w:rsidRPr="00124B71">
        <w:rPr>
          <w:rFonts w:cs="Times New Roman"/>
        </w:rPr>
        <w:t xml:space="preserve"> future price performance.</w:t>
      </w:r>
      <w:r w:rsidR="006D41C5" w:rsidRPr="00124B71">
        <w:rPr>
          <w:rFonts w:cs="Times New Roman"/>
        </w:rPr>
        <w:t xml:space="preserve"> It is a fallacy that is often reinforced in the short-term as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006D41C5" w:rsidRPr="00124B71">
        <w:rPr>
          <w:rFonts w:cs="Times New Roman"/>
        </w:rPr>
        <w:t xml:space="preserve"> takes over in a market, but over the long term, short-term price movements rarely correspond to long-term price trends, and when they do, it is only by chance. </w:t>
      </w:r>
    </w:p>
    <w:p w14:paraId="218A69AB" w14:textId="77777777" w:rsidR="00D864AD" w:rsidRPr="00124B71" w:rsidRDefault="006D41C5" w:rsidP="00D864AD">
      <w:pPr>
        <w:rPr>
          <w:rFonts w:cs="Times New Roman"/>
        </w:rPr>
      </w:pPr>
      <w:r w:rsidRPr="00124B71">
        <w:rPr>
          <w:rFonts w:cs="Times New Roman"/>
        </w:rPr>
        <w:t xml:space="preserve">Predicting future prices based on price action is based on the premise that long-term price trends are reflective of fundamental valuations because they </w:t>
      </w:r>
      <w:r w:rsidRPr="00124B71">
        <w:rPr>
          <w:rFonts w:cs="Times New Roman"/>
        </w:rPr>
        <w:lastRenderedPageBreak/>
        <w:t xml:space="preserve">represent the collective wisdom of the market. As with all methods of predicting pricing, deviations from the long-term fundamental valuation </w:t>
      </w:r>
      <w:r w:rsidR="005B576A" w:rsidRPr="00124B71">
        <w:rPr>
          <w:rFonts w:cs="Times New Roman"/>
        </w:rPr>
        <w:t>almost always</w:t>
      </w:r>
      <w:r w:rsidRPr="00124B71">
        <w:rPr>
          <w:rFonts w:cs="Times New Roman"/>
        </w:rPr>
        <w:t xml:space="preserve"> result in a return to</w:t>
      </w:r>
      <w:r w:rsidR="003818AB" w:rsidRPr="00124B71">
        <w:rPr>
          <w:rFonts w:cs="Times New Roman"/>
        </w:rPr>
        <w:t xml:space="preserve"> this value. The weakness in this theory is in its failure to provide a causal mechanism. To note that prices return to long-term valuations without postulating why prices do this provides no mechanism for estimating when prices will return to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003818AB" w:rsidRPr="00124B71">
        <w:rPr>
          <w:rFonts w:cs="Times New Roman"/>
        </w:rPr>
        <w:t>, and it provides no way to determine if there is a significant change to the market’s valuation to establish whether or not prices will return at all. In short, past price action itself is very limited in its ability to predict future price action. Despite the shortcomings of the methodology, predictions based on past price performance are widely used and often woefully inaccurate.</w:t>
      </w:r>
    </w:p>
    <w:p w14:paraId="56048B2E" w14:textId="016E1998" w:rsidR="00D864AD" w:rsidRPr="00EF0EDA" w:rsidRDefault="00CF05FE" w:rsidP="00D864AD">
      <w:pPr>
        <w:pStyle w:val="Caption"/>
      </w:pPr>
      <w:bookmarkStart w:id="181" w:name="_Toc238867477"/>
      <w:r>
        <w:t>Figure</w:t>
      </w:r>
      <w:r w:rsidR="00D864AD" w:rsidRPr="00EF0EDA">
        <w:t xml:space="preserve"> </w:t>
      </w:r>
      <w:fldSimple w:instr=" SEQ Figure \* ARABIC ">
        <w:r w:rsidR="00493733">
          <w:rPr>
            <w:noProof/>
          </w:rPr>
          <w:t>36</w:t>
        </w:r>
      </w:fldSimple>
      <w:r w:rsidR="00317936">
        <w:t xml:space="preserve">: </w:t>
      </w:r>
      <w:r w:rsidR="00D864AD" w:rsidRPr="00EF0EDA">
        <w:t xml:space="preserve">National </w:t>
      </w:r>
      <w:r w:rsidR="00CD102C" w:rsidRPr="00EF0EDA">
        <w:t xml:space="preserve">Projections </w:t>
      </w:r>
      <w:r w:rsidR="00CD102C">
        <w:t>from</w:t>
      </w:r>
      <w:r w:rsidR="00D864AD" w:rsidRPr="00EF0EDA">
        <w:t xml:space="preserve"> Historic Appreciation Rates</w:t>
      </w:r>
      <w:r w:rsidR="000E7151">
        <w:t>,</w:t>
      </w:r>
      <w:r w:rsidR="00D864AD" w:rsidRPr="00EF0EDA">
        <w:t xml:space="preserve"> 1984-2012</w:t>
      </w:r>
      <w:bookmarkEnd w:id="181"/>
    </w:p>
    <w:p w14:paraId="075C372F" w14:textId="77777777" w:rsidR="00D864AD" w:rsidRPr="00EF0EDA" w:rsidRDefault="002703E4" w:rsidP="008F1316">
      <w:pPr>
        <w:pStyle w:val="Graphics"/>
      </w:pPr>
      <w:r>
        <w:drawing>
          <wp:inline distT="0" distB="0" distL="0" distR="0" wp14:anchorId="6CDDA938" wp14:editId="0EB1AF66">
            <wp:extent cx="3657600" cy="2743200"/>
            <wp:effectExtent l="19050" t="0" r="0" b="0"/>
            <wp:docPr id="101" name="Picture 100" descr="National House Price Predictions based on Historic Appreciation Rates 1984-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House Price Predictions based on Historic Appreciation Rates 1984-2012.jpg"/>
                    <pic:cNvPicPr/>
                  </pic:nvPicPr>
                  <pic:blipFill>
                    <a:blip r:embed="rId74"/>
                    <a:stretch>
                      <a:fillRect/>
                    </a:stretch>
                  </pic:blipFill>
                  <pic:spPr>
                    <a:xfrm>
                      <a:off x="0" y="0"/>
                      <a:ext cx="3657600" cy="2743200"/>
                    </a:xfrm>
                    <a:prstGeom prst="rect">
                      <a:avLst/>
                    </a:prstGeom>
                  </pic:spPr>
                </pic:pic>
              </a:graphicData>
            </a:graphic>
          </wp:inline>
        </w:drawing>
      </w:r>
    </w:p>
    <w:p w14:paraId="77BDC6E2" w14:textId="77777777" w:rsidR="005219DA" w:rsidRPr="00124B71" w:rsidRDefault="003818AB" w:rsidP="00D864AD">
      <w:pPr>
        <w:rPr>
          <w:rFonts w:cs="Times New Roman"/>
        </w:rPr>
      </w:pPr>
      <w:r w:rsidRPr="00124B71">
        <w:rPr>
          <w:rFonts w:cs="Times New Roman"/>
        </w:rPr>
        <w:t>From 1984 through 1998, national house prices appreciated at a rate of 4.5%.</w:t>
      </w:r>
      <w:r w:rsidR="002B62C0" w:rsidRPr="00124B71">
        <w:rPr>
          <w:rFonts w:cs="Times New Roman"/>
        </w:rPr>
        <w:t xml:space="preserve"> There is a strong correlation between this rate of price increase and observed market prices. There is only one deviation from this rate of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2B62C0" w:rsidRPr="00124B71">
        <w:rPr>
          <w:rFonts w:cs="Times New Roman"/>
        </w:rPr>
        <w:t xml:space="preserve"> during the period. The effect of the coastal bubble of the late 1980s on national prices creates a small rise from the historic appreciation rate and a sideways drift of prices until values resume their 4.5% annual rise. Since prices consistently match this rate of appreciation, and since prices deviate once from this rate in a prior price bubble and return to it, there is a compelling argument that prices will drop to this level of long-term appreciation and </w:t>
      </w:r>
      <w:r w:rsidR="005219DA" w:rsidRPr="00124B71">
        <w:rPr>
          <w:rFonts w:cs="Times New Roman"/>
        </w:rPr>
        <w:t>begin rising again. If this proves to be true, national home prices will decline 10% from the peak, bottom in 2009, and return to the peak by 2011. This is the market’s best-case scenario.</w:t>
      </w:r>
    </w:p>
    <w:p w14:paraId="4683D0E0" w14:textId="20A09596" w:rsidR="00D864AD" w:rsidRPr="00EF0EDA" w:rsidRDefault="00CF05FE" w:rsidP="00D864AD">
      <w:pPr>
        <w:pStyle w:val="Caption"/>
      </w:pPr>
      <w:bookmarkStart w:id="182" w:name="_Toc238867478"/>
      <w:r>
        <w:lastRenderedPageBreak/>
        <w:t>Figure</w:t>
      </w:r>
      <w:r w:rsidR="00D864AD" w:rsidRPr="00EF0EDA">
        <w:t xml:space="preserve"> </w:t>
      </w:r>
      <w:fldSimple w:instr=" SEQ Figure \* ARABIC ">
        <w:r w:rsidR="00493733">
          <w:rPr>
            <w:noProof/>
          </w:rPr>
          <w:t>37</w:t>
        </w:r>
      </w:fldSimple>
      <w:r w:rsidR="00317936">
        <w:t xml:space="preserve">: </w:t>
      </w:r>
      <w:r w:rsidR="00D864AD" w:rsidRPr="00EF0EDA">
        <w:t>Irvine, C</w:t>
      </w:r>
      <w:r w:rsidR="000E7151">
        <w:t>A,</w:t>
      </w:r>
      <w:r w:rsidR="00D864AD" w:rsidRPr="00EF0EDA">
        <w:t xml:space="preserve"> </w:t>
      </w:r>
      <w:r w:rsidR="00CD102C" w:rsidRPr="00EF0EDA">
        <w:t xml:space="preserve">Projections </w:t>
      </w:r>
      <w:r w:rsidR="00CD102C">
        <w:t>from</w:t>
      </w:r>
      <w:r w:rsidR="00D864AD" w:rsidRPr="00EF0EDA">
        <w:t xml:space="preserve"> Historic Appreciation Rates</w:t>
      </w:r>
      <w:r w:rsidR="000E7151">
        <w:t>,</w:t>
      </w:r>
      <w:r w:rsidR="00D864AD" w:rsidRPr="00EF0EDA">
        <w:t xml:space="preserve"> 1984-2026</w:t>
      </w:r>
      <w:bookmarkEnd w:id="182"/>
    </w:p>
    <w:p w14:paraId="49F0F61E" w14:textId="77777777" w:rsidR="00D864AD" w:rsidRPr="00EF0EDA" w:rsidRDefault="002703E4" w:rsidP="008F1316">
      <w:pPr>
        <w:pStyle w:val="Graphics"/>
      </w:pPr>
      <w:r>
        <w:drawing>
          <wp:inline distT="0" distB="0" distL="0" distR="0" wp14:anchorId="51A29EAA" wp14:editId="66ADCBF4">
            <wp:extent cx="3657600" cy="2743200"/>
            <wp:effectExtent l="19050" t="0" r="0" b="0"/>
            <wp:docPr id="102" name="Picture 101" descr="Irvine, California House Price Predictions based on Historic Appreciation Rates 1984-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vine, California House Price Predictions based on Historic Appreciation Rates 1984-2026.jpg"/>
                    <pic:cNvPicPr/>
                  </pic:nvPicPr>
                  <pic:blipFill>
                    <a:blip r:embed="rId75"/>
                    <a:stretch>
                      <a:fillRect/>
                    </a:stretch>
                  </pic:blipFill>
                  <pic:spPr>
                    <a:xfrm>
                      <a:off x="0" y="0"/>
                      <a:ext cx="3657600" cy="2743200"/>
                    </a:xfrm>
                    <a:prstGeom prst="rect">
                      <a:avLst/>
                    </a:prstGeom>
                  </pic:spPr>
                </pic:pic>
              </a:graphicData>
            </a:graphic>
          </wp:inline>
        </w:drawing>
      </w:r>
    </w:p>
    <w:p w14:paraId="3C1EC772" w14:textId="77777777" w:rsidR="00D864AD" w:rsidRPr="00124B71" w:rsidRDefault="00D20DEE" w:rsidP="00D864AD">
      <w:pPr>
        <w:rPr>
          <w:rFonts w:cs="Times New Roman"/>
        </w:rPr>
      </w:pPr>
      <w:r w:rsidRPr="00124B71">
        <w:rPr>
          <w:rFonts w:cs="Times New Roman"/>
        </w:rPr>
        <w:t>The story for the most inflated markets</w:t>
      </w:r>
      <w:r w:rsidR="00D460DC" w:rsidRPr="00124B71">
        <w:rPr>
          <w:rFonts w:cs="Times New Roman"/>
        </w:rPr>
        <w:t xml:space="preserve"> such as Irvine, California, is much the same as the national forecast. If the 4.4% rate of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D460DC" w:rsidRPr="00124B71">
        <w:rPr>
          <w:rFonts w:cs="Times New Roman"/>
        </w:rPr>
        <w:t xml:space="preserve"> seen from 1984-1998 is repeated, then prices will decline 45% from the peak, bottom in 2011 and return to the peak in 2023.</w:t>
      </w:r>
      <w:r w:rsidR="006341DB" w:rsidRPr="00124B71">
        <w:rPr>
          <w:rFonts w:cs="Times New Roman"/>
        </w:rPr>
        <w:t xml:space="preserve"> Since prices peaked in 2006, this method of price projection shows an 18 year peak-to-peak waiting time: not a comforting forecast for Irvine homeowners. </w:t>
      </w:r>
    </w:p>
    <w:p w14:paraId="03D6457F" w14:textId="07449111" w:rsidR="00803414" w:rsidRPr="00EF0EDA" w:rsidRDefault="00CF05FE" w:rsidP="00803414">
      <w:pPr>
        <w:pStyle w:val="Caption"/>
      </w:pPr>
      <w:bookmarkStart w:id="183" w:name="_Toc238867479"/>
      <w:r>
        <w:t>Figure</w:t>
      </w:r>
      <w:r w:rsidR="00803414" w:rsidRPr="00EF0EDA">
        <w:t xml:space="preserve"> </w:t>
      </w:r>
      <w:fldSimple w:instr=" SEQ Figure \* ARABIC ">
        <w:r w:rsidR="00493733">
          <w:rPr>
            <w:noProof/>
          </w:rPr>
          <w:t>38</w:t>
        </w:r>
      </w:fldSimple>
      <w:r w:rsidR="00317936">
        <w:t xml:space="preserve">: </w:t>
      </w:r>
      <w:r w:rsidR="00803414" w:rsidRPr="00EF0EDA">
        <w:t>Growth in Income and House Prices</w:t>
      </w:r>
      <w:r w:rsidR="000E7151">
        <w:t>,</w:t>
      </w:r>
      <w:r w:rsidR="00803414" w:rsidRPr="00EF0EDA">
        <w:t xml:space="preserve"> 1981-2006</w:t>
      </w:r>
      <w:bookmarkEnd w:id="183"/>
    </w:p>
    <w:p w14:paraId="4E34CDE3" w14:textId="77777777" w:rsidR="00803414" w:rsidRPr="00EF0EDA" w:rsidRDefault="002703E4" w:rsidP="008F1316">
      <w:pPr>
        <w:pStyle w:val="Graphics"/>
      </w:pPr>
      <w:r>
        <w:drawing>
          <wp:inline distT="0" distB="0" distL="0" distR="0" wp14:anchorId="34763492" wp14:editId="35CB9237">
            <wp:extent cx="3657600" cy="2571750"/>
            <wp:effectExtent l="19050" t="0" r="0" b="0"/>
            <wp:docPr id="103" name="Picture 102" descr="Growth in Income and House Prices 1981-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wth in Income and House Prices 1981-2006.jpg"/>
                    <pic:cNvPicPr/>
                  </pic:nvPicPr>
                  <pic:blipFill>
                    <a:blip r:embed="rId76"/>
                    <a:stretch>
                      <a:fillRect/>
                    </a:stretch>
                  </pic:blipFill>
                  <pic:spPr>
                    <a:xfrm>
                      <a:off x="0" y="0"/>
                      <a:ext cx="3657600" cy="2571750"/>
                    </a:xfrm>
                    <a:prstGeom prst="rect">
                      <a:avLst/>
                    </a:prstGeom>
                  </pic:spPr>
                </pic:pic>
              </a:graphicData>
            </a:graphic>
          </wp:inline>
        </w:drawing>
      </w:r>
    </w:p>
    <w:p w14:paraId="5ACB5282" w14:textId="77777777" w:rsidR="000144CC" w:rsidRPr="00124B71" w:rsidRDefault="000144CC" w:rsidP="000144CC">
      <w:pPr>
        <w:rPr>
          <w:rFonts w:cs="Times New Roman"/>
        </w:rPr>
      </w:pPr>
      <w:r w:rsidRPr="00124B71">
        <w:rPr>
          <w:rFonts w:cs="Times New Roman"/>
        </w:rPr>
        <w:lastRenderedPageBreak/>
        <w:t>The key assumption in this analysis is that market prices will resume the rate of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seen from 1984 to 1998. This rate of house price appreciation is 1.4% above the rate of inflation, 1.2% above the rate of wage growth, and 0.7% above the very long-term rate of house price appreciation. House appreciation cannot exceed wage growth forever: trees cannot grow to the sky. People have to earn money to buy a home (unless of course we become a nation of the landed gentry in which real estate is only transferred through inheritance). Over the last 25 years, house appreciation in Orange County</w:t>
      </w:r>
      <w:r w:rsidR="001858B5">
        <w:rPr>
          <w:rFonts w:cs="Times New Roman"/>
        </w:rPr>
        <w:fldChar w:fldCharType="begin"/>
      </w:r>
      <w:r w:rsidR="00AE7D38">
        <w:instrText xml:space="preserve"> XE "</w:instrText>
      </w:r>
      <w:r w:rsidR="00AE7D38" w:rsidRPr="0005034B">
        <w:rPr>
          <w:rFonts w:cs="Times New Roman"/>
        </w:rPr>
        <w:instrText>Orange County</w:instrText>
      </w:r>
      <w:r w:rsidR="00AE7D38">
        <w:instrText xml:space="preserve">" </w:instrText>
      </w:r>
      <w:r w:rsidR="001858B5">
        <w:rPr>
          <w:rFonts w:cs="Times New Roman"/>
        </w:rPr>
        <w:fldChar w:fldCharType="end"/>
      </w:r>
      <w:r w:rsidRPr="00124B71">
        <w:rPr>
          <w:rFonts w:cs="Times New Roman"/>
        </w:rPr>
        <w:t xml:space="preserve"> has outpaced wage growth. Wage growth has averaged 3.4% while house price appreciation has averaged 6.9%. The coastal bubble years (1986-1989) where house prices outpaced income growth were followed by bust years (1990-1995) where wage growth made modest recoveries. </w:t>
      </w:r>
    </w:p>
    <w:p w14:paraId="45292549" w14:textId="77777777" w:rsidR="00803414" w:rsidRPr="00124B71" w:rsidRDefault="00803414" w:rsidP="00D864AD">
      <w:pPr>
        <w:rPr>
          <w:rFonts w:cs="Times New Roman"/>
        </w:rPr>
      </w:pPr>
      <w:r w:rsidRPr="00124B71">
        <w:rPr>
          <w:rFonts w:cs="Times New Roman"/>
        </w:rPr>
        <w:t xml:space="preserve">House prices outpaced wage growth for two reasons: </w:t>
      </w:r>
      <w:r w:rsidR="003F64B0" w:rsidRPr="00124B71">
        <w:rPr>
          <w:rFonts w:cs="Times New Roman"/>
        </w:rPr>
        <w:t>first,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3F64B0" w:rsidRPr="00124B71">
        <w:rPr>
          <w:rFonts w:cs="Times New Roman"/>
        </w:rPr>
        <w:t xml:space="preserve"> ratios rose as people put higher percentages of their income toward making payments; second, </w:t>
      </w:r>
      <w:r w:rsidRPr="00124B71">
        <w:rPr>
          <w:rFonts w:cs="Times New Roman"/>
        </w:rPr>
        <w:t>interest rates decline</w:t>
      </w:r>
      <w:r w:rsidR="003F64B0" w:rsidRPr="00124B71">
        <w:rPr>
          <w:rFonts w:cs="Times New Roman"/>
        </w:rPr>
        <w:t>d</w:t>
      </w:r>
      <w:r w:rsidRPr="00124B71">
        <w:rPr>
          <w:rFonts w:cs="Times New Roman"/>
        </w:rPr>
        <w:t xml:space="preserve"> allowing people to finance la</w:t>
      </w:r>
      <w:r w:rsidR="003F64B0" w:rsidRPr="00124B71">
        <w:rPr>
          <w:rFonts w:cs="Times New Roman"/>
        </w:rPr>
        <w:t>rger sums with less money</w:t>
      </w:r>
      <w:r w:rsidRPr="00124B71">
        <w:rPr>
          <w:rFonts w:cs="Times New Roman"/>
        </w:rPr>
        <w:t>. Much of the reason house prices appreciated at a rate in excess of its normal relationship to inflation is due to the gradual decline of interest rates during the period. As interest rates decline, the amount people can borrow increases. If people can borrow more, they can bid prices higher. House prices appreciated at a rate greater than its long-term average due to declining interest rates. If interest rates stop declining (which is likely), or if interest rates begin a cycle of long-term incline, the rate of house price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will be impacted negatively; the drop of prices from the deflating bubble will be deeper, and the date of ultimate price recovery will be much later. </w:t>
      </w:r>
      <w:r w:rsidR="003F64B0" w:rsidRPr="00124B71">
        <w:rPr>
          <w:rFonts w:cs="Times New Roman"/>
        </w:rPr>
        <w:t xml:space="preserve"> </w:t>
      </w:r>
    </w:p>
    <w:p w14:paraId="5688361D" w14:textId="2BAC0C49" w:rsidR="009743F9" w:rsidRPr="00EF0EDA" w:rsidRDefault="00CF05FE" w:rsidP="009743F9">
      <w:pPr>
        <w:pStyle w:val="Caption"/>
      </w:pPr>
      <w:bookmarkStart w:id="184" w:name="_Toc238867480"/>
      <w:r>
        <w:t>Figure</w:t>
      </w:r>
      <w:r w:rsidR="009743F9" w:rsidRPr="00EF0EDA">
        <w:t xml:space="preserve"> </w:t>
      </w:r>
      <w:fldSimple w:instr=" SEQ Figure \* ARABIC ">
        <w:r w:rsidR="00493733">
          <w:rPr>
            <w:noProof/>
          </w:rPr>
          <w:t>39</w:t>
        </w:r>
      </w:fldSimple>
      <w:r w:rsidR="00317936">
        <w:t xml:space="preserve">: </w:t>
      </w:r>
      <w:r w:rsidR="009743F9" w:rsidRPr="00EF0EDA">
        <w:t>Declining Interest Rates</w:t>
      </w:r>
      <w:r w:rsidR="000E7151">
        <w:t>,</w:t>
      </w:r>
      <w:r w:rsidR="009743F9" w:rsidRPr="00EF0EDA">
        <w:t xml:space="preserve"> 1984-2006</w:t>
      </w:r>
      <w:bookmarkEnd w:id="184"/>
    </w:p>
    <w:p w14:paraId="4290D326" w14:textId="77777777" w:rsidR="009743F9" w:rsidRPr="00EF0EDA" w:rsidRDefault="002703E4" w:rsidP="008F1316">
      <w:pPr>
        <w:pStyle w:val="Graphics"/>
      </w:pPr>
      <w:r>
        <w:drawing>
          <wp:inline distT="0" distB="0" distL="0" distR="0" wp14:anchorId="5DB52544" wp14:editId="09638104">
            <wp:extent cx="3657600" cy="2743200"/>
            <wp:effectExtent l="19050" t="0" r="0" b="0"/>
            <wp:docPr id="104" name="Picture 103" descr="Declining Interest Rates 1984-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lining Interest Rates 1984-2006.jpg"/>
                    <pic:cNvPicPr/>
                  </pic:nvPicPr>
                  <pic:blipFill>
                    <a:blip r:embed="rId77"/>
                    <a:stretch>
                      <a:fillRect/>
                    </a:stretch>
                  </pic:blipFill>
                  <pic:spPr>
                    <a:xfrm>
                      <a:off x="0" y="0"/>
                      <a:ext cx="3657600" cy="2743200"/>
                    </a:xfrm>
                    <a:prstGeom prst="rect">
                      <a:avLst/>
                    </a:prstGeom>
                  </pic:spPr>
                </pic:pic>
              </a:graphicData>
            </a:graphic>
          </wp:inline>
        </w:drawing>
      </w:r>
    </w:p>
    <w:p w14:paraId="49011FC3" w14:textId="77777777" w:rsidR="00D864AD" w:rsidRPr="00124B71" w:rsidRDefault="006341DB" w:rsidP="00D864AD">
      <w:pPr>
        <w:rPr>
          <w:rFonts w:cs="Times New Roman"/>
        </w:rPr>
      </w:pPr>
      <w:r w:rsidRPr="00124B71">
        <w:rPr>
          <w:rFonts w:cs="Times New Roman"/>
        </w:rPr>
        <w:lastRenderedPageBreak/>
        <w:t>The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Pr="00124B71">
        <w:rPr>
          <w:rFonts w:cs="Times New Roman"/>
        </w:rPr>
        <w:t xml:space="preserve"> sales price measures the general price levels at which buyers are active in the market, but it does not reflect the quality of what is purchased </w:t>
      </w:r>
      <w:r w:rsidR="009E7BCA" w:rsidRPr="00124B71">
        <w:rPr>
          <w:rFonts w:cs="Times New Roman"/>
        </w:rPr>
        <w:t>and it</w:t>
      </w:r>
      <w:r w:rsidRPr="00124B71">
        <w:rPr>
          <w:rFonts w:cs="Times New Roman"/>
        </w:rPr>
        <w:t xml:space="preserve"> does </w:t>
      </w:r>
      <w:r w:rsidR="009E7BCA" w:rsidRPr="00124B71">
        <w:rPr>
          <w:rFonts w:cs="Times New Roman"/>
        </w:rPr>
        <w:t xml:space="preserve">not </w:t>
      </w:r>
      <w:r w:rsidRPr="00124B71">
        <w:rPr>
          <w:rFonts w:cs="Times New Roman"/>
        </w:rPr>
        <w:t>reflect the price changes of individual properties.</w:t>
      </w:r>
      <w:r w:rsidR="009E7BCA" w:rsidRPr="00124B71">
        <w:rPr>
          <w:rFonts w:cs="Times New Roman"/>
        </w:rPr>
        <w:t xml:space="preserve"> The S&amp;P/Case-Shiller</w:t>
      </w:r>
      <w:r w:rsidR="001858B5">
        <w:rPr>
          <w:rFonts w:cs="Times New Roman"/>
        </w:rPr>
        <w:fldChar w:fldCharType="begin"/>
      </w:r>
      <w:r w:rsidR="00AE7D38">
        <w:instrText xml:space="preserve"> XE "</w:instrText>
      </w:r>
      <w:r w:rsidR="00AE7D38" w:rsidRPr="00346C49">
        <w:rPr>
          <w:rFonts w:cs="Times New Roman"/>
        </w:rPr>
        <w:instrText>S&amp;P/Case-Shiller</w:instrText>
      </w:r>
      <w:r w:rsidR="00AE7D38">
        <w:instrText xml:space="preserve">" </w:instrText>
      </w:r>
      <w:r w:rsidR="001858B5">
        <w:rPr>
          <w:rFonts w:cs="Times New Roman"/>
        </w:rPr>
        <w:fldChar w:fldCharType="end"/>
      </w:r>
      <w:r w:rsidR="008219F4">
        <w:rPr>
          <w:rFonts w:cs="Times New Roman"/>
        </w:rPr>
        <w:t xml:space="preserve"> indices measure</w:t>
      </w:r>
      <w:r w:rsidR="009E7BCA" w:rsidRPr="00124B71">
        <w:rPr>
          <w:rFonts w:cs="Times New Roman"/>
        </w:rPr>
        <w:t xml:space="preserve"> price changes in individual properties through its use of repeat sales in calculation of the index. Market participants are primarily concerned with how their property is changing in price rather than some aggregate measure of the market. The S&amp;P/Case-Shiller index</w:t>
      </w:r>
      <w:r w:rsidR="001858B5">
        <w:rPr>
          <w:rFonts w:cs="Times New Roman"/>
        </w:rPr>
        <w:fldChar w:fldCharType="begin"/>
      </w:r>
      <w:r w:rsidR="00AE7D38">
        <w:instrText xml:space="preserve"> XE "</w:instrText>
      </w:r>
      <w:r w:rsidR="00AE7D38" w:rsidRPr="003852EB">
        <w:rPr>
          <w:rFonts w:cs="Times New Roman"/>
        </w:rPr>
        <w:instrText>Case-Shiller index</w:instrText>
      </w:r>
      <w:r w:rsidR="00AE7D38">
        <w:instrText xml:space="preserve">" </w:instrText>
      </w:r>
      <w:r w:rsidR="001858B5">
        <w:rPr>
          <w:rFonts w:cs="Times New Roman"/>
        </w:rPr>
        <w:fldChar w:fldCharType="end"/>
      </w:r>
      <w:r w:rsidR="009E7BCA" w:rsidRPr="00124B71">
        <w:rPr>
          <w:rFonts w:cs="Times New Roman"/>
        </w:rPr>
        <w:t xml:space="preserve"> is the best market measure for approximating the price change on individual properties.</w:t>
      </w:r>
    </w:p>
    <w:p w14:paraId="4B2C5634" w14:textId="4508D187" w:rsidR="00BA4A84" w:rsidRPr="00EF0EDA" w:rsidRDefault="00CF05FE" w:rsidP="00727164">
      <w:pPr>
        <w:pStyle w:val="Caption"/>
      </w:pPr>
      <w:bookmarkStart w:id="185" w:name="_Toc238867481"/>
      <w:r>
        <w:t>Figure</w:t>
      </w:r>
      <w:r w:rsidR="00727164" w:rsidRPr="00EF0EDA">
        <w:t xml:space="preserve"> </w:t>
      </w:r>
      <w:fldSimple w:instr=" SEQ Figure \* ARABIC ">
        <w:r w:rsidR="00493733">
          <w:rPr>
            <w:noProof/>
          </w:rPr>
          <w:t>40</w:t>
        </w:r>
      </w:fldSimple>
      <w:r w:rsidR="00317936">
        <w:t xml:space="preserve">: </w:t>
      </w:r>
      <w:r w:rsidR="00727164" w:rsidRPr="00EF0EDA">
        <w:t>National Projections based on S&amp;P/Case-Shiller</w:t>
      </w:r>
      <w:r w:rsidR="001858B5">
        <w:fldChar w:fldCharType="begin"/>
      </w:r>
      <w:r w:rsidR="00AE7D38">
        <w:instrText xml:space="preserve"> XE "</w:instrText>
      </w:r>
      <w:r w:rsidR="00AE7D38" w:rsidRPr="00346C49">
        <w:rPr>
          <w:rFonts w:cs="Times New Roman"/>
        </w:rPr>
        <w:instrText>S&amp;P/Case-Shiller</w:instrText>
      </w:r>
      <w:r w:rsidR="00AE7D38">
        <w:instrText xml:space="preserve">" </w:instrText>
      </w:r>
      <w:r w:rsidR="001858B5">
        <w:fldChar w:fldCharType="end"/>
      </w:r>
      <w:r w:rsidR="00727164" w:rsidRPr="00EF0EDA">
        <w:t xml:space="preserve"> Indices</w:t>
      </w:r>
      <w:bookmarkEnd w:id="185"/>
    </w:p>
    <w:p w14:paraId="7EF3E4F9" w14:textId="77777777" w:rsidR="003465AA" w:rsidRDefault="002703E4" w:rsidP="008F1316">
      <w:pPr>
        <w:pStyle w:val="Graphics"/>
      </w:pPr>
      <w:r>
        <w:drawing>
          <wp:inline distT="0" distB="0" distL="0" distR="0" wp14:anchorId="49592BBA" wp14:editId="7CEF5E07">
            <wp:extent cx="3657600" cy="2377440"/>
            <wp:effectExtent l="19050" t="0" r="0" b="0"/>
            <wp:docPr id="105" name="Picture 104" descr="National House Price Projections based on S&amp;PCase-Shiller Ind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House Price Projections based on S&amp;PCase-Shiller Indices.jpg"/>
                    <pic:cNvPicPr/>
                  </pic:nvPicPr>
                  <pic:blipFill>
                    <a:blip r:embed="rId78"/>
                    <a:stretch>
                      <a:fillRect/>
                    </a:stretch>
                  </pic:blipFill>
                  <pic:spPr>
                    <a:xfrm>
                      <a:off x="0" y="0"/>
                      <a:ext cx="3657600" cy="2377440"/>
                    </a:xfrm>
                    <a:prstGeom prst="rect">
                      <a:avLst/>
                    </a:prstGeom>
                  </pic:spPr>
                </pic:pic>
              </a:graphicData>
            </a:graphic>
          </wp:inline>
        </w:drawing>
      </w:r>
    </w:p>
    <w:p w14:paraId="6DA42DB9" w14:textId="77777777" w:rsidR="00866CAA" w:rsidRPr="00124B71" w:rsidRDefault="00E34E53" w:rsidP="005436E4">
      <w:pPr>
        <w:rPr>
          <w:rFonts w:cs="Times New Roman"/>
        </w:rPr>
      </w:pPr>
      <w:r w:rsidRPr="00124B71">
        <w:rPr>
          <w:rFonts w:cs="Times New Roman"/>
        </w:rPr>
        <w:t>It is more difficult to use an aggregate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rate on the S&amp;P/Case-Shiller</w:t>
      </w:r>
      <w:r w:rsidR="001858B5">
        <w:rPr>
          <w:rFonts w:cs="Times New Roman"/>
        </w:rPr>
        <w:fldChar w:fldCharType="begin"/>
      </w:r>
      <w:r w:rsidR="00AE7D38">
        <w:instrText xml:space="preserve"> XE "</w:instrText>
      </w:r>
      <w:r w:rsidR="00AE7D38" w:rsidRPr="00346C49">
        <w:rPr>
          <w:rFonts w:cs="Times New Roman"/>
        </w:rPr>
        <w:instrText>S&amp;P/Case-Shiller</w:instrText>
      </w:r>
      <w:r w:rsidR="00AE7D38">
        <w:instrText xml:space="preserve">" </w:instrText>
      </w:r>
      <w:r w:rsidR="001858B5">
        <w:rPr>
          <w:rFonts w:cs="Times New Roman"/>
        </w:rPr>
        <w:fldChar w:fldCharType="end"/>
      </w:r>
      <w:r w:rsidRPr="00124B71">
        <w:rPr>
          <w:rFonts w:cs="Times New Roman"/>
        </w:rPr>
        <w:t xml:space="preserve"> indices because there is no single period where a particular average correlates well with market pricing, plus small changes in the rate of appreciation can make large differences in where the bottom is found. There are two issues to be addressed with any projection of appreciation when there is low correlation to the data: the starting point, and the rate of increase. The S&amp;P/Case-Shiller indices did not start collecting data until 1987, but this date is arbitrary. The most recent market low was in 1984, and by 1987, there was some detachment from fundamental valuations. The point of origin for the projection of appreciation may more appropriately be below the first data point in 1987</w:t>
      </w:r>
      <w:r w:rsidR="00806363" w:rsidRPr="00124B71">
        <w:rPr>
          <w:rFonts w:cs="Times New Roman"/>
        </w:rPr>
        <w:t>; however, to simplify the analysis, the 1987 data point was used as the origin</w:t>
      </w:r>
      <w:r w:rsidRPr="00124B71">
        <w:rPr>
          <w:rFonts w:cs="Times New Roman"/>
        </w:rPr>
        <w:t>. The</w:t>
      </w:r>
      <w:r w:rsidR="00806363" w:rsidRPr="00124B71">
        <w:rPr>
          <w:rFonts w:cs="Times New Roman"/>
        </w:rPr>
        <w:t xml:space="preserve"> 3.3%</w:t>
      </w:r>
      <w:r w:rsidRPr="00124B71">
        <w:rPr>
          <w:rFonts w:cs="Times New Roman"/>
        </w:rPr>
        <w:t xml:space="preserve"> rate used in the projections was the historic rate of wage </w:t>
      </w:r>
      <w:r w:rsidR="00A64944" w:rsidRPr="00124B71">
        <w:rPr>
          <w:rFonts w:cs="Times New Roman"/>
        </w:rPr>
        <w:t>growth</w:t>
      </w:r>
      <w:r w:rsidRPr="00124B71">
        <w:rPr>
          <w:rFonts w:cs="Times New Roman"/>
        </w:rPr>
        <w:t xml:space="preserve"> from 1987 to 2006. Since </w:t>
      </w:r>
      <w:r w:rsidR="00806363" w:rsidRPr="00124B71">
        <w:rPr>
          <w:rFonts w:cs="Times New Roman"/>
        </w:rPr>
        <w:t>people finance house purchases with payments made from wages, this is a reasonable rate to use. Another</w:t>
      </w:r>
      <w:r w:rsidRPr="00124B71">
        <w:rPr>
          <w:rFonts w:cs="Times New Roman"/>
        </w:rPr>
        <w:t xml:space="preserve"> method that can be used is to assume the very long-term rate of appreciation of 0.7% over inflation. The question then is what rate of inflation should be used. The average rate of inflation from 1987 to 2007 has been just over 3%, but inflation rates have been much higher and more volatile prior to this time. So an argument can be made that 3.7% is a more appropriate number. </w:t>
      </w:r>
      <w:r w:rsidR="00806363" w:rsidRPr="00124B71">
        <w:rPr>
          <w:rFonts w:cs="Times New Roman"/>
        </w:rPr>
        <w:t xml:space="preserve">If this rate is </w:t>
      </w:r>
      <w:r w:rsidR="00806363" w:rsidRPr="00124B71">
        <w:rPr>
          <w:rFonts w:cs="Times New Roman"/>
        </w:rPr>
        <w:lastRenderedPageBreak/>
        <w:t>used with the lower origin point to allow for the small degree of house price inflation already evident in 1987, the two support curves differ slightly, but the difference between the two is not significant to the outcome.</w:t>
      </w:r>
    </w:p>
    <w:p w14:paraId="4E7B096B" w14:textId="31C1930B" w:rsidR="007E0A6C" w:rsidRPr="00EF0EDA" w:rsidRDefault="00CF05FE" w:rsidP="005436E4">
      <w:pPr>
        <w:pStyle w:val="Caption"/>
      </w:pPr>
      <w:bookmarkStart w:id="186" w:name="_Toc238867482"/>
      <w:r>
        <w:t>Figure</w:t>
      </w:r>
      <w:r w:rsidR="005436E4" w:rsidRPr="00EF0EDA">
        <w:t xml:space="preserve"> </w:t>
      </w:r>
      <w:fldSimple w:instr=" SEQ Figure \* ARABIC ">
        <w:r w:rsidR="00493733">
          <w:rPr>
            <w:noProof/>
          </w:rPr>
          <w:t>41</w:t>
        </w:r>
      </w:fldSimple>
      <w:r w:rsidR="00317936">
        <w:t xml:space="preserve">: </w:t>
      </w:r>
      <w:r w:rsidR="005436E4" w:rsidRPr="00EF0EDA">
        <w:t xml:space="preserve">Los Angeles </w:t>
      </w:r>
      <w:r w:rsidR="00CD102C" w:rsidRPr="00EF0EDA">
        <w:t xml:space="preserve">Projections </w:t>
      </w:r>
      <w:r w:rsidR="005436E4" w:rsidRPr="00EF0EDA">
        <w:t>based on S&amp;P/Case-Shiller</w:t>
      </w:r>
      <w:r w:rsidR="001858B5">
        <w:fldChar w:fldCharType="begin"/>
      </w:r>
      <w:r w:rsidR="00AE7D38">
        <w:instrText xml:space="preserve"> XE "</w:instrText>
      </w:r>
      <w:r w:rsidR="00AE7D38" w:rsidRPr="00346C49">
        <w:rPr>
          <w:rFonts w:cs="Times New Roman"/>
        </w:rPr>
        <w:instrText>S&amp;P/Case-Shiller</w:instrText>
      </w:r>
      <w:r w:rsidR="00AE7D38">
        <w:instrText xml:space="preserve">" </w:instrText>
      </w:r>
      <w:r w:rsidR="001858B5">
        <w:fldChar w:fldCharType="end"/>
      </w:r>
      <w:r w:rsidR="005436E4" w:rsidRPr="00EF0EDA">
        <w:t xml:space="preserve"> Indices</w:t>
      </w:r>
      <w:bookmarkEnd w:id="186"/>
    </w:p>
    <w:p w14:paraId="61252769" w14:textId="77777777" w:rsidR="005436E4" w:rsidRPr="00EF0EDA" w:rsidRDefault="002703E4" w:rsidP="008F1316">
      <w:pPr>
        <w:pStyle w:val="Graphics"/>
      </w:pPr>
      <w:r>
        <w:drawing>
          <wp:inline distT="0" distB="0" distL="0" distR="0" wp14:anchorId="05F71C1F" wp14:editId="73FE8230">
            <wp:extent cx="3657600" cy="2377440"/>
            <wp:effectExtent l="19050" t="0" r="0" b="0"/>
            <wp:docPr id="106" name="Picture 105" descr="Los Angeles House Price Predictions based on S&amp;PCase-Shiller Ind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s Angeles House Price Predictions based on S&amp;PCase-Shiller Indices.jpg"/>
                    <pic:cNvPicPr/>
                  </pic:nvPicPr>
                  <pic:blipFill>
                    <a:blip r:embed="rId79"/>
                    <a:stretch>
                      <a:fillRect/>
                    </a:stretch>
                  </pic:blipFill>
                  <pic:spPr>
                    <a:xfrm>
                      <a:off x="0" y="0"/>
                      <a:ext cx="3657600" cy="2377440"/>
                    </a:xfrm>
                    <a:prstGeom prst="rect">
                      <a:avLst/>
                    </a:prstGeom>
                  </pic:spPr>
                </pic:pic>
              </a:graphicData>
            </a:graphic>
          </wp:inline>
        </w:drawing>
      </w:r>
    </w:p>
    <w:p w14:paraId="6965C34E" w14:textId="77777777" w:rsidR="008F1316" w:rsidRPr="00124B71" w:rsidRDefault="008F1316" w:rsidP="008F1316">
      <w:pPr>
        <w:rPr>
          <w:rFonts w:cs="Times New Roman"/>
        </w:rPr>
      </w:pPr>
      <w:r w:rsidRPr="00124B71">
        <w:rPr>
          <w:rFonts w:cs="Times New Roman"/>
        </w:rPr>
        <w:t>Based on projections from S&amp;P/Case-Shiller</w:t>
      </w:r>
      <w:r w:rsidR="001858B5">
        <w:rPr>
          <w:rFonts w:cs="Times New Roman"/>
        </w:rPr>
        <w:fldChar w:fldCharType="begin"/>
      </w:r>
      <w:r w:rsidR="00AE7D38">
        <w:instrText xml:space="preserve"> XE "</w:instrText>
      </w:r>
      <w:r w:rsidR="00AE7D38" w:rsidRPr="00346C49">
        <w:rPr>
          <w:rFonts w:cs="Times New Roman"/>
        </w:rPr>
        <w:instrText>S&amp;P/Case-Shiller</w:instrText>
      </w:r>
      <w:r w:rsidR="00AE7D38">
        <w:instrText xml:space="preserve">" </w:instrText>
      </w:r>
      <w:r w:rsidR="001858B5">
        <w:rPr>
          <w:rFonts w:cs="Times New Roman"/>
        </w:rPr>
        <w:fldChar w:fldCharType="end"/>
      </w:r>
      <w:r w:rsidRPr="00124B71">
        <w:rPr>
          <w:rFonts w:cs="Times New Roman"/>
        </w:rPr>
        <w:t xml:space="preserve"> indices using a 3.3% rate of wage growth as a support level, prices of individual properties will decline 27% from their peak valuations in 2006, finding a bottom in 2011 and reaching the previous peak in 2025. This is arguably the market prediction of most concern to homeowners that purchased during the bubble because it reflects the price change of individual properties like theirs. There is very little comfort in the thought of a 27% decline and a 19 year waiting period until prices regain their previous peak.</w:t>
      </w:r>
    </w:p>
    <w:p w14:paraId="00027137" w14:textId="77777777" w:rsidR="002B761F" w:rsidRPr="00124B71" w:rsidRDefault="0069484B" w:rsidP="00962F41">
      <w:pPr>
        <w:rPr>
          <w:rFonts w:cs="Times New Roman"/>
        </w:rPr>
      </w:pPr>
      <w:r w:rsidRPr="00124B71">
        <w:rPr>
          <w:rFonts w:cs="Times New Roman"/>
        </w:rPr>
        <w:t xml:space="preserve">The degree of detachment from fundamental valuations in the extreme bubble markets like those in California is truly remarkable, and the decline in house prices will be as unprecedented as the rally that </w:t>
      </w:r>
      <w:r w:rsidR="00377F3C" w:rsidRPr="00124B71">
        <w:rPr>
          <w:rFonts w:cs="Times New Roman"/>
        </w:rPr>
        <w:t>preceded</w:t>
      </w:r>
      <w:r w:rsidR="00432BE3" w:rsidRPr="00124B71">
        <w:rPr>
          <w:rFonts w:cs="Times New Roman"/>
        </w:rPr>
        <w:t xml:space="preserve"> it</w:t>
      </w:r>
      <w:r w:rsidRPr="00124B71">
        <w:rPr>
          <w:rFonts w:cs="Times New Roman"/>
        </w:rPr>
        <w:t>.</w:t>
      </w:r>
      <w:r w:rsidR="00377F3C" w:rsidRPr="00124B71">
        <w:rPr>
          <w:rFonts w:cs="Times New Roman"/>
        </w:rPr>
        <w:t xml:space="preserve"> Based on projections from S&amp;P/Case-Shiller</w:t>
      </w:r>
      <w:r w:rsidR="001858B5">
        <w:rPr>
          <w:rFonts w:cs="Times New Roman"/>
        </w:rPr>
        <w:fldChar w:fldCharType="begin"/>
      </w:r>
      <w:r w:rsidR="00AE7D38">
        <w:instrText xml:space="preserve"> XE "</w:instrText>
      </w:r>
      <w:r w:rsidR="00AE7D38" w:rsidRPr="00346C49">
        <w:rPr>
          <w:rFonts w:cs="Times New Roman"/>
        </w:rPr>
        <w:instrText>S&amp;P/Case-Shiller</w:instrText>
      </w:r>
      <w:r w:rsidR="00AE7D38">
        <w:instrText xml:space="preserve">" </w:instrText>
      </w:r>
      <w:r w:rsidR="001858B5">
        <w:rPr>
          <w:rFonts w:cs="Times New Roman"/>
        </w:rPr>
        <w:fldChar w:fldCharType="end"/>
      </w:r>
      <w:r w:rsidR="00377F3C" w:rsidRPr="00124B71">
        <w:rPr>
          <w:rFonts w:cs="Times New Roman"/>
        </w:rPr>
        <w:t xml:space="preserve"> indices using a 3.3% rate of wage growth as a support level, prices of individual properties will decline 53% from their peak valuations in 2006, finding a bottom in 2011 and reaching the previous peak in 2033. Twenty-Eight years is a long time to wait for peak buyers to get their money back.</w:t>
      </w:r>
      <w:r w:rsidRPr="00124B71">
        <w:rPr>
          <w:rFonts w:cs="Times New Roman"/>
        </w:rPr>
        <w:t xml:space="preserve"> </w:t>
      </w:r>
    </w:p>
    <w:p w14:paraId="78BDF157" w14:textId="77777777" w:rsidR="00D049DC" w:rsidRPr="00EF0EDA" w:rsidRDefault="00D049DC" w:rsidP="00D049DC">
      <w:pPr>
        <w:pStyle w:val="Heading3"/>
      </w:pPr>
      <w:bookmarkStart w:id="187" w:name="_Toc238867383"/>
      <w:r w:rsidRPr="00EF0EDA">
        <w:t>Price-to-Rent Ratio</w:t>
      </w:r>
      <w:bookmarkEnd w:id="187"/>
    </w:p>
    <w:p w14:paraId="29E096D0" w14:textId="77777777" w:rsidR="00377F3C" w:rsidRPr="00124B71" w:rsidRDefault="00377F3C" w:rsidP="00377F3C">
      <w:pPr>
        <w:rPr>
          <w:rFonts w:cs="Times New Roman"/>
        </w:rPr>
      </w:pPr>
      <w:r w:rsidRPr="00124B71">
        <w:rPr>
          <w:rFonts w:cs="Times New Roman"/>
        </w:rPr>
        <w:t>Comparative rent is the primary method of evaluating the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Pr="00124B71">
        <w:rPr>
          <w:rFonts w:cs="Times New Roman"/>
        </w:rPr>
        <w:t xml:space="preserve"> of any property. The price</w:t>
      </w:r>
      <w:r w:rsidR="00866CAA" w:rsidRPr="00124B71">
        <w:rPr>
          <w:rFonts w:cs="Times New Roman"/>
        </w:rPr>
        <w:t>-</w:t>
      </w:r>
      <w:r w:rsidRPr="00124B71">
        <w:rPr>
          <w:rFonts w:cs="Times New Roman"/>
        </w:rPr>
        <w:t>to</w:t>
      </w:r>
      <w:r w:rsidR="00866CAA" w:rsidRPr="00124B71">
        <w:rPr>
          <w:rFonts w:cs="Times New Roman"/>
        </w:rPr>
        <w:t>-</w:t>
      </w:r>
      <w:r w:rsidRPr="00124B71">
        <w:rPr>
          <w:rFonts w:cs="Times New Roman"/>
        </w:rPr>
        <w:t>rent</w:t>
      </w:r>
      <w:r w:rsidR="001858B5">
        <w:rPr>
          <w:rFonts w:cs="Times New Roman"/>
        </w:rPr>
        <w:fldChar w:fldCharType="begin"/>
      </w:r>
      <w:r w:rsidR="00180E6F">
        <w:instrText xml:space="preserve"> XE "</w:instrText>
      </w:r>
      <w:r w:rsidR="00180E6F" w:rsidRPr="0007121C">
        <w:rPr>
          <w:rFonts w:cs="Times New Roman"/>
        </w:rPr>
        <w:instrText>price-to-rent</w:instrText>
      </w:r>
      <w:r w:rsidR="00180E6F">
        <w:instrText xml:space="preserve">" </w:instrText>
      </w:r>
      <w:r w:rsidR="001858B5">
        <w:rPr>
          <w:rFonts w:cs="Times New Roman"/>
        </w:rPr>
        <w:fldChar w:fldCharType="end"/>
      </w:r>
      <w:r w:rsidRPr="00124B71">
        <w:rPr>
          <w:rFonts w:cs="Times New Roman"/>
        </w:rPr>
        <w:t xml:space="preserve"> ratio links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with the cost of rental. This link is direct because possession of property ca</w:t>
      </w:r>
      <w:r w:rsidR="00517C61" w:rsidRPr="00124B71">
        <w:rPr>
          <w:rFonts w:cs="Times New Roman"/>
        </w:rPr>
        <w:t>n be obtained by either method.</w:t>
      </w:r>
      <w:r w:rsidR="00027B0E" w:rsidRPr="00124B71">
        <w:rPr>
          <w:rFonts w:cs="Times New Roman"/>
        </w:rPr>
        <w:t xml:space="preserve"> The cost of ownership </w:t>
      </w:r>
      <w:r w:rsidRPr="00124B71">
        <w:rPr>
          <w:rFonts w:cs="Times New Roman"/>
        </w:rPr>
        <w:t>encapsulates all of the financing terms and other variables associated with</w:t>
      </w:r>
      <w:r w:rsidR="00027B0E" w:rsidRPr="00124B71">
        <w:rPr>
          <w:rFonts w:cs="Times New Roman"/>
        </w:rPr>
        <w:t xml:space="preserve"> possession of real estate as does the cost of rental. Price-to-rent</w:t>
      </w:r>
      <w:r w:rsidR="00987FDA">
        <w:rPr>
          <w:rFonts w:cs="Times New Roman"/>
        </w:rPr>
        <w:t xml:space="preserve"> </w:t>
      </w:r>
      <w:r w:rsidR="00027B0E" w:rsidRPr="00124B71">
        <w:rPr>
          <w:rFonts w:cs="Times New Roman"/>
        </w:rPr>
        <w:t xml:space="preserve">ratio fluctuates over time as changes in the </w:t>
      </w:r>
      <w:r w:rsidR="00027B0E" w:rsidRPr="00124B71">
        <w:rPr>
          <w:rFonts w:cs="Times New Roman"/>
        </w:rPr>
        <w:lastRenderedPageBreak/>
        <w:t xml:space="preserve">cost of ownership and terms of financing makes financing amounts vary and house prices </w:t>
      </w:r>
      <w:r w:rsidR="0098795E" w:rsidRPr="00124B71">
        <w:rPr>
          <w:rFonts w:cs="Times New Roman"/>
        </w:rPr>
        <w:t>vary as well</w:t>
      </w:r>
      <w:r w:rsidR="00027B0E" w:rsidRPr="00124B71">
        <w:rPr>
          <w:rFonts w:cs="Times New Roman"/>
        </w:rPr>
        <w:t>.</w:t>
      </w:r>
    </w:p>
    <w:p w14:paraId="280662BC" w14:textId="696A968C" w:rsidR="00962F41" w:rsidRPr="00EF0EDA" w:rsidRDefault="00CF05FE" w:rsidP="006D4F03">
      <w:pPr>
        <w:pStyle w:val="Caption"/>
      </w:pPr>
      <w:bookmarkStart w:id="188" w:name="_Toc238867483"/>
      <w:r>
        <w:t>Figure</w:t>
      </w:r>
      <w:r w:rsidR="006D4F03" w:rsidRPr="00EF0EDA">
        <w:t xml:space="preserve"> </w:t>
      </w:r>
      <w:fldSimple w:instr=" SEQ Figure \* ARABIC ">
        <w:r w:rsidR="00493733">
          <w:rPr>
            <w:noProof/>
          </w:rPr>
          <w:t>42</w:t>
        </w:r>
      </w:fldSimple>
      <w:r w:rsidR="00317936">
        <w:t xml:space="preserve">: </w:t>
      </w:r>
      <w:r w:rsidR="006D4F03" w:rsidRPr="00EF0EDA">
        <w:t>Projected National Price-to-Rent Ratio</w:t>
      </w:r>
      <w:r w:rsidR="000E7151">
        <w:t>,</w:t>
      </w:r>
      <w:r w:rsidR="006D4F03" w:rsidRPr="00EF0EDA">
        <w:t xml:space="preserve"> 1988-2021</w:t>
      </w:r>
      <w:bookmarkEnd w:id="188"/>
    </w:p>
    <w:p w14:paraId="1806907B" w14:textId="77777777" w:rsidR="00B44E66" w:rsidRDefault="002703E4" w:rsidP="00B44E66">
      <w:pPr>
        <w:rPr>
          <w:rFonts w:cs="Times New Roman"/>
        </w:rPr>
      </w:pPr>
      <w:r>
        <w:rPr>
          <w:rFonts w:cs="Times New Roman"/>
          <w:noProof/>
          <w:lang w:bidi="ar-SA"/>
        </w:rPr>
        <w:drawing>
          <wp:inline distT="0" distB="0" distL="0" distR="0" wp14:anchorId="05D55CBC" wp14:editId="65533DFC">
            <wp:extent cx="3657600" cy="2194560"/>
            <wp:effectExtent l="19050" t="0" r="0" b="0"/>
            <wp:docPr id="107" name="Picture 106" descr="Projected National Price-to-Rent Ratio 1988-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ed National Price-to-Rent Ratio 1988-2021.jpg"/>
                    <pic:cNvPicPr/>
                  </pic:nvPicPr>
                  <pic:blipFill>
                    <a:blip r:embed="rId80"/>
                    <a:stretch>
                      <a:fillRect/>
                    </a:stretch>
                  </pic:blipFill>
                  <pic:spPr>
                    <a:xfrm>
                      <a:off x="0" y="0"/>
                      <a:ext cx="3657600" cy="2194560"/>
                    </a:xfrm>
                    <a:prstGeom prst="rect">
                      <a:avLst/>
                    </a:prstGeom>
                  </pic:spPr>
                </pic:pic>
              </a:graphicData>
            </a:graphic>
          </wp:inline>
        </w:drawing>
      </w:r>
      <w:r w:rsidR="000144CC" w:rsidRPr="00124B71">
        <w:rPr>
          <w:rFonts w:cs="Times New Roman"/>
        </w:rPr>
        <w:t xml:space="preserve"> </w:t>
      </w:r>
    </w:p>
    <w:p w14:paraId="4EE16B6A" w14:textId="77777777" w:rsidR="006D4F03" w:rsidRDefault="006D4F03" w:rsidP="008F1316">
      <w:pPr>
        <w:pStyle w:val="Graphics"/>
      </w:pPr>
    </w:p>
    <w:p w14:paraId="38E2AC35" w14:textId="77777777" w:rsidR="00B44E66" w:rsidRPr="00EF0EDA" w:rsidRDefault="00B44E66" w:rsidP="008F1316">
      <w:pPr>
        <w:pStyle w:val="Graphics"/>
      </w:pPr>
    </w:p>
    <w:p w14:paraId="6AF539E7" w14:textId="17D44192" w:rsidR="006D4F03" w:rsidRPr="00EF0EDA" w:rsidRDefault="00CF05FE" w:rsidP="00C068C2">
      <w:pPr>
        <w:pStyle w:val="Caption"/>
      </w:pPr>
      <w:bookmarkStart w:id="189" w:name="_Toc238867484"/>
      <w:r>
        <w:t>Figure</w:t>
      </w:r>
      <w:r w:rsidR="00C068C2" w:rsidRPr="00EF0EDA">
        <w:t xml:space="preserve"> </w:t>
      </w:r>
      <w:fldSimple w:instr=" SEQ Figure \* ARABIC ">
        <w:r w:rsidR="00493733">
          <w:rPr>
            <w:noProof/>
          </w:rPr>
          <w:t>43</w:t>
        </w:r>
      </w:fldSimple>
      <w:r w:rsidR="00317936">
        <w:t xml:space="preserve">: </w:t>
      </w:r>
      <w:r w:rsidR="00C068C2" w:rsidRPr="00EF0EDA">
        <w:t xml:space="preserve">National </w:t>
      </w:r>
      <w:r w:rsidR="00CD102C" w:rsidRPr="00EF0EDA">
        <w:t xml:space="preserve">Projections </w:t>
      </w:r>
      <w:r w:rsidR="00C068C2" w:rsidRPr="00EF0EDA">
        <w:t>based on Price-to-Rent Ratio</w:t>
      </w:r>
      <w:r w:rsidR="000E7151">
        <w:t>,</w:t>
      </w:r>
      <w:r w:rsidR="00C068C2" w:rsidRPr="00EF0EDA">
        <w:t xml:space="preserve"> 1988-202</w:t>
      </w:r>
      <w:r w:rsidR="00D049DC" w:rsidRPr="00EF0EDA">
        <w:t>1</w:t>
      </w:r>
      <w:bookmarkEnd w:id="189"/>
    </w:p>
    <w:p w14:paraId="5CBB4C27" w14:textId="77777777" w:rsidR="00C068C2" w:rsidRPr="00EF0EDA" w:rsidRDefault="002703E4" w:rsidP="008F1316">
      <w:pPr>
        <w:pStyle w:val="Graphics"/>
      </w:pPr>
      <w:r>
        <w:drawing>
          <wp:inline distT="0" distB="0" distL="0" distR="0" wp14:anchorId="457DD466" wp14:editId="074A1D75">
            <wp:extent cx="3657600" cy="2606040"/>
            <wp:effectExtent l="19050" t="0" r="0" b="0"/>
            <wp:docPr id="108" name="Picture 107" descr="National House Price Predictions based on Price-to-Rent Ratio 1988-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House Price Predictions based on Price-to-Rent Ratio 1988-2021.jpg"/>
                    <pic:cNvPicPr/>
                  </pic:nvPicPr>
                  <pic:blipFill>
                    <a:blip r:embed="rId81"/>
                    <a:stretch>
                      <a:fillRect/>
                    </a:stretch>
                  </pic:blipFill>
                  <pic:spPr>
                    <a:xfrm>
                      <a:off x="0" y="0"/>
                      <a:ext cx="3657600" cy="2606040"/>
                    </a:xfrm>
                    <a:prstGeom prst="rect">
                      <a:avLst/>
                    </a:prstGeom>
                  </pic:spPr>
                </pic:pic>
              </a:graphicData>
            </a:graphic>
          </wp:inline>
        </w:drawing>
      </w:r>
    </w:p>
    <w:p w14:paraId="186549F7" w14:textId="77777777" w:rsidR="00B44E66" w:rsidRPr="00B44E66" w:rsidRDefault="00B44E66" w:rsidP="00B44E66">
      <w:r w:rsidRPr="00B44E66">
        <w:t>One of the major components of any projection using price-to-rent</w:t>
      </w:r>
      <w:r w:rsidR="001858B5" w:rsidRPr="00B44E66">
        <w:fldChar w:fldCharType="begin"/>
      </w:r>
      <w:r w:rsidRPr="00B44E66">
        <w:instrText xml:space="preserve"> XE "price-to-rent" </w:instrText>
      </w:r>
      <w:r w:rsidR="001858B5" w:rsidRPr="00B44E66">
        <w:fldChar w:fldCharType="end"/>
      </w:r>
      <w:r w:rsidRPr="00B44E66">
        <w:t xml:space="preserve"> ratios is the projection of future rents. On a national level rents have been rising at a 3.6% rate from 1988 to 2007. </w:t>
      </w:r>
      <w:r w:rsidRPr="001E70C7">
        <w:rPr>
          <w:rStyle w:val="EndnoteReference"/>
        </w:rPr>
        <w:endnoteReference w:id="121"/>
      </w:r>
      <w:r w:rsidRPr="001E70C7">
        <w:rPr>
          <w:rStyle w:val="EndnoteReference"/>
        </w:rPr>
        <w:t xml:space="preserve"> </w:t>
      </w:r>
      <w:r w:rsidRPr="00B44E66">
        <w:t>This is 0.6% greater than the rate of inflation and 0.3% greater than the rate of wage growth. In Orange County</w:t>
      </w:r>
      <w:r w:rsidR="001858B5" w:rsidRPr="00B44E66">
        <w:fldChar w:fldCharType="begin"/>
      </w:r>
      <w:r w:rsidRPr="00B44E66">
        <w:instrText xml:space="preserve"> XE "Orange County" </w:instrText>
      </w:r>
      <w:r w:rsidR="001858B5" w:rsidRPr="00B44E66">
        <w:fldChar w:fldCharType="end"/>
      </w:r>
      <w:r w:rsidRPr="00B44E66">
        <w:t xml:space="preserve">, California, rents have been rising at the rate of 4.7% from 1983 to 2007. This is 1.7% </w:t>
      </w:r>
      <w:r w:rsidRPr="00B44E66">
        <w:lastRenderedPageBreak/>
        <w:t xml:space="preserve">greater than the rate of inflation and 1.3% greater than the rate of wage growth. Any difference between the rate of rental growth and the rate of wage growth cannot be sustained forever; however, the differential on the national level is small, and it can be attributed to changing customer behavior as people demonstrate an increased willingness to spend more on housing related costs. The rate of rent growth over wage growth in Orange County is a bit more troubling. Orange County is second only to Honolulu, Hawaii as the most expensive place to rent in the United States and the continued growth of rents in excess of wages is not sustainable. </w:t>
      </w:r>
    </w:p>
    <w:p w14:paraId="00D33B63" w14:textId="77777777" w:rsidR="00B44E66" w:rsidRPr="00124B71" w:rsidRDefault="00B44E66" w:rsidP="00B44E66">
      <w:pPr>
        <w:rPr>
          <w:rFonts w:cs="Times New Roman"/>
        </w:rPr>
      </w:pPr>
      <w:r w:rsidRPr="00124B71">
        <w:rPr>
          <w:rFonts w:cs="Times New Roman"/>
        </w:rPr>
        <w:t>The unprecedented spike in the national price-to-rent</w:t>
      </w:r>
      <w:r w:rsidR="001858B5">
        <w:rPr>
          <w:rFonts w:cs="Times New Roman"/>
        </w:rPr>
        <w:fldChar w:fldCharType="begin"/>
      </w:r>
      <w:r>
        <w:instrText xml:space="preserve"> XE "</w:instrText>
      </w:r>
      <w:r w:rsidRPr="0007121C">
        <w:rPr>
          <w:rFonts w:cs="Times New Roman"/>
        </w:rPr>
        <w:instrText>price-to-rent</w:instrText>
      </w:r>
      <w:r>
        <w:instrText xml:space="preserve">" </w:instrText>
      </w:r>
      <w:r w:rsidR="001858B5">
        <w:rPr>
          <w:rFonts w:cs="Times New Roman"/>
        </w:rPr>
        <w:fldChar w:fldCharType="end"/>
      </w:r>
      <w:r w:rsidRPr="00124B71">
        <w:rPr>
          <w:rFonts w:cs="Times New Roman"/>
        </w:rPr>
        <w:t xml:space="preserve"> ratio is clear evidence of a massive, national real estate bubble. As the ratio demonstrates, there was no increase in rents justifying market pricing. The only other explanation which would deny a market bubble would be a dramatic lowering of ownership costs through other means. Although lower interest rates did lower ownership costs somewhat, the resulting savings due to lower interest rates only explains about one-third to one-half of the increase in prices. The remainder is caused by the use of exotic financing</w:t>
      </w:r>
      <w:r w:rsidR="001858B5">
        <w:rPr>
          <w:rFonts w:cs="Times New Roman"/>
        </w:rPr>
        <w:fldChar w:fldCharType="begin"/>
      </w:r>
      <w:r>
        <w:instrText xml:space="preserve"> XE "</w:instrText>
      </w:r>
      <w:r w:rsidRPr="00DC5992">
        <w:rPr>
          <w:rFonts w:cs="Times New Roman"/>
        </w:rPr>
        <w:instrText>exotic financing</w:instrText>
      </w:r>
      <w:r>
        <w:instrText xml:space="preserve">" </w:instrText>
      </w:r>
      <w:r w:rsidR="001858B5">
        <w:rPr>
          <w:rFonts w:cs="Times New Roman"/>
        </w:rPr>
        <w:fldChar w:fldCharType="end"/>
      </w:r>
      <w:r w:rsidRPr="00124B71">
        <w:rPr>
          <w:rFonts w:cs="Times New Roman"/>
        </w:rPr>
        <w:t xml:space="preserve"> and irrational exuberance</w:t>
      </w:r>
      <w:r w:rsidR="001858B5">
        <w:rPr>
          <w:rFonts w:cs="Times New Roman"/>
        </w:rPr>
        <w:fldChar w:fldCharType="begin"/>
      </w:r>
      <w:r>
        <w:instrText xml:space="preserve"> XE "</w:instrText>
      </w:r>
      <w:r w:rsidRPr="00FD3A30">
        <w:rPr>
          <w:rFonts w:cs="Times New Roman"/>
        </w:rPr>
        <w:instrText>irrational exuberance</w:instrText>
      </w:r>
      <w:r>
        <w:instrText xml:space="preserve">" </w:instrText>
      </w:r>
      <w:r w:rsidR="001858B5">
        <w:rPr>
          <w:rFonts w:cs="Times New Roman"/>
        </w:rPr>
        <w:fldChar w:fldCharType="end"/>
      </w:r>
      <w:r w:rsidRPr="00124B71">
        <w:rPr>
          <w:rFonts w:cs="Times New Roman"/>
        </w:rPr>
        <w:t xml:space="preserve">. </w:t>
      </w:r>
      <w:r w:rsidR="008219F4" w:rsidRPr="00124B71">
        <w:rPr>
          <w:rFonts w:cs="Times New Roman"/>
        </w:rPr>
        <w:t>Predictions based on the price-to-rent ratio are</w:t>
      </w:r>
      <w:r w:rsidRPr="00124B71">
        <w:rPr>
          <w:rFonts w:cs="Times New Roman"/>
        </w:rPr>
        <w:t xml:space="preserve"> arguably the most robust because the ratio has been stable over long periods of time, and for good reason; the comparative cost of ownership</w:t>
      </w:r>
      <w:r w:rsidR="001858B5">
        <w:rPr>
          <w:rFonts w:cs="Times New Roman"/>
        </w:rPr>
        <w:fldChar w:fldCharType="begin"/>
      </w:r>
      <w:r>
        <w:instrText xml:space="preserve"> XE "</w:instrText>
      </w:r>
      <w:r w:rsidRPr="00E403F7">
        <w:rPr>
          <w:rFonts w:cs="Times New Roman"/>
        </w:rPr>
        <w:instrText>cost of ownership</w:instrText>
      </w:r>
      <w:r>
        <w:instrText xml:space="preserve">" </w:instrText>
      </w:r>
      <w:r w:rsidR="001858B5">
        <w:rPr>
          <w:rFonts w:cs="Times New Roman"/>
        </w:rPr>
        <w:fldChar w:fldCharType="end"/>
      </w:r>
      <w:r w:rsidRPr="00124B71">
        <w:rPr>
          <w:rFonts w:cs="Times New Roman"/>
        </w:rPr>
        <w:t xml:space="preserve"> to rental is a logical basis for valuation. If house prices return to their historic average of the 1988 to 2004 period of 181, then national prices will fall 27% peak-to-trough</w:t>
      </w:r>
      <w:r w:rsidR="001858B5">
        <w:rPr>
          <w:rFonts w:cs="Times New Roman"/>
        </w:rPr>
        <w:fldChar w:fldCharType="begin"/>
      </w:r>
      <w:r>
        <w:instrText xml:space="preserve"> XE "</w:instrText>
      </w:r>
      <w:r w:rsidRPr="00A364C3">
        <w:rPr>
          <w:rFonts w:cs="Times New Roman"/>
        </w:rPr>
        <w:instrText>peak-to-trough</w:instrText>
      </w:r>
      <w:r>
        <w:instrText xml:space="preserve">" </w:instrText>
      </w:r>
      <w:r w:rsidR="001858B5">
        <w:rPr>
          <w:rFonts w:cs="Times New Roman"/>
        </w:rPr>
        <w:fldChar w:fldCharType="end"/>
      </w:r>
      <w:r w:rsidRPr="00124B71">
        <w:rPr>
          <w:rFonts w:cs="Times New Roman"/>
        </w:rPr>
        <w:t>, bottom in 2011 and return to the peak in 2020.</w:t>
      </w:r>
    </w:p>
    <w:p w14:paraId="4299F059" w14:textId="5B702126" w:rsidR="003669D1" w:rsidRPr="00EF0EDA" w:rsidRDefault="00CF05FE" w:rsidP="003669D1">
      <w:pPr>
        <w:pStyle w:val="Caption"/>
      </w:pPr>
      <w:bookmarkStart w:id="190" w:name="_Toc238867485"/>
      <w:r>
        <w:t>Figure</w:t>
      </w:r>
      <w:r w:rsidR="003669D1" w:rsidRPr="00EF0EDA">
        <w:t xml:space="preserve"> </w:t>
      </w:r>
      <w:fldSimple w:instr=" SEQ Figure \* ARABIC ">
        <w:r w:rsidR="00493733">
          <w:rPr>
            <w:noProof/>
          </w:rPr>
          <w:t>44</w:t>
        </w:r>
      </w:fldSimple>
      <w:r w:rsidR="00317936">
        <w:t xml:space="preserve">: </w:t>
      </w:r>
      <w:r w:rsidR="003669D1" w:rsidRPr="00EF0EDA">
        <w:t>Projected Orange County</w:t>
      </w:r>
      <w:r w:rsidR="001858B5">
        <w:fldChar w:fldCharType="begin"/>
      </w:r>
      <w:r w:rsidR="00AE7D38">
        <w:instrText xml:space="preserve"> XE "</w:instrText>
      </w:r>
      <w:r w:rsidR="00AE7D38" w:rsidRPr="0005034B">
        <w:rPr>
          <w:rFonts w:cs="Times New Roman"/>
        </w:rPr>
        <w:instrText>Orange County</w:instrText>
      </w:r>
      <w:r w:rsidR="00AE7D38">
        <w:instrText xml:space="preserve">" </w:instrText>
      </w:r>
      <w:r w:rsidR="001858B5">
        <w:fldChar w:fldCharType="end"/>
      </w:r>
      <w:r w:rsidR="003669D1" w:rsidRPr="00EF0EDA">
        <w:t>, CA Price-to-Rent Ratio</w:t>
      </w:r>
      <w:r w:rsidR="000E7151">
        <w:t>,</w:t>
      </w:r>
      <w:r w:rsidR="003669D1" w:rsidRPr="00EF0EDA">
        <w:t xml:space="preserve"> 1983-2020</w:t>
      </w:r>
      <w:bookmarkEnd w:id="190"/>
    </w:p>
    <w:p w14:paraId="26A666B1" w14:textId="77777777" w:rsidR="003669D1" w:rsidRPr="00EF0EDA" w:rsidRDefault="002703E4" w:rsidP="008F1316">
      <w:pPr>
        <w:pStyle w:val="Graphics"/>
      </w:pPr>
      <w:r>
        <w:drawing>
          <wp:inline distT="0" distB="0" distL="0" distR="0" wp14:anchorId="4158C129" wp14:editId="04F70974">
            <wp:extent cx="3657600" cy="2194560"/>
            <wp:effectExtent l="19050" t="0" r="0" b="0"/>
            <wp:docPr id="109" name="Picture 108" descr="Projected Orange County, CA Price-to-Rent Ratio 1983-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ed Orange County, CA Price-to-Rent Ratio 1983-2020.jpg"/>
                    <pic:cNvPicPr/>
                  </pic:nvPicPr>
                  <pic:blipFill>
                    <a:blip r:embed="rId82"/>
                    <a:stretch>
                      <a:fillRect/>
                    </a:stretch>
                  </pic:blipFill>
                  <pic:spPr>
                    <a:xfrm>
                      <a:off x="0" y="0"/>
                      <a:ext cx="3657600" cy="2194560"/>
                    </a:xfrm>
                    <a:prstGeom prst="rect">
                      <a:avLst/>
                    </a:prstGeom>
                  </pic:spPr>
                </pic:pic>
              </a:graphicData>
            </a:graphic>
          </wp:inline>
        </w:drawing>
      </w:r>
    </w:p>
    <w:p w14:paraId="58BE69DE" w14:textId="77777777" w:rsidR="003669D1" w:rsidRPr="00124B71" w:rsidRDefault="00DB51BF" w:rsidP="008F34D5">
      <w:pPr>
        <w:rPr>
          <w:rFonts w:cs="Times New Roman"/>
        </w:rPr>
      </w:pPr>
      <w:r w:rsidRPr="00124B71">
        <w:rPr>
          <w:rFonts w:cs="Times New Roman"/>
        </w:rPr>
        <w:t>The ratio of price-to-rent</w:t>
      </w:r>
      <w:r w:rsidR="001858B5">
        <w:rPr>
          <w:rFonts w:cs="Times New Roman"/>
        </w:rPr>
        <w:fldChar w:fldCharType="begin"/>
      </w:r>
      <w:r w:rsidR="00180E6F">
        <w:instrText xml:space="preserve"> XE "</w:instrText>
      </w:r>
      <w:r w:rsidR="00180E6F" w:rsidRPr="0007121C">
        <w:rPr>
          <w:rFonts w:cs="Times New Roman"/>
        </w:rPr>
        <w:instrText>price-to-rent</w:instrText>
      </w:r>
      <w:r w:rsidR="00180E6F">
        <w:instrText xml:space="preserve">" </w:instrText>
      </w:r>
      <w:r w:rsidR="001858B5">
        <w:rPr>
          <w:rFonts w:cs="Times New Roman"/>
        </w:rPr>
        <w:fldChar w:fldCharType="end"/>
      </w:r>
      <w:r w:rsidRPr="00124B71">
        <w:rPr>
          <w:rFonts w:cs="Times New Roman"/>
        </w:rPr>
        <w:t xml:space="preserve"> in Orange County</w:t>
      </w:r>
      <w:r w:rsidR="001858B5">
        <w:rPr>
          <w:rFonts w:cs="Times New Roman"/>
        </w:rPr>
        <w:fldChar w:fldCharType="begin"/>
      </w:r>
      <w:r w:rsidR="00AE7D38">
        <w:instrText xml:space="preserve"> XE "</w:instrText>
      </w:r>
      <w:r w:rsidR="00AE7D38" w:rsidRPr="0005034B">
        <w:rPr>
          <w:rFonts w:cs="Times New Roman"/>
        </w:rPr>
        <w:instrText>Orange County</w:instrText>
      </w:r>
      <w:r w:rsidR="00AE7D38">
        <w:instrText xml:space="preserve">" </w:instrText>
      </w:r>
      <w:r w:rsidR="001858B5">
        <w:rPr>
          <w:rFonts w:cs="Times New Roman"/>
        </w:rPr>
        <w:fldChar w:fldCharType="end"/>
      </w:r>
      <w:r w:rsidRPr="00124B71">
        <w:rPr>
          <w:rFonts w:cs="Times New Roman"/>
        </w:rPr>
        <w:t xml:space="preserve">, California, where the city of Irvine is located, has shown more variability than national figures. There was a coastal bubble taking off in the late 80s and collapsing in the early 1990s. The premise of prices reverting to fundamental valuations can be clearly seen in the changes in the price-to-rent ratio in Orange County. In the mid 1980s, the market was bottoming out from the first coastal residential real estate bubble associated with the inflationary times of the late 1970s. From 1983 to 1987, the </w:t>
      </w:r>
      <w:r w:rsidR="008219F4">
        <w:rPr>
          <w:rFonts w:cs="Times New Roman"/>
        </w:rPr>
        <w:lastRenderedPageBreak/>
        <w:t>price-to-</w:t>
      </w:r>
      <w:r w:rsidRPr="00124B71">
        <w:rPr>
          <w:rFonts w:cs="Times New Roman"/>
        </w:rPr>
        <w:t>rent ratio stabilized between 176 and 185, a range of about 6%. After the coastal bubble, prices stabilized in 1994 to 1996 in a range from 175 to 178. Projections using the price-to-rent ratio assume prices will fall again to the range from 175 to 185 before stabilizing. The reason prices stabilize in this range is because it is here that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approximates the cost of rental, and Rent Savers</w:t>
      </w:r>
      <w:r w:rsidR="001858B5">
        <w:rPr>
          <w:rFonts w:cs="Times New Roman"/>
        </w:rPr>
        <w:fldChar w:fldCharType="begin"/>
      </w:r>
      <w:r w:rsidR="001A53F8">
        <w:instrText xml:space="preserve"> XE "</w:instrText>
      </w:r>
      <w:r w:rsidR="001A53F8" w:rsidRPr="005F5643">
        <w:rPr>
          <w:rFonts w:cs="Times New Roman"/>
        </w:rPr>
        <w:instrText>Rent Savers</w:instrText>
      </w:r>
      <w:r w:rsidR="001A53F8">
        <w:instrText xml:space="preserve">" </w:instrText>
      </w:r>
      <w:r w:rsidR="001858B5">
        <w:rPr>
          <w:rFonts w:cs="Times New Roman"/>
        </w:rPr>
        <w:fldChar w:fldCharType="end"/>
      </w:r>
      <w:r w:rsidRPr="00124B71">
        <w:rPr>
          <w:rFonts w:cs="Times New Roman"/>
        </w:rPr>
        <w:t xml:space="preserve"> buy real estate and form a support bottom. </w:t>
      </w:r>
      <w:r w:rsidR="00225911" w:rsidRPr="00124B71">
        <w:rPr>
          <w:rFonts w:cs="Times New Roman"/>
        </w:rPr>
        <w:t xml:space="preserve">If house prices in Orange County return to their historic price-to-rent stability range, prices will fall 22% </w:t>
      </w:r>
      <w:r w:rsidRPr="00124B71">
        <w:rPr>
          <w:rFonts w:cs="Times New Roman"/>
        </w:rPr>
        <w:t>peak-to-trough</w:t>
      </w:r>
      <w:r w:rsidR="001858B5">
        <w:rPr>
          <w:rFonts w:cs="Times New Roman"/>
        </w:rPr>
        <w:fldChar w:fldCharType="begin"/>
      </w:r>
      <w:r w:rsidR="00FB4BC9">
        <w:instrText xml:space="preserve"> XE "</w:instrText>
      </w:r>
      <w:r w:rsidR="00FB4BC9" w:rsidRPr="00A364C3">
        <w:rPr>
          <w:rFonts w:cs="Times New Roman"/>
        </w:rPr>
        <w:instrText>peak-to-trough</w:instrText>
      </w:r>
      <w:r w:rsidR="00FB4BC9">
        <w:instrText xml:space="preserve">" </w:instrText>
      </w:r>
      <w:r w:rsidR="001858B5">
        <w:rPr>
          <w:rFonts w:cs="Times New Roman"/>
        </w:rPr>
        <w:fldChar w:fldCharType="end"/>
      </w:r>
      <w:r w:rsidRPr="00124B71">
        <w:rPr>
          <w:rFonts w:cs="Times New Roman"/>
        </w:rPr>
        <w:t>, bottom in 201</w:t>
      </w:r>
      <w:r w:rsidR="0098795E" w:rsidRPr="00124B71">
        <w:rPr>
          <w:rFonts w:cs="Times New Roman"/>
        </w:rPr>
        <w:t>3</w:t>
      </w:r>
      <w:r w:rsidRPr="00124B71">
        <w:rPr>
          <w:rFonts w:cs="Times New Roman"/>
        </w:rPr>
        <w:t xml:space="preserve">, and return to </w:t>
      </w:r>
      <w:r w:rsidR="005D3A9B" w:rsidRPr="00124B71">
        <w:rPr>
          <w:rFonts w:cs="Times New Roman"/>
        </w:rPr>
        <w:t>the previous peak by 2019; however, if rental increases do not sustain their 4.7% historic rate, the bottom may be somewhat lower, and the return to the previous peak would be delayed.</w:t>
      </w:r>
    </w:p>
    <w:p w14:paraId="1BF05420" w14:textId="077D00B8" w:rsidR="003669D1" w:rsidRPr="00EF0EDA" w:rsidRDefault="00CF05FE" w:rsidP="003669D1">
      <w:pPr>
        <w:pStyle w:val="Caption"/>
      </w:pPr>
      <w:bookmarkStart w:id="191" w:name="_Toc238867486"/>
      <w:r>
        <w:t>Figure</w:t>
      </w:r>
      <w:r w:rsidR="003669D1" w:rsidRPr="00EF0EDA">
        <w:t xml:space="preserve"> </w:t>
      </w:r>
      <w:fldSimple w:instr=" SEQ Figure \* ARABIC ">
        <w:r w:rsidR="00493733">
          <w:rPr>
            <w:noProof/>
          </w:rPr>
          <w:t>45</w:t>
        </w:r>
      </w:fldSimple>
      <w:r w:rsidR="00317936">
        <w:t xml:space="preserve">: </w:t>
      </w:r>
      <w:r w:rsidR="003669D1" w:rsidRPr="00EF0EDA">
        <w:t>Orange County</w:t>
      </w:r>
      <w:r w:rsidR="001858B5">
        <w:fldChar w:fldCharType="begin"/>
      </w:r>
      <w:r w:rsidR="00AE7D38">
        <w:instrText xml:space="preserve"> XE "</w:instrText>
      </w:r>
      <w:r w:rsidR="00AE7D38" w:rsidRPr="0005034B">
        <w:rPr>
          <w:rFonts w:cs="Times New Roman"/>
        </w:rPr>
        <w:instrText>Orange County</w:instrText>
      </w:r>
      <w:r w:rsidR="00AE7D38">
        <w:instrText xml:space="preserve">" </w:instrText>
      </w:r>
      <w:r w:rsidR="001858B5">
        <w:fldChar w:fldCharType="end"/>
      </w:r>
      <w:r w:rsidR="003669D1" w:rsidRPr="00EF0EDA">
        <w:t xml:space="preserve"> </w:t>
      </w:r>
      <w:r w:rsidR="00CD102C" w:rsidRPr="00EF0EDA">
        <w:t xml:space="preserve">Projections </w:t>
      </w:r>
      <w:r w:rsidR="003669D1" w:rsidRPr="00EF0EDA">
        <w:t>based on Price-to-Rent Ratio</w:t>
      </w:r>
      <w:r w:rsidR="000E7151">
        <w:t>,</w:t>
      </w:r>
      <w:r w:rsidR="003669D1" w:rsidRPr="00EF0EDA">
        <w:t xml:space="preserve"> 1988-2020</w:t>
      </w:r>
      <w:bookmarkEnd w:id="191"/>
    </w:p>
    <w:p w14:paraId="6DD8075F" w14:textId="77777777" w:rsidR="00C068C2" w:rsidRPr="00EF0EDA" w:rsidRDefault="002703E4" w:rsidP="008F1316">
      <w:pPr>
        <w:pStyle w:val="Graphics"/>
      </w:pPr>
      <w:r>
        <w:drawing>
          <wp:inline distT="0" distB="0" distL="0" distR="0" wp14:anchorId="14326C87" wp14:editId="6D7A3229">
            <wp:extent cx="3657600" cy="2926080"/>
            <wp:effectExtent l="19050" t="0" r="0" b="0"/>
            <wp:docPr id="110" name="Picture 109" descr="Orange County House Price Predictions based on Price-to-Rent Ratio 1988-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nge County House Price Predictions based on Price-to-Rent Ratio 1988-2020.jpg"/>
                    <pic:cNvPicPr/>
                  </pic:nvPicPr>
                  <pic:blipFill>
                    <a:blip r:embed="rId83"/>
                    <a:stretch>
                      <a:fillRect/>
                    </a:stretch>
                  </pic:blipFill>
                  <pic:spPr>
                    <a:xfrm>
                      <a:off x="0" y="0"/>
                      <a:ext cx="3657600" cy="2926080"/>
                    </a:xfrm>
                    <a:prstGeom prst="rect">
                      <a:avLst/>
                    </a:prstGeom>
                  </pic:spPr>
                </pic:pic>
              </a:graphicData>
            </a:graphic>
          </wp:inline>
        </w:drawing>
      </w:r>
    </w:p>
    <w:p w14:paraId="139FA6C0" w14:textId="77777777" w:rsidR="00D049DC" w:rsidRPr="00EF0EDA" w:rsidRDefault="00D049DC" w:rsidP="00D049DC">
      <w:pPr>
        <w:pStyle w:val="Heading3"/>
      </w:pPr>
      <w:bookmarkStart w:id="192" w:name="_Toc238867384"/>
      <w:r w:rsidRPr="00EF0EDA">
        <w:t>Price-to-Income Ratio</w:t>
      </w:r>
      <w:bookmarkEnd w:id="192"/>
    </w:p>
    <w:p w14:paraId="6ECCC221" w14:textId="77777777" w:rsidR="00D049DC" w:rsidRPr="00124B71" w:rsidRDefault="00432BE3" w:rsidP="005D3A9B">
      <w:pPr>
        <w:rPr>
          <w:rFonts w:cs="Times New Roman"/>
        </w:rPr>
      </w:pPr>
      <w:r w:rsidRPr="00124B71">
        <w:rPr>
          <w:rFonts w:cs="Times New Roman"/>
        </w:rPr>
        <w:t>Since incomes and rents are closely related, evidence for the Great Housing Bubble that appears in the price-to-rent</w:t>
      </w:r>
      <w:r w:rsidR="001858B5">
        <w:rPr>
          <w:rFonts w:cs="Times New Roman"/>
        </w:rPr>
        <w:fldChar w:fldCharType="begin"/>
      </w:r>
      <w:r w:rsidR="00180E6F">
        <w:instrText xml:space="preserve"> XE "</w:instrText>
      </w:r>
      <w:r w:rsidR="00180E6F" w:rsidRPr="0007121C">
        <w:rPr>
          <w:rFonts w:cs="Times New Roman"/>
        </w:rPr>
        <w:instrText>price-to-rent</w:instrText>
      </w:r>
      <w:r w:rsidR="00180E6F">
        <w:instrText xml:space="preserve">" </w:instrText>
      </w:r>
      <w:r w:rsidR="001858B5">
        <w:rPr>
          <w:rFonts w:cs="Times New Roman"/>
        </w:rPr>
        <w:fldChar w:fldCharType="end"/>
      </w:r>
      <w:r w:rsidRPr="00124B71">
        <w:rPr>
          <w:rFonts w:cs="Times New Roman"/>
        </w:rPr>
        <w:t xml:space="preserve"> ratio also appears in the price-to-income</w:t>
      </w:r>
      <w:r w:rsidR="001858B5">
        <w:rPr>
          <w:rFonts w:cs="Times New Roman"/>
        </w:rPr>
        <w:fldChar w:fldCharType="begin"/>
      </w:r>
      <w:r w:rsidR="00AE7D38">
        <w:instrText xml:space="preserve"> XE "</w:instrText>
      </w:r>
      <w:r w:rsidR="00AE7D38" w:rsidRPr="008121A2">
        <w:rPr>
          <w:rFonts w:cs="Times New Roman"/>
        </w:rPr>
        <w:instrText>price-to-income</w:instrText>
      </w:r>
      <w:r w:rsidR="00AE7D38">
        <w:instrText xml:space="preserve">" </w:instrText>
      </w:r>
      <w:r w:rsidR="001858B5">
        <w:rPr>
          <w:rFonts w:cs="Times New Roman"/>
        </w:rPr>
        <w:fldChar w:fldCharType="end"/>
      </w:r>
      <w:r w:rsidRPr="00124B71">
        <w:rPr>
          <w:rFonts w:cs="Times New Roman"/>
        </w:rPr>
        <w:t xml:space="preserve"> ratio. National price-to-income ratios are quite stable. There has been a slight upward drift with the decline of interest rates since the early 1980s peak, but from the period from 1987 to 2001, this ratio remained in a tight range from 3.9 to 4.2.</w:t>
      </w:r>
      <w:r w:rsidR="00D4073D" w:rsidRPr="00124B71">
        <w:rPr>
          <w:rFonts w:cs="Times New Roman"/>
        </w:rPr>
        <w:t xml:space="preserve"> The increase from 4.1 to 4.5 witnessed from 2001 to 2003 can be explained by the lowering of interest rates; however, the increase from 4.5 to 5.2 from 2003 to 2006 can only be explained by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00D4073D" w:rsidRPr="00124B71">
        <w:rPr>
          <w:rFonts w:cs="Times New Roman"/>
        </w:rPr>
        <w:t xml:space="preserve"> and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00D4073D" w:rsidRPr="00124B71">
        <w:rPr>
          <w:rFonts w:cs="Times New Roman"/>
        </w:rPr>
        <w:t>.</w:t>
      </w:r>
    </w:p>
    <w:p w14:paraId="40405689" w14:textId="6057457D" w:rsidR="008F09E1" w:rsidRPr="00EF0EDA" w:rsidRDefault="00CF05FE" w:rsidP="008F09E1">
      <w:pPr>
        <w:pStyle w:val="Caption"/>
      </w:pPr>
      <w:bookmarkStart w:id="193" w:name="_Toc238867487"/>
      <w:r>
        <w:lastRenderedPageBreak/>
        <w:t>Figure</w:t>
      </w:r>
      <w:r w:rsidR="008F09E1" w:rsidRPr="00EF0EDA">
        <w:t xml:space="preserve"> </w:t>
      </w:r>
      <w:fldSimple w:instr=" SEQ Figure \* ARABIC ">
        <w:r w:rsidR="00493733">
          <w:rPr>
            <w:noProof/>
          </w:rPr>
          <w:t>46</w:t>
        </w:r>
      </w:fldSimple>
      <w:r w:rsidR="00317936">
        <w:t xml:space="preserve">: </w:t>
      </w:r>
      <w:r w:rsidR="008F09E1" w:rsidRPr="00EF0EDA">
        <w:t>Projected National Price-to-Income Ratio</w:t>
      </w:r>
      <w:r w:rsidR="000E7151">
        <w:t>,</w:t>
      </w:r>
      <w:r w:rsidR="008F09E1" w:rsidRPr="00EF0EDA">
        <w:t xml:space="preserve"> 1988-2015</w:t>
      </w:r>
      <w:bookmarkEnd w:id="193"/>
    </w:p>
    <w:p w14:paraId="7F44AAD8" w14:textId="77777777" w:rsidR="00C068C2" w:rsidRPr="00EF0EDA" w:rsidRDefault="00C863CF" w:rsidP="008F1316">
      <w:pPr>
        <w:pStyle w:val="Graphics"/>
      </w:pPr>
      <w:r>
        <w:drawing>
          <wp:inline distT="0" distB="0" distL="0" distR="0" wp14:anchorId="03E334CD" wp14:editId="3E6D5126">
            <wp:extent cx="3657600" cy="1691640"/>
            <wp:effectExtent l="19050" t="0" r="0" b="0"/>
            <wp:docPr id="111" name="Picture 110" descr="Projected National Price-to-Income Ratio 1988-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ed National Price-to-Income Ratio 1988-2015.jpg"/>
                    <pic:cNvPicPr/>
                  </pic:nvPicPr>
                  <pic:blipFill>
                    <a:blip r:embed="rId84"/>
                    <a:stretch>
                      <a:fillRect/>
                    </a:stretch>
                  </pic:blipFill>
                  <pic:spPr>
                    <a:xfrm>
                      <a:off x="0" y="0"/>
                      <a:ext cx="3657600" cy="1691640"/>
                    </a:xfrm>
                    <a:prstGeom prst="rect">
                      <a:avLst/>
                    </a:prstGeom>
                  </pic:spPr>
                </pic:pic>
              </a:graphicData>
            </a:graphic>
          </wp:inline>
        </w:drawing>
      </w:r>
    </w:p>
    <w:p w14:paraId="085B21F3" w14:textId="77777777" w:rsidR="008F09E1" w:rsidRPr="00124B71" w:rsidRDefault="008F34D5" w:rsidP="003E65FC">
      <w:pPr>
        <w:rPr>
          <w:rFonts w:cs="Times New Roman"/>
        </w:rPr>
      </w:pPr>
      <w:r w:rsidRPr="00124B71">
        <w:rPr>
          <w:rFonts w:cs="Times New Roman"/>
        </w:rPr>
        <w:t>If national price-to-income</w:t>
      </w:r>
      <w:r w:rsidR="001858B5">
        <w:rPr>
          <w:rFonts w:cs="Times New Roman"/>
        </w:rPr>
        <w:fldChar w:fldCharType="begin"/>
      </w:r>
      <w:r w:rsidR="00AE7D38">
        <w:instrText xml:space="preserve"> XE "</w:instrText>
      </w:r>
      <w:r w:rsidR="00AE7D38" w:rsidRPr="008121A2">
        <w:rPr>
          <w:rFonts w:cs="Times New Roman"/>
        </w:rPr>
        <w:instrText>price-to-income</w:instrText>
      </w:r>
      <w:r w:rsidR="00AE7D38">
        <w:instrText xml:space="preserve">" </w:instrText>
      </w:r>
      <w:r w:rsidR="001858B5">
        <w:rPr>
          <w:rFonts w:cs="Times New Roman"/>
        </w:rPr>
        <w:fldChar w:fldCharType="end"/>
      </w:r>
      <w:r w:rsidRPr="00124B71">
        <w:rPr>
          <w:rFonts w:cs="Times New Roman"/>
        </w:rPr>
        <w:t xml:space="preserve"> ratios decline to their historic norm of 4.0, prices nationally will fall 9% peak-to-trough</w:t>
      </w:r>
      <w:r w:rsidR="001858B5">
        <w:rPr>
          <w:rFonts w:cs="Times New Roman"/>
        </w:rPr>
        <w:fldChar w:fldCharType="begin"/>
      </w:r>
      <w:r w:rsidR="00FB4BC9">
        <w:instrText xml:space="preserve"> XE "</w:instrText>
      </w:r>
      <w:r w:rsidR="00FB4BC9" w:rsidRPr="00A364C3">
        <w:rPr>
          <w:rFonts w:cs="Times New Roman"/>
        </w:rPr>
        <w:instrText>peak-to-trough</w:instrText>
      </w:r>
      <w:r w:rsidR="00FB4BC9">
        <w:instrText xml:space="preserve">" </w:instrText>
      </w:r>
      <w:r w:rsidR="001858B5">
        <w:rPr>
          <w:rFonts w:cs="Times New Roman"/>
        </w:rPr>
        <w:fldChar w:fldCharType="end"/>
      </w:r>
      <w:r w:rsidRPr="00124B71">
        <w:rPr>
          <w:rFonts w:cs="Times New Roman"/>
        </w:rPr>
        <w:t>, bottom in 2011 and return to peak pricing in 2014.</w:t>
      </w:r>
      <w:r w:rsidR="00192445" w:rsidRPr="00124B71">
        <w:rPr>
          <w:rFonts w:cs="Times New Roman"/>
        </w:rPr>
        <w:t xml:space="preserve"> A 10% decline and a nine year waiting period would be difficult on homeowners nationally, but the magnitude and the duration will not be nearly as severe for most as it will be for homeowners in the extreme bubble markets like Irvine, California.</w:t>
      </w:r>
    </w:p>
    <w:p w14:paraId="2B3215F6" w14:textId="7D98BF1F" w:rsidR="008F09E1" w:rsidRPr="00EF0EDA" w:rsidRDefault="00CF05FE" w:rsidP="008F09E1">
      <w:pPr>
        <w:pStyle w:val="Caption"/>
      </w:pPr>
      <w:bookmarkStart w:id="194" w:name="_Toc238867488"/>
      <w:r>
        <w:t>Figure</w:t>
      </w:r>
      <w:r w:rsidR="008F09E1" w:rsidRPr="00EF0EDA">
        <w:t xml:space="preserve"> </w:t>
      </w:r>
      <w:fldSimple w:instr=" SEQ Figure \* ARABIC ">
        <w:r w:rsidR="00493733">
          <w:rPr>
            <w:noProof/>
          </w:rPr>
          <w:t>47</w:t>
        </w:r>
      </w:fldSimple>
      <w:r w:rsidR="00317936">
        <w:t xml:space="preserve">: </w:t>
      </w:r>
      <w:r w:rsidR="008F09E1" w:rsidRPr="00EF0EDA">
        <w:t xml:space="preserve">National </w:t>
      </w:r>
      <w:r w:rsidR="00CD102C" w:rsidRPr="00EF0EDA">
        <w:t xml:space="preserve">Projections </w:t>
      </w:r>
      <w:r w:rsidR="008F09E1" w:rsidRPr="00EF0EDA">
        <w:t>based on Price-to-Income Ratio</w:t>
      </w:r>
      <w:r w:rsidR="000E7151">
        <w:t>,</w:t>
      </w:r>
      <w:r w:rsidR="008F09E1" w:rsidRPr="00EF0EDA">
        <w:t xml:space="preserve"> 198</w:t>
      </w:r>
      <w:r w:rsidR="00552C68">
        <w:t>6</w:t>
      </w:r>
      <w:r w:rsidR="008F09E1" w:rsidRPr="00EF0EDA">
        <w:t>-2015</w:t>
      </w:r>
      <w:bookmarkEnd w:id="194"/>
    </w:p>
    <w:p w14:paraId="3B813810" w14:textId="77777777" w:rsidR="008F09E1" w:rsidRPr="00EF0EDA" w:rsidRDefault="00C863CF" w:rsidP="008F1316">
      <w:pPr>
        <w:pStyle w:val="Graphics"/>
      </w:pPr>
      <w:r>
        <w:drawing>
          <wp:inline distT="0" distB="0" distL="0" distR="0" wp14:anchorId="02CEECE2" wp14:editId="576257EB">
            <wp:extent cx="3657600" cy="2514600"/>
            <wp:effectExtent l="19050" t="0" r="0" b="0"/>
            <wp:docPr id="112" name="Picture 111" descr="National House Price Predictions based on Price-to-Income Ratio 1986-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House Price Predictions based on Price-to-Income Ratio 1986-2015.jpg"/>
                    <pic:cNvPicPr/>
                  </pic:nvPicPr>
                  <pic:blipFill>
                    <a:blip r:embed="rId85"/>
                    <a:stretch>
                      <a:fillRect/>
                    </a:stretch>
                  </pic:blipFill>
                  <pic:spPr>
                    <a:xfrm>
                      <a:off x="0" y="0"/>
                      <a:ext cx="3657600" cy="2514600"/>
                    </a:xfrm>
                    <a:prstGeom prst="rect">
                      <a:avLst/>
                    </a:prstGeom>
                  </pic:spPr>
                </pic:pic>
              </a:graphicData>
            </a:graphic>
          </wp:inline>
        </w:drawing>
      </w:r>
    </w:p>
    <w:p w14:paraId="67509268" w14:textId="77777777" w:rsidR="008F09E1" w:rsidRPr="00124B71" w:rsidRDefault="008F34D5" w:rsidP="008F34D5">
      <w:pPr>
        <w:rPr>
          <w:rFonts w:cs="Times New Roman"/>
        </w:rPr>
      </w:pPr>
      <w:r w:rsidRPr="00124B71">
        <w:rPr>
          <w:rFonts w:cs="Times New Roman"/>
        </w:rPr>
        <w:t>The volatility in price-to-income</w:t>
      </w:r>
      <w:r w:rsidR="001858B5">
        <w:rPr>
          <w:rFonts w:cs="Times New Roman"/>
        </w:rPr>
        <w:fldChar w:fldCharType="begin"/>
      </w:r>
      <w:r w:rsidR="00AE7D38">
        <w:instrText xml:space="preserve"> XE "</w:instrText>
      </w:r>
      <w:r w:rsidR="00AE7D38" w:rsidRPr="008121A2">
        <w:rPr>
          <w:rFonts w:cs="Times New Roman"/>
        </w:rPr>
        <w:instrText>price-to-income</w:instrText>
      </w:r>
      <w:r w:rsidR="00AE7D38">
        <w:instrText xml:space="preserve">" </w:instrText>
      </w:r>
      <w:r w:rsidR="001858B5">
        <w:rPr>
          <w:rFonts w:cs="Times New Roman"/>
        </w:rPr>
        <w:fldChar w:fldCharType="end"/>
      </w:r>
      <w:r w:rsidRPr="00124B71">
        <w:rPr>
          <w:rFonts w:cs="Times New Roman"/>
        </w:rPr>
        <w:t xml:space="preserve"> ratios caused by bubble behavior is clearly visible in the historic price-to-income ratios from Irvine, California. During the coastal bubble of the late 80s, in which Irvine participated, the price-to-income ratio increased from 3.7 to 4.6, a 25% increase. In the decline of the early 90s, price-to-income ratios dropped to a range from 4.0 to 4.1 and stabilized there from 1994 to 1999 before rocketing up to an unprecedented 8.6</w:t>
      </w:r>
      <w:r w:rsidR="007C469A">
        <w:rPr>
          <w:rFonts w:cs="Times New Roman"/>
        </w:rPr>
        <w:t>–</w:t>
      </w:r>
      <w:r w:rsidRPr="00124B71">
        <w:rPr>
          <w:rFonts w:cs="Times New Roman"/>
        </w:rPr>
        <w:t>a 115% increase. This new ratio was achieved by the extensive use of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Pr="00124B71">
        <w:rPr>
          <w:rFonts w:cs="Times New Roman"/>
        </w:rPr>
        <w:t xml:space="preserve">, </w:t>
      </w:r>
      <w:r w:rsidRPr="00124B71">
        <w:rPr>
          <w:rFonts w:cs="Times New Roman"/>
        </w:rPr>
        <w:lastRenderedPageBreak/>
        <w:t>in particular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loans that rendered the new ratio inherently unstable.</w:t>
      </w:r>
    </w:p>
    <w:p w14:paraId="190D7C65" w14:textId="194DD504" w:rsidR="00E809DF" w:rsidRPr="00EF0EDA" w:rsidRDefault="00CF05FE" w:rsidP="00E809DF">
      <w:pPr>
        <w:pStyle w:val="Caption"/>
      </w:pPr>
      <w:bookmarkStart w:id="195" w:name="_Toc238867489"/>
      <w:r>
        <w:t>Figure</w:t>
      </w:r>
      <w:r w:rsidR="00E809DF" w:rsidRPr="00EF0EDA">
        <w:t xml:space="preserve"> </w:t>
      </w:r>
      <w:fldSimple w:instr=" SEQ Figure \* ARABIC ">
        <w:r w:rsidR="00493733">
          <w:rPr>
            <w:noProof/>
          </w:rPr>
          <w:t>48</w:t>
        </w:r>
      </w:fldSimple>
      <w:r w:rsidR="00317936">
        <w:t xml:space="preserve">: </w:t>
      </w:r>
      <w:r w:rsidR="00E809DF" w:rsidRPr="00EF0EDA">
        <w:t>Projected Irvine, California Price-to-Income Ratio</w:t>
      </w:r>
      <w:r w:rsidR="000E7151">
        <w:t>,</w:t>
      </w:r>
      <w:r w:rsidR="00E809DF" w:rsidRPr="00EF0EDA">
        <w:t xml:space="preserve"> 1986-2030</w:t>
      </w:r>
      <w:bookmarkEnd w:id="195"/>
    </w:p>
    <w:p w14:paraId="3569F5A6" w14:textId="77777777" w:rsidR="00E809DF" w:rsidRPr="00EF0EDA" w:rsidRDefault="00C863CF" w:rsidP="008F1316">
      <w:pPr>
        <w:pStyle w:val="Graphics"/>
      </w:pPr>
      <w:r>
        <w:drawing>
          <wp:inline distT="0" distB="0" distL="0" distR="0" wp14:anchorId="72D3A697" wp14:editId="3CAAE5FE">
            <wp:extent cx="3657600" cy="1920240"/>
            <wp:effectExtent l="19050" t="0" r="0" b="0"/>
            <wp:docPr id="113" name="Picture 112" descr="Projected Irvine, California Price-to-Income Ratio 1986-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ed Irvine, California Price-to-Income Ratio 1986-2030.jpg"/>
                    <pic:cNvPicPr/>
                  </pic:nvPicPr>
                  <pic:blipFill>
                    <a:blip r:embed="rId86"/>
                    <a:stretch>
                      <a:fillRect/>
                    </a:stretch>
                  </pic:blipFill>
                  <pic:spPr>
                    <a:xfrm>
                      <a:off x="0" y="0"/>
                      <a:ext cx="3657600" cy="1920240"/>
                    </a:xfrm>
                    <a:prstGeom prst="rect">
                      <a:avLst/>
                    </a:prstGeom>
                  </pic:spPr>
                </pic:pic>
              </a:graphicData>
            </a:graphic>
          </wp:inline>
        </w:drawing>
      </w:r>
    </w:p>
    <w:p w14:paraId="3D01BBAB" w14:textId="77777777" w:rsidR="00E809DF" w:rsidRPr="00124B71" w:rsidRDefault="008F34D5" w:rsidP="00192445">
      <w:pPr>
        <w:rPr>
          <w:rFonts w:cs="Times New Roman"/>
        </w:rPr>
      </w:pPr>
      <w:r w:rsidRPr="00124B71">
        <w:rPr>
          <w:rFonts w:cs="Times New Roman"/>
        </w:rPr>
        <w:t xml:space="preserve">If </w:t>
      </w:r>
      <w:r w:rsidR="00192445" w:rsidRPr="00124B71">
        <w:rPr>
          <w:rFonts w:cs="Times New Roman"/>
        </w:rPr>
        <w:t xml:space="preserve">house </w:t>
      </w:r>
      <w:r w:rsidRPr="00124B71">
        <w:rPr>
          <w:rFonts w:cs="Times New Roman"/>
        </w:rPr>
        <w:t>prices in Irvine decline to the point where the price-to-income</w:t>
      </w:r>
      <w:r w:rsidR="001858B5">
        <w:rPr>
          <w:rFonts w:cs="Times New Roman"/>
        </w:rPr>
        <w:fldChar w:fldCharType="begin"/>
      </w:r>
      <w:r w:rsidR="00AE7D38">
        <w:instrText xml:space="preserve"> XE "</w:instrText>
      </w:r>
      <w:r w:rsidR="00AE7D38" w:rsidRPr="008121A2">
        <w:rPr>
          <w:rFonts w:cs="Times New Roman"/>
        </w:rPr>
        <w:instrText>price-to-income</w:instrText>
      </w:r>
      <w:r w:rsidR="00AE7D38">
        <w:instrText xml:space="preserve">" </w:instrText>
      </w:r>
      <w:r w:rsidR="001858B5">
        <w:rPr>
          <w:rFonts w:cs="Times New Roman"/>
        </w:rPr>
        <w:fldChar w:fldCharType="end"/>
      </w:r>
      <w:r w:rsidRPr="00124B71">
        <w:rPr>
          <w:rFonts w:cs="Times New Roman"/>
        </w:rPr>
        <w:t xml:space="preserve"> ratio reaches i</w:t>
      </w:r>
      <w:r w:rsidR="00192445" w:rsidRPr="00124B71">
        <w:rPr>
          <w:rFonts w:cs="Times New Roman"/>
        </w:rPr>
        <w:t>t</w:t>
      </w:r>
      <w:r w:rsidRPr="00124B71">
        <w:rPr>
          <w:rFonts w:cs="Times New Roman"/>
        </w:rPr>
        <w:t>s average of 4.2</w:t>
      </w:r>
      <w:r w:rsidR="007C469A">
        <w:rPr>
          <w:rFonts w:cs="Times New Roman"/>
        </w:rPr>
        <w:t>–</w:t>
      </w:r>
      <w:r w:rsidRPr="00124B71">
        <w:rPr>
          <w:rFonts w:cs="Times New Roman"/>
        </w:rPr>
        <w:t>a ratio higher above this historic range of stability between 4.0 and 4.1</w:t>
      </w:r>
      <w:r w:rsidR="007C469A">
        <w:rPr>
          <w:rFonts w:cs="Times New Roman"/>
        </w:rPr>
        <w:t>–</w:t>
      </w:r>
      <w:r w:rsidRPr="00124B71">
        <w:rPr>
          <w:rFonts w:cs="Times New Roman"/>
        </w:rPr>
        <w:t>prices will decline 43% peak-to-trough</w:t>
      </w:r>
      <w:r w:rsidR="001858B5">
        <w:rPr>
          <w:rFonts w:cs="Times New Roman"/>
        </w:rPr>
        <w:fldChar w:fldCharType="begin"/>
      </w:r>
      <w:r w:rsidR="00FB4BC9">
        <w:instrText xml:space="preserve"> XE "</w:instrText>
      </w:r>
      <w:r w:rsidR="00FB4BC9" w:rsidRPr="00A364C3">
        <w:rPr>
          <w:rFonts w:cs="Times New Roman"/>
        </w:rPr>
        <w:instrText>peak-to-trough</w:instrText>
      </w:r>
      <w:r w:rsidR="00FB4BC9">
        <w:instrText xml:space="preserve">" </w:instrText>
      </w:r>
      <w:r w:rsidR="001858B5">
        <w:rPr>
          <w:rFonts w:cs="Times New Roman"/>
        </w:rPr>
        <w:fldChar w:fldCharType="end"/>
      </w:r>
      <w:r w:rsidRPr="00124B71">
        <w:rPr>
          <w:rFonts w:cs="Times New Roman"/>
        </w:rPr>
        <w:t>, bottom in 2011 and return to the peak in 2029.</w:t>
      </w:r>
      <w:r w:rsidR="00192445" w:rsidRPr="00124B71">
        <w:rPr>
          <w:rFonts w:cs="Times New Roman"/>
        </w:rPr>
        <w:t xml:space="preserve"> The magnitude of this decline would be catastrophic to homeowners who purchased during the bubble. Twenty-four years is a long time to wait for peak buyers hoping to get out at breakeven. </w:t>
      </w:r>
    </w:p>
    <w:p w14:paraId="06896B36" w14:textId="2804847E" w:rsidR="00E809DF" w:rsidRPr="00EF0EDA" w:rsidRDefault="00CF05FE" w:rsidP="00E809DF">
      <w:pPr>
        <w:pStyle w:val="Caption"/>
      </w:pPr>
      <w:bookmarkStart w:id="196" w:name="_Toc238867490"/>
      <w:r>
        <w:t>Figure</w:t>
      </w:r>
      <w:r w:rsidR="00E809DF" w:rsidRPr="00EF0EDA">
        <w:t xml:space="preserve"> </w:t>
      </w:r>
      <w:fldSimple w:instr=" SEQ Figure \* ARABIC ">
        <w:r w:rsidR="00493733">
          <w:rPr>
            <w:noProof/>
          </w:rPr>
          <w:t>49</w:t>
        </w:r>
      </w:fldSimple>
      <w:r w:rsidR="00317936">
        <w:t xml:space="preserve">: </w:t>
      </w:r>
      <w:r w:rsidR="00E809DF" w:rsidRPr="00EF0EDA">
        <w:t xml:space="preserve">Irvine, California </w:t>
      </w:r>
      <w:r w:rsidR="00CD102C" w:rsidRPr="00EF0EDA">
        <w:t>Projections</w:t>
      </w:r>
      <w:r w:rsidR="00E809DF" w:rsidRPr="00EF0EDA">
        <w:t xml:space="preserve"> </w:t>
      </w:r>
      <w:r w:rsidR="00D24C1E">
        <w:t>from</w:t>
      </w:r>
      <w:r w:rsidR="00E809DF" w:rsidRPr="00EF0EDA">
        <w:t xml:space="preserve"> Price-to-Income Ratio</w:t>
      </w:r>
      <w:r w:rsidR="000E7151">
        <w:t>,</w:t>
      </w:r>
      <w:r w:rsidR="00E809DF" w:rsidRPr="00EF0EDA">
        <w:t xml:space="preserve"> 1986-2030</w:t>
      </w:r>
      <w:bookmarkEnd w:id="196"/>
    </w:p>
    <w:p w14:paraId="60E2B328" w14:textId="77777777" w:rsidR="00E809DF" w:rsidRPr="00EF0EDA" w:rsidRDefault="00C863CF" w:rsidP="008F1316">
      <w:pPr>
        <w:pStyle w:val="Graphics"/>
      </w:pPr>
      <w:r>
        <w:drawing>
          <wp:inline distT="0" distB="0" distL="0" distR="0" wp14:anchorId="034613C6" wp14:editId="327145E2">
            <wp:extent cx="3657600" cy="2971800"/>
            <wp:effectExtent l="19050" t="0" r="0" b="0"/>
            <wp:docPr id="114" name="Picture 113" descr="Irvine, California House Price Predictions based on Price-to-Income Ratio 1986-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vine, California House Price Predictions based on Price-to-Income Ratio 1986-2030.jpg"/>
                    <pic:cNvPicPr/>
                  </pic:nvPicPr>
                  <pic:blipFill>
                    <a:blip r:embed="rId87"/>
                    <a:stretch>
                      <a:fillRect/>
                    </a:stretch>
                  </pic:blipFill>
                  <pic:spPr>
                    <a:xfrm>
                      <a:off x="0" y="0"/>
                      <a:ext cx="3657600" cy="2971800"/>
                    </a:xfrm>
                    <a:prstGeom prst="rect">
                      <a:avLst/>
                    </a:prstGeom>
                  </pic:spPr>
                </pic:pic>
              </a:graphicData>
            </a:graphic>
          </wp:inline>
        </w:drawing>
      </w:r>
    </w:p>
    <w:p w14:paraId="73FFFCBD" w14:textId="77777777" w:rsidR="00D53590" w:rsidRPr="00EF0EDA" w:rsidRDefault="00D53590" w:rsidP="00790DD0">
      <w:pPr>
        <w:pStyle w:val="Heading3"/>
      </w:pPr>
      <w:bookmarkStart w:id="197" w:name="_Toc238867385"/>
      <w:r w:rsidRPr="00EF0EDA">
        <w:lastRenderedPageBreak/>
        <w:t>Hyperinflation</w:t>
      </w:r>
      <w:bookmarkEnd w:id="197"/>
    </w:p>
    <w:p w14:paraId="3E8FDE7D" w14:textId="77777777" w:rsidR="007821BA" w:rsidRPr="00124B71" w:rsidRDefault="00866CAA" w:rsidP="007821BA">
      <w:pPr>
        <w:rPr>
          <w:rFonts w:cs="Times New Roman"/>
        </w:rPr>
      </w:pPr>
      <w:r w:rsidRPr="00124B71">
        <w:rPr>
          <w:rFonts w:cs="Times New Roman"/>
        </w:rPr>
        <w:t>T</w:t>
      </w:r>
      <w:r w:rsidR="007821BA" w:rsidRPr="00124B71">
        <w:rPr>
          <w:rFonts w:cs="Times New Roman"/>
        </w:rPr>
        <w: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007821BA" w:rsidRPr="00124B71">
        <w:rPr>
          <w:rFonts w:cs="Times New Roman"/>
        </w:rPr>
        <w:t xml:space="preserve"> under Ben Bernanke</w:t>
      </w:r>
      <w:r w:rsidR="001858B5">
        <w:rPr>
          <w:rFonts w:cs="Times New Roman"/>
        </w:rPr>
        <w:fldChar w:fldCharType="begin"/>
      </w:r>
      <w:r w:rsidR="00FB4BC9">
        <w:instrText xml:space="preserve"> XE "</w:instrText>
      </w:r>
      <w:r w:rsidR="00FB4BC9" w:rsidRPr="00EE313F">
        <w:rPr>
          <w:rFonts w:cs="Times New Roman"/>
        </w:rPr>
        <w:instrText>Ben Bernanke</w:instrText>
      </w:r>
      <w:r w:rsidR="00FB4BC9">
        <w:instrText xml:space="preserve">" </w:instrText>
      </w:r>
      <w:r w:rsidR="001858B5">
        <w:rPr>
          <w:rFonts w:cs="Times New Roman"/>
        </w:rPr>
        <w:fldChar w:fldCharType="end"/>
      </w:r>
      <w:r w:rsidR="007821BA" w:rsidRPr="00124B71">
        <w:rPr>
          <w:rFonts w:cs="Times New Roman"/>
        </w:rPr>
        <w:t xml:space="preserve"> began aggressively lowering interest rates at the end of 2007 </w:t>
      </w:r>
      <w:r w:rsidRPr="00124B71">
        <w:rPr>
          <w:rFonts w:cs="Times New Roman"/>
        </w:rPr>
        <w:t>in response to the severe economic downturn caused by the collapse of house prices and the related difficulties falling house prices had on the banks and other institutions that made loans using houses as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Pr="00124B71">
        <w:rPr>
          <w:rFonts w:cs="Times New Roman"/>
        </w:rPr>
        <w:t>.</w:t>
      </w:r>
      <w:r w:rsidR="0087538F" w:rsidRPr="00124B71">
        <w:rPr>
          <w:rStyle w:val="EndnoteReference"/>
          <w:rFonts w:cs="Times New Roman"/>
        </w:rPr>
        <w:t xml:space="preserve"> </w:t>
      </w:r>
      <w:r w:rsidR="0087538F" w:rsidRPr="00124B71">
        <w:rPr>
          <w:rStyle w:val="EndnoteReference"/>
          <w:rFonts w:cs="Times New Roman"/>
        </w:rPr>
        <w:endnoteReference w:id="122"/>
      </w:r>
      <w:r w:rsidRPr="00124B71">
        <w:rPr>
          <w:rFonts w:cs="Times New Roman"/>
        </w:rPr>
        <w:t xml:space="preserve"> </w:t>
      </w:r>
      <w:r w:rsidR="007821BA" w:rsidRPr="00124B71">
        <w:rPr>
          <w:rFonts w:cs="Times New Roman"/>
        </w:rPr>
        <w:t>Bernanke, prior to taking the position as the chairman of the Federal Reserve, was an academic who studied the Great Depression</w:t>
      </w:r>
      <w:r w:rsidR="001858B5">
        <w:rPr>
          <w:rFonts w:cs="Times New Roman"/>
        </w:rPr>
        <w:fldChar w:fldCharType="begin"/>
      </w:r>
      <w:r w:rsidR="002321D5">
        <w:instrText xml:space="preserve"> XE "</w:instrText>
      </w:r>
      <w:r w:rsidR="002321D5" w:rsidRPr="00FE6E68">
        <w:rPr>
          <w:rFonts w:cs="Times New Roman"/>
        </w:rPr>
        <w:instrText>Great Depression</w:instrText>
      </w:r>
      <w:r w:rsidR="002321D5">
        <w:instrText xml:space="preserve">" </w:instrText>
      </w:r>
      <w:r w:rsidR="001858B5">
        <w:rPr>
          <w:rFonts w:cs="Times New Roman"/>
        </w:rPr>
        <w:fldChar w:fldCharType="end"/>
      </w:r>
      <w:r w:rsidR="007821BA" w:rsidRPr="00124B71">
        <w:rPr>
          <w:rFonts w:cs="Times New Roman"/>
        </w:rPr>
        <w:t xml:space="preserve"> and wrote extensively on the failures of monetary policy by the Federal Reserve at the time. He also wrote about the crisis of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007821BA" w:rsidRPr="00124B71">
        <w:rPr>
          <w:rFonts w:cs="Times New Roman"/>
        </w:rPr>
        <w:t xml:space="preserve"> Japan faced when their combined stock market and real estate bubbles deflated throughout the 1990s.</w:t>
      </w:r>
      <w:r w:rsidR="005A0B2B" w:rsidRPr="00124B71">
        <w:rPr>
          <w:rFonts w:cs="Times New Roman"/>
        </w:rPr>
        <w:t xml:space="preserve"> </w:t>
      </w:r>
      <w:r w:rsidR="0087538F" w:rsidRPr="00124B71">
        <w:rPr>
          <w:rStyle w:val="EndnoteReference"/>
          <w:rFonts w:cs="Times New Roman"/>
        </w:rPr>
        <w:endnoteReference w:id="123"/>
      </w:r>
      <w:r w:rsidR="007821BA" w:rsidRPr="00124B71">
        <w:rPr>
          <w:rFonts w:cs="Times New Roman"/>
        </w:rPr>
        <w:t xml:space="preserve"> Bernanke believed that quick and decisive action on the part of the Federal Reserve was necessary to prevent a destructive deflationary spiral as was witnessed in the United States during the Great Depression and in Japan during the 1990s</w:t>
      </w:r>
      <w:r w:rsidR="0087538F" w:rsidRPr="00124B71">
        <w:rPr>
          <w:rFonts w:cs="Times New Roman"/>
        </w:rPr>
        <w:t>.</w:t>
      </w:r>
      <w:r w:rsidR="005A0B2B" w:rsidRPr="00124B71">
        <w:rPr>
          <w:rFonts w:cs="Times New Roman"/>
        </w:rPr>
        <w:t xml:space="preserve"> </w:t>
      </w:r>
      <w:r w:rsidR="00305AAE" w:rsidRPr="00124B71">
        <w:rPr>
          <w:rStyle w:val="EndnoteReference"/>
          <w:rFonts w:cs="Times New Roman"/>
        </w:rPr>
        <w:endnoteReference w:id="124"/>
      </w:r>
      <w:r w:rsidR="007821BA" w:rsidRPr="00124B71">
        <w:rPr>
          <w:rFonts w:cs="Times New Roman"/>
        </w:rPr>
        <w:t xml:space="preserve"> By</w:t>
      </w:r>
      <w:r w:rsidR="00D12BD4">
        <w:rPr>
          <w:rFonts w:cs="Times New Roman"/>
        </w:rPr>
        <w:t xml:space="preserve"> lowering </w:t>
      </w:r>
      <w:r w:rsidR="007821BA" w:rsidRPr="00124B71">
        <w:rPr>
          <w:rFonts w:cs="Times New Roman"/>
        </w:rPr>
        <w:t>interest rates and creating price inflation, Bernanke hoped to devalue the currency and provide market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007821BA" w:rsidRPr="00124B71">
        <w:rPr>
          <w:rFonts w:cs="Times New Roman"/>
        </w:rPr>
        <w:t xml:space="preserve"> through both domestic and foreign investment. Once the real rate of interest was below the level of inflation, borrowing would be strongly encouraged as the value of the currency was falling faster than the interest rate being charged. The increased borrowing would stimulate business growth and the general economy minimizing the deflationary impact of falling home prices. In theory, the lower interest rates would also serve to blunt the decline in housing prices as borrowers would again be able to finance large sums to support inflated prices.</w:t>
      </w:r>
    </w:p>
    <w:p w14:paraId="3057369B" w14:textId="0BD3183D" w:rsidR="009D1A2E" w:rsidRPr="00EF0EDA" w:rsidRDefault="009D1A2E" w:rsidP="009D1A2E">
      <w:pPr>
        <w:pStyle w:val="Caption"/>
      </w:pPr>
      <w:bookmarkStart w:id="198" w:name="_Toc238867491"/>
      <w:r>
        <w:t>Figure</w:t>
      </w:r>
      <w:r w:rsidRPr="00EF0EDA">
        <w:t xml:space="preserve"> </w:t>
      </w:r>
      <w:fldSimple w:instr=" SEQ Figure \* ARABIC ">
        <w:r w:rsidR="00493733">
          <w:rPr>
            <w:noProof/>
          </w:rPr>
          <w:t>50</w:t>
        </w:r>
      </w:fldSimple>
      <w:r w:rsidR="00317936">
        <w:t xml:space="preserve">: </w:t>
      </w:r>
      <w:r>
        <w:t>CPI</w:t>
      </w:r>
      <w:r w:rsidR="001858B5">
        <w:fldChar w:fldCharType="begin"/>
      </w:r>
      <w:r w:rsidR="00FA2AEF">
        <w:instrText xml:space="preserve"> XE "</w:instrText>
      </w:r>
      <w:r w:rsidR="00FA2AEF" w:rsidRPr="00ED6E11">
        <w:rPr>
          <w:rFonts w:cs="Times New Roman"/>
        </w:rPr>
        <w:instrText>CPI</w:instrText>
      </w:r>
      <w:r w:rsidR="00FA2AEF">
        <w:instrText xml:space="preserve">" </w:instrText>
      </w:r>
      <w:r w:rsidR="001858B5">
        <w:fldChar w:fldCharType="end"/>
      </w:r>
      <w:r w:rsidRPr="00EF0EDA">
        <w:t xml:space="preserve"> Adjusted Median Home Prices</w:t>
      </w:r>
      <w:r w:rsidR="000E7151">
        <w:t>,</w:t>
      </w:r>
      <w:r w:rsidRPr="00EF0EDA">
        <w:t xml:space="preserve"> 1986-2006</w:t>
      </w:r>
      <w:bookmarkEnd w:id="198"/>
    </w:p>
    <w:p w14:paraId="1CD69FF1" w14:textId="77777777" w:rsidR="009D1A2E" w:rsidRPr="00EF0EDA" w:rsidRDefault="00C863CF" w:rsidP="009D1A2E">
      <w:pPr>
        <w:pStyle w:val="Graphics"/>
      </w:pPr>
      <w:r>
        <w:drawing>
          <wp:inline distT="0" distB="0" distL="0" distR="0" wp14:anchorId="3E92B65C" wp14:editId="1D6ACE4D">
            <wp:extent cx="3655541" cy="3238500"/>
            <wp:effectExtent l="19050" t="0" r="2059" b="0"/>
            <wp:docPr id="115" name="Picture 114" descr="CPI Adjusted Median Home Prices 1968-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I Adjusted Median Home Prices 1968-2006.jpg"/>
                    <pic:cNvPicPr/>
                  </pic:nvPicPr>
                  <pic:blipFill>
                    <a:blip r:embed="rId88"/>
                    <a:stretch>
                      <a:fillRect/>
                    </a:stretch>
                  </pic:blipFill>
                  <pic:spPr>
                    <a:xfrm>
                      <a:off x="0" y="0"/>
                      <a:ext cx="3657600" cy="3240325"/>
                    </a:xfrm>
                    <a:prstGeom prst="rect">
                      <a:avLst/>
                    </a:prstGeom>
                  </pic:spPr>
                </pic:pic>
              </a:graphicData>
            </a:graphic>
          </wp:inline>
        </w:drawing>
      </w:r>
    </w:p>
    <w:p w14:paraId="70C2ACE6" w14:textId="77777777" w:rsidR="007821BA" w:rsidRPr="00124B71" w:rsidRDefault="007821BA" w:rsidP="007821BA">
      <w:pPr>
        <w:rPr>
          <w:rFonts w:cs="Times New Roman"/>
        </w:rPr>
      </w:pPr>
      <w:r w:rsidRPr="00124B71">
        <w:rPr>
          <w:rFonts w:cs="Times New Roman"/>
        </w:rPr>
        <w:lastRenderedPageBreak/>
        <w:t>At the time of this writing, the results of the policies of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Pr="00124B71">
        <w:rPr>
          <w:rFonts w:cs="Times New Roman"/>
        </w:rPr>
        <w:t xml:space="preserve"> have not </w:t>
      </w:r>
      <w:r w:rsidR="00233C4D" w:rsidRPr="00124B71">
        <w:rPr>
          <w:rFonts w:cs="Times New Roman"/>
        </w:rPr>
        <w:t xml:space="preserve">become history so the consequences cannot be fully evaluated. The primary foreseeable consequence of Federal Reserve policy is rampant price inflation. An economy that relies for 70% of its value on the spending of consumers will be strongly impacted by price inflation. When a country knowingly devalues its currency, it causes a severe recession as the prices of imported goods and raw materials increase </w:t>
      </w:r>
      <w:r w:rsidR="00866CAA" w:rsidRPr="00124B71">
        <w:rPr>
          <w:rFonts w:cs="Times New Roman"/>
        </w:rPr>
        <w:t>significantly</w:t>
      </w:r>
      <w:r w:rsidR="00233C4D" w:rsidRPr="00124B71">
        <w:rPr>
          <w:rFonts w:cs="Times New Roman"/>
        </w:rPr>
        <w:t>. Perhaps a severe recession and price inflation is preferable to an economic depression like the one of the 1930s in America, but it is certainly not desirable. Since stagflation of the 70’s, the FED</w:t>
      </w:r>
      <w:r w:rsidR="001858B5">
        <w:rPr>
          <w:rFonts w:cs="Times New Roman"/>
        </w:rPr>
        <w:fldChar w:fldCharType="begin"/>
      </w:r>
      <w:r w:rsidR="005E6B29">
        <w:instrText xml:space="preserve"> XE "</w:instrText>
      </w:r>
      <w:r w:rsidR="005E6B29" w:rsidRPr="00A95B0B">
        <w:rPr>
          <w:rFonts w:cs="Times New Roman"/>
        </w:rPr>
        <w:instrText>FED</w:instrText>
      </w:r>
      <w:r w:rsidR="005E6B29">
        <w:instrText xml:space="preserve">" </w:instrText>
      </w:r>
      <w:r w:rsidR="001858B5">
        <w:rPr>
          <w:rFonts w:cs="Times New Roman"/>
        </w:rPr>
        <w:fldChar w:fldCharType="end"/>
      </w:r>
      <w:r w:rsidR="00233C4D" w:rsidRPr="00124B71">
        <w:rPr>
          <w:rFonts w:cs="Times New Roman"/>
        </w:rPr>
        <w:t xml:space="preserve"> has shown a willingness to push the economy into recession before it allows inflation to get out of control. When the FED started lowering interest rates at the end of 2007, it appeared as if they may be moving down the path of hyperinflat</w:t>
      </w:r>
      <w:r w:rsidR="00FF1560" w:rsidRPr="00124B71">
        <w:rPr>
          <w:rFonts w:cs="Times New Roman"/>
        </w:rPr>
        <w:t>ion</w:t>
      </w:r>
      <w:r w:rsidR="00233C4D" w:rsidRPr="00124B71">
        <w:rPr>
          <w:rFonts w:cs="Times New Roman"/>
        </w:rPr>
        <w:t xml:space="preserve">; however, it seems unlikely they would take it to extreme. One of the primary functions of the FED is to provide a stable financial system. </w:t>
      </w:r>
      <w:r w:rsidR="00FF1560" w:rsidRPr="00124B71">
        <w:rPr>
          <w:rFonts w:cs="Times New Roman"/>
        </w:rPr>
        <w:t>Once the Federal Reserve begins to see economic growth and liquidity</w:t>
      </w:r>
      <w:r w:rsidR="001858B5">
        <w:rPr>
          <w:rFonts w:cs="Times New Roman"/>
        </w:rPr>
        <w:fldChar w:fldCharType="begin"/>
      </w:r>
      <w:r w:rsidR="00180E6F">
        <w:instrText xml:space="preserve"> XE "</w:instrText>
      </w:r>
      <w:r w:rsidR="00180E6F" w:rsidRPr="00EE5CBF">
        <w:rPr>
          <w:rFonts w:cs="Times New Roman"/>
        </w:rPr>
        <w:instrText>liquidity</w:instrText>
      </w:r>
      <w:r w:rsidR="00180E6F">
        <w:instrText xml:space="preserve">" </w:instrText>
      </w:r>
      <w:r w:rsidR="001858B5">
        <w:rPr>
          <w:rFonts w:cs="Times New Roman"/>
        </w:rPr>
        <w:fldChar w:fldCharType="end"/>
      </w:r>
      <w:r w:rsidR="00FF1560" w:rsidRPr="00124B71">
        <w:rPr>
          <w:rFonts w:cs="Times New Roman"/>
        </w:rPr>
        <w:t xml:space="preserve"> in the debt markets, interest rates may rise as quickly as they fell in order to stop hyperinflation from occurring.</w:t>
      </w:r>
    </w:p>
    <w:p w14:paraId="776FF747" w14:textId="5CAEC43F" w:rsidR="004957B2" w:rsidRPr="00EF0EDA" w:rsidRDefault="00CF05FE" w:rsidP="004957B2">
      <w:pPr>
        <w:pStyle w:val="Caption"/>
      </w:pPr>
      <w:bookmarkStart w:id="199" w:name="_Toc238867492"/>
      <w:r>
        <w:t>Figure</w:t>
      </w:r>
      <w:r w:rsidR="004957B2" w:rsidRPr="00EF0EDA">
        <w:t xml:space="preserve"> </w:t>
      </w:r>
      <w:fldSimple w:instr=" SEQ Figure \* ARABIC ">
        <w:r w:rsidR="00493733">
          <w:rPr>
            <w:noProof/>
          </w:rPr>
          <w:t>51</w:t>
        </w:r>
      </w:fldSimple>
      <w:r w:rsidR="00317936">
        <w:t xml:space="preserve">: </w:t>
      </w:r>
      <w:r w:rsidR="004957B2" w:rsidRPr="00EF0EDA">
        <w:t>National Inflation</w:t>
      </w:r>
      <w:r w:rsidR="001858B5">
        <w:fldChar w:fldCharType="begin"/>
      </w:r>
      <w:r w:rsidR="00E84A0F">
        <w:instrText xml:space="preserve"> XE "</w:instrText>
      </w:r>
      <w:r w:rsidR="00E84A0F" w:rsidRPr="00725B11">
        <w:rPr>
          <w:rFonts w:cs="Times New Roman"/>
        </w:rPr>
        <w:instrText>Inflation</w:instrText>
      </w:r>
      <w:r w:rsidR="00E84A0F">
        <w:instrText xml:space="preserve">" </w:instrText>
      </w:r>
      <w:r w:rsidR="001858B5">
        <w:fldChar w:fldCharType="end"/>
      </w:r>
      <w:r w:rsidR="004957B2" w:rsidRPr="00EF0EDA">
        <w:t xml:space="preserve"> Rate</w:t>
      </w:r>
      <w:r w:rsidR="000E7151">
        <w:t>,</w:t>
      </w:r>
      <w:r w:rsidR="004957B2" w:rsidRPr="00EF0EDA">
        <w:t xml:space="preserve"> 1961-2007</w:t>
      </w:r>
      <w:bookmarkEnd w:id="199"/>
    </w:p>
    <w:p w14:paraId="1D6E4513" w14:textId="77777777" w:rsidR="004957B2" w:rsidRPr="00EF0EDA" w:rsidRDefault="00C863CF" w:rsidP="008F1316">
      <w:pPr>
        <w:pStyle w:val="Graphics"/>
      </w:pPr>
      <w:r>
        <w:drawing>
          <wp:inline distT="0" distB="0" distL="0" distR="0" wp14:anchorId="25792283" wp14:editId="332DBA75">
            <wp:extent cx="3657600" cy="2468880"/>
            <wp:effectExtent l="19050" t="0" r="0" b="0"/>
            <wp:docPr id="116" name="Picture 115" descr="National Inflation Rate 1961-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Inflation Rate 1961-2007.jpg"/>
                    <pic:cNvPicPr/>
                  </pic:nvPicPr>
                  <pic:blipFill>
                    <a:blip r:embed="rId89"/>
                    <a:stretch>
                      <a:fillRect/>
                    </a:stretch>
                  </pic:blipFill>
                  <pic:spPr>
                    <a:xfrm>
                      <a:off x="0" y="0"/>
                      <a:ext cx="3657600" cy="2468880"/>
                    </a:xfrm>
                    <a:prstGeom prst="rect">
                      <a:avLst/>
                    </a:prstGeom>
                  </pic:spPr>
                </pic:pic>
              </a:graphicData>
            </a:graphic>
          </wp:inline>
        </w:drawing>
      </w:r>
    </w:p>
    <w:p w14:paraId="2A5C9B22" w14:textId="77777777" w:rsidR="00FF1560" w:rsidRPr="00124B71" w:rsidRDefault="00FF1560" w:rsidP="007821BA">
      <w:pPr>
        <w:rPr>
          <w:rFonts w:cs="Times New Roman"/>
        </w:rPr>
      </w:pPr>
      <w:r w:rsidRPr="00124B71">
        <w:rPr>
          <w:rFonts w:cs="Times New Roman"/>
        </w:rPr>
        <w:t>There will be some benefits to a devalued currency. A less valuable currency is a boon to exporters. The United States has run a chronic trade deficit for many years, and much of the recent deficit has come from inexpensive goods imported from China. The trade imbalance may correct itself with currency devaluation. Of course, this rebalancing of trade will come at the cost of more expensive imported foreign goods and a commensurate decline in spending power from US consumers. Also, prior to currency devaluation, wages in the United States were so high that jobs were being outsourced to foreign countries where people can be paid much less. Wages could</w:t>
      </w:r>
      <w:r w:rsidR="00193211" w:rsidRPr="00124B71">
        <w:rPr>
          <w:rFonts w:cs="Times New Roman"/>
        </w:rPr>
        <w:t xml:space="preserve"> not</w:t>
      </w:r>
      <w:r w:rsidRPr="00124B71">
        <w:rPr>
          <w:rFonts w:cs="Times New Roman"/>
        </w:rPr>
        <w:t xml:space="preserve"> rise significantly from where they were without devaluing the dollar to prevent wage arbitrage from </w:t>
      </w:r>
      <w:r w:rsidRPr="00124B71">
        <w:rPr>
          <w:rFonts w:cs="Times New Roman"/>
        </w:rPr>
        <w:lastRenderedPageBreak/>
        <w:t>moving jobs overseas</w:t>
      </w:r>
      <w:r w:rsidR="0087538F" w:rsidRPr="00124B71">
        <w:rPr>
          <w:rFonts w:cs="Times New Roman"/>
        </w:rPr>
        <w:t>.</w:t>
      </w:r>
      <w:r w:rsidR="005A0B2B" w:rsidRPr="00124B71">
        <w:rPr>
          <w:rFonts w:cs="Times New Roman"/>
        </w:rPr>
        <w:t xml:space="preserve"> </w:t>
      </w:r>
      <w:r w:rsidR="00D15B5B" w:rsidRPr="00124B71">
        <w:rPr>
          <w:rStyle w:val="EndnoteReference"/>
          <w:rFonts w:cs="Times New Roman"/>
        </w:rPr>
        <w:endnoteReference w:id="125"/>
      </w:r>
      <w:r w:rsidRPr="00124B71">
        <w:rPr>
          <w:rFonts w:cs="Times New Roman"/>
        </w:rPr>
        <w:t xml:space="preserve"> The devalued currency provided some room for wage increases, and these wage increases could theoretically provide </w:t>
      </w:r>
      <w:r w:rsidR="00200B4F" w:rsidRPr="00124B71">
        <w:rPr>
          <w:rFonts w:cs="Times New Roman"/>
        </w:rPr>
        <w:t>additional support for housing prices.</w:t>
      </w:r>
    </w:p>
    <w:p w14:paraId="3DB827CA" w14:textId="4FCCDCC1" w:rsidR="00AE409F" w:rsidRPr="00EF0EDA" w:rsidRDefault="00CF05FE" w:rsidP="00AE409F">
      <w:pPr>
        <w:pStyle w:val="Caption"/>
      </w:pPr>
      <w:bookmarkStart w:id="200" w:name="_Toc238867493"/>
      <w:r>
        <w:t>Figure</w:t>
      </w:r>
      <w:r w:rsidR="00AE409F" w:rsidRPr="00EF0EDA">
        <w:t xml:space="preserve"> </w:t>
      </w:r>
      <w:fldSimple w:instr=" SEQ Figure \* ARABIC ">
        <w:r w:rsidR="00493733">
          <w:rPr>
            <w:noProof/>
          </w:rPr>
          <w:t>52</w:t>
        </w:r>
      </w:fldSimple>
      <w:r w:rsidR="00317936">
        <w:t xml:space="preserve">: </w:t>
      </w:r>
      <w:r w:rsidR="00AE409F" w:rsidRPr="00EF0EDA">
        <w:t>Inflation</w:t>
      </w:r>
      <w:r w:rsidR="001858B5">
        <w:fldChar w:fldCharType="begin"/>
      </w:r>
      <w:r w:rsidR="00E84A0F">
        <w:instrText xml:space="preserve"> XE "</w:instrText>
      </w:r>
      <w:r w:rsidR="00E84A0F" w:rsidRPr="00725B11">
        <w:rPr>
          <w:rFonts w:cs="Times New Roman"/>
        </w:rPr>
        <w:instrText>Inflation</w:instrText>
      </w:r>
      <w:r w:rsidR="00E84A0F">
        <w:instrText xml:space="preserve">" </w:instrText>
      </w:r>
      <w:r w:rsidR="001858B5">
        <w:fldChar w:fldCharType="end"/>
      </w:r>
      <w:r w:rsidR="00CD102C">
        <w:t>-A</w:t>
      </w:r>
      <w:r w:rsidR="00AE409F" w:rsidRPr="00EF0EDA">
        <w:t xml:space="preserve">djusted </w:t>
      </w:r>
      <w:r w:rsidR="00CD102C">
        <w:t>P</w:t>
      </w:r>
      <w:r w:rsidR="00AE409F" w:rsidRPr="00EF0EDA">
        <w:t xml:space="preserve">rojections </w:t>
      </w:r>
      <w:r w:rsidR="00AE640A" w:rsidRPr="00EF0EDA">
        <w:t>for Los Angeles</w:t>
      </w:r>
      <w:r w:rsidR="00D24C1E">
        <w:t>,</w:t>
      </w:r>
      <w:r w:rsidR="00AE409F" w:rsidRPr="00EF0EDA">
        <w:t xml:space="preserve"> 1987-201</w:t>
      </w:r>
      <w:r w:rsidR="004164CD">
        <w:t>2</w:t>
      </w:r>
      <w:bookmarkEnd w:id="200"/>
    </w:p>
    <w:p w14:paraId="5CDB5250" w14:textId="77777777" w:rsidR="00AE409F" w:rsidRPr="00EF0EDA" w:rsidRDefault="00C863CF" w:rsidP="008F1316">
      <w:pPr>
        <w:pStyle w:val="Graphics"/>
      </w:pPr>
      <w:r>
        <w:drawing>
          <wp:inline distT="0" distB="0" distL="0" distR="0" wp14:anchorId="7C56DD30" wp14:editId="2B706D9B">
            <wp:extent cx="3657600" cy="2926080"/>
            <wp:effectExtent l="19050" t="0" r="0" b="0"/>
            <wp:docPr id="117" name="Picture 116" descr="Inflation adjusted projections based on S&amp;PCase-Shiller Indices for Los Angeles 1987-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lation adjusted projections based on S&amp;PCase-Shiller Indices for Los Angeles 1987-2013.jpg"/>
                    <pic:cNvPicPr/>
                  </pic:nvPicPr>
                  <pic:blipFill>
                    <a:blip r:embed="rId90"/>
                    <a:stretch>
                      <a:fillRect/>
                    </a:stretch>
                  </pic:blipFill>
                  <pic:spPr>
                    <a:xfrm>
                      <a:off x="0" y="0"/>
                      <a:ext cx="3657600" cy="2926080"/>
                    </a:xfrm>
                    <a:prstGeom prst="rect">
                      <a:avLst/>
                    </a:prstGeom>
                  </pic:spPr>
                </pic:pic>
              </a:graphicData>
            </a:graphic>
          </wp:inline>
        </w:drawing>
      </w:r>
    </w:p>
    <w:p w14:paraId="64F1B069" w14:textId="77777777" w:rsidR="007821BA" w:rsidRPr="00124B71" w:rsidRDefault="0012635C" w:rsidP="00790DD0">
      <w:pPr>
        <w:rPr>
          <w:rFonts w:cs="Times New Roman"/>
        </w:rPr>
      </w:pPr>
      <w:r w:rsidRPr="00124B71">
        <w:rPr>
          <w:rFonts w:cs="Times New Roman"/>
        </w:rPr>
        <w:t>Currency devaluation and inflation eats away at the buying power of money. Although this may support house prices at marginally higher nominal price levels, real price levels, the price level adjusted for inflation, will remain unchanged. Imagine if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Pr="00124B71">
        <w:rPr>
          <w:rFonts w:cs="Times New Roman"/>
        </w:rPr>
        <w:t xml:space="preserve"> allowed inflation to cut the spending power of the dollar in half by 2011</w:t>
      </w:r>
      <w:r w:rsidR="00AE640A" w:rsidRPr="00124B71">
        <w:rPr>
          <w:rFonts w:cs="Times New Roman"/>
        </w:rPr>
        <w:t>, and imagine if this level of inflation allowed house prices to remain stable at 2006 price levels for those 5 years. Many homeowners would feel relieved their homes did not decline in value, but this relief would be an illusion as the buying power of their money tied up in the value of their houses</w:t>
      </w:r>
      <w:r w:rsidR="0098795E" w:rsidRPr="00124B71">
        <w:rPr>
          <w:rFonts w:cs="Times New Roman"/>
        </w:rPr>
        <w:t xml:space="preserve"> was</w:t>
      </w:r>
      <w:r w:rsidR="00AE640A" w:rsidRPr="00124B71">
        <w:rPr>
          <w:rFonts w:cs="Times New Roman"/>
        </w:rPr>
        <w:t xml:space="preserve"> cut in half. Irrespective of the nominal decline in prices, the inflation adjusted prices will decline significantly going forward. In the Los Angeles market as measured by the S&amp;P/Case-Shiller</w:t>
      </w:r>
      <w:r w:rsidR="001858B5">
        <w:rPr>
          <w:rFonts w:cs="Times New Roman"/>
        </w:rPr>
        <w:fldChar w:fldCharType="begin"/>
      </w:r>
      <w:r w:rsidR="00AE7D38">
        <w:instrText xml:space="preserve"> XE "</w:instrText>
      </w:r>
      <w:r w:rsidR="00AE7D38" w:rsidRPr="00346C49">
        <w:rPr>
          <w:rFonts w:cs="Times New Roman"/>
        </w:rPr>
        <w:instrText>S&amp;P/Case-Shiller</w:instrText>
      </w:r>
      <w:r w:rsidR="00AE7D38">
        <w:instrText xml:space="preserve">" </w:instrText>
      </w:r>
      <w:r w:rsidR="001858B5">
        <w:rPr>
          <w:rFonts w:cs="Times New Roman"/>
        </w:rPr>
        <w:fldChar w:fldCharType="end"/>
      </w:r>
      <w:r w:rsidR="00AE640A" w:rsidRPr="00124B71">
        <w:rPr>
          <w:rFonts w:cs="Times New Roman"/>
        </w:rPr>
        <w:t xml:space="preserve"> index, a decline in prices to levels of historic rates of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AE640A" w:rsidRPr="00124B71">
        <w:rPr>
          <w:rFonts w:cs="Times New Roman"/>
        </w:rPr>
        <w:t xml:space="preserve"> as previously described will result in a 66% decline in inflation adjusted terms</w:t>
      </w:r>
      <w:r w:rsidR="0087538F" w:rsidRPr="00124B71">
        <w:rPr>
          <w:rFonts w:cs="Times New Roman"/>
        </w:rPr>
        <w:t>.</w:t>
      </w:r>
      <w:r w:rsidR="005A0B2B" w:rsidRPr="00124B71">
        <w:rPr>
          <w:rFonts w:cs="Times New Roman"/>
        </w:rPr>
        <w:t xml:space="preserve"> </w:t>
      </w:r>
      <w:r w:rsidR="001235E1" w:rsidRPr="00124B71">
        <w:rPr>
          <w:rStyle w:val="EndnoteReference"/>
          <w:rFonts w:cs="Times New Roman"/>
        </w:rPr>
        <w:endnoteReference w:id="126"/>
      </w:r>
      <w:r w:rsidR="00AE640A" w:rsidRPr="00124B71">
        <w:rPr>
          <w:rFonts w:cs="Times New Roman"/>
        </w:rPr>
        <w:t xml:space="preserve"> On an inflation adjusted basis, buyers during the bubble will never get back to breakeven unless there is another real estate bubble similar to the Great Housing Bubble.</w:t>
      </w:r>
    </w:p>
    <w:p w14:paraId="270994D2" w14:textId="77777777" w:rsidR="00D53590" w:rsidRPr="00EF0EDA" w:rsidRDefault="00426AEF" w:rsidP="00426AEF">
      <w:pPr>
        <w:pStyle w:val="Heading3"/>
      </w:pPr>
      <w:bookmarkStart w:id="201" w:name="_Toc238867386"/>
      <w:r w:rsidRPr="00EF0EDA">
        <w:t>An Educated Guess</w:t>
      </w:r>
      <w:bookmarkEnd w:id="201"/>
    </w:p>
    <w:p w14:paraId="359F0C9D" w14:textId="77777777" w:rsidR="0093656C" w:rsidRPr="00124B71" w:rsidRDefault="006D53A7" w:rsidP="00AE602A">
      <w:pPr>
        <w:rPr>
          <w:rFonts w:cs="Times New Roman"/>
        </w:rPr>
      </w:pPr>
      <w:r w:rsidRPr="00124B71">
        <w:rPr>
          <w:rFonts w:cs="Times New Roman"/>
        </w:rPr>
        <w:t>Each of the four methods of house price valuation described previously makes an independent prediction of how far prices will fall, and when they will recover. Some of these will prove more reliable and accurate than others, but an average of the results of these four methods makes</w:t>
      </w:r>
      <w:r w:rsidR="00D774B7" w:rsidRPr="00124B71">
        <w:rPr>
          <w:rFonts w:cs="Times New Roman"/>
        </w:rPr>
        <w:t xml:space="preserve"> it possible to make an </w:t>
      </w:r>
      <w:r w:rsidR="00D774B7" w:rsidRPr="00124B71">
        <w:rPr>
          <w:rFonts w:cs="Times New Roman"/>
        </w:rPr>
        <w:lastRenderedPageBreak/>
        <w:t xml:space="preserve">educated guess as to the percentage decline in house prices and when prices will get back to peak levels. </w:t>
      </w:r>
      <w:r w:rsidRPr="00124B71">
        <w:rPr>
          <w:rFonts w:cs="Times New Roman"/>
        </w:rPr>
        <w:t xml:space="preserve">Unfortunately, there is no reliable method for projecting the rate of this decline, but if the experience of the coastal bubble of the early 90s is a good guide, then prices should fall for 6 to 7 years before reaching a bottom. This puts the bottom of prices sometime in or around 2011 based on the peak in various markets occurring in 2005 or 2006. </w:t>
      </w:r>
      <w:r w:rsidR="00AE602A" w:rsidRPr="00124B71">
        <w:rPr>
          <w:rFonts w:cs="Times New Roman"/>
        </w:rPr>
        <w:t xml:space="preserve">Prices will flatten at the bottom because it will take time to absorb the inventory of foreclosures resulting from the drop. </w:t>
      </w:r>
      <w:r w:rsidRPr="00124B71">
        <w:rPr>
          <w:rFonts w:cs="Times New Roman"/>
        </w:rPr>
        <w:t>Market psychology and the rate of foreclosures will largely determine the rate of price decline, and these forces are difficult if not impossible to model. I</w:t>
      </w:r>
      <w:r w:rsidR="00D774B7" w:rsidRPr="00124B71">
        <w:rPr>
          <w:rFonts w:cs="Times New Roman"/>
        </w:rPr>
        <w:t>t is possible to construct a graph that illustrates the path of house prices over time</w:t>
      </w:r>
      <w:r w:rsidRPr="00124B71">
        <w:rPr>
          <w:rFonts w:cs="Times New Roman"/>
        </w:rPr>
        <w:t xml:space="preserve"> based on the methods of price valuation and assumptions about the timing of the decline</w:t>
      </w:r>
      <w:r w:rsidR="00D774B7" w:rsidRPr="00124B71">
        <w:rPr>
          <w:rFonts w:cs="Times New Roman"/>
        </w:rPr>
        <w:t>.</w:t>
      </w:r>
    </w:p>
    <w:p w14:paraId="31B3B216" w14:textId="1299172F" w:rsidR="0093656C" w:rsidRPr="00EF0EDA" w:rsidRDefault="00C725A5" w:rsidP="00C725A5">
      <w:pPr>
        <w:pStyle w:val="Caption"/>
      </w:pPr>
      <w:bookmarkStart w:id="202" w:name="_Toc238867436"/>
      <w:r>
        <w:t xml:space="preserve">Table </w:t>
      </w:r>
      <w:fldSimple w:instr=" SEQ Table \* ARABIC ">
        <w:r w:rsidR="00493733">
          <w:rPr>
            <w:noProof/>
          </w:rPr>
          <w:t>10</w:t>
        </w:r>
      </w:fldSimple>
      <w:r w:rsidR="00317936">
        <w:t xml:space="preserve">: </w:t>
      </w:r>
      <w:r w:rsidR="0093656C" w:rsidRPr="00EF0EDA">
        <w:t>Summary of Predictions for National Home Prices</w:t>
      </w:r>
      <w:bookmarkEnd w:id="202"/>
    </w:p>
    <w:tbl>
      <w:tblPr>
        <w:tblW w:w="0" w:type="auto"/>
        <w:tblInd w:w="108" w:type="dxa"/>
        <w:tblLook w:val="04A0" w:firstRow="1" w:lastRow="0" w:firstColumn="1" w:lastColumn="0" w:noHBand="0" w:noVBand="1"/>
      </w:tblPr>
      <w:tblGrid>
        <w:gridCol w:w="3759"/>
        <w:gridCol w:w="858"/>
        <w:gridCol w:w="1274"/>
        <w:gridCol w:w="985"/>
      </w:tblGrid>
      <w:tr w:rsidR="00896A10" w:rsidRPr="00131BA8" w14:paraId="6630ADDA" w14:textId="77777777" w:rsidTr="000144CC">
        <w:trPr>
          <w:trHeight w:val="173"/>
        </w:trPr>
        <w:tc>
          <w:tcPr>
            <w:tcW w:w="0" w:type="auto"/>
            <w:tcBorders>
              <w:top w:val="nil"/>
              <w:left w:val="nil"/>
              <w:bottom w:val="single" w:sz="4" w:space="0" w:color="auto"/>
              <w:right w:val="nil"/>
            </w:tcBorders>
            <w:noWrap/>
            <w:vAlign w:val="bottom"/>
            <w:hideMark/>
          </w:tcPr>
          <w:p w14:paraId="55C3C1AB" w14:textId="77777777" w:rsidR="00896A10" w:rsidRPr="00131BA8" w:rsidRDefault="00896A10" w:rsidP="00896A10">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Method</w:t>
            </w:r>
          </w:p>
        </w:tc>
        <w:tc>
          <w:tcPr>
            <w:tcW w:w="0" w:type="auto"/>
            <w:tcBorders>
              <w:top w:val="nil"/>
              <w:left w:val="nil"/>
              <w:bottom w:val="single" w:sz="4" w:space="0" w:color="auto"/>
              <w:right w:val="nil"/>
            </w:tcBorders>
            <w:vAlign w:val="bottom"/>
            <w:hideMark/>
          </w:tcPr>
          <w:p w14:paraId="51E9A87E"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Total Decline</w:t>
            </w:r>
          </w:p>
        </w:tc>
        <w:tc>
          <w:tcPr>
            <w:tcW w:w="0" w:type="auto"/>
            <w:tcBorders>
              <w:top w:val="nil"/>
              <w:left w:val="nil"/>
              <w:bottom w:val="single" w:sz="4" w:space="0" w:color="auto"/>
              <w:right w:val="nil"/>
            </w:tcBorders>
            <w:vAlign w:val="bottom"/>
            <w:hideMark/>
          </w:tcPr>
          <w:p w14:paraId="0BF1CEC8"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Appreciation Rate</w:t>
            </w:r>
          </w:p>
        </w:tc>
        <w:tc>
          <w:tcPr>
            <w:tcW w:w="0" w:type="auto"/>
            <w:tcBorders>
              <w:top w:val="nil"/>
              <w:left w:val="nil"/>
              <w:bottom w:val="single" w:sz="4" w:space="0" w:color="auto"/>
              <w:right w:val="nil"/>
            </w:tcBorders>
            <w:vAlign w:val="bottom"/>
            <w:hideMark/>
          </w:tcPr>
          <w:p w14:paraId="56967C70"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Recovery Year</w:t>
            </w:r>
          </w:p>
        </w:tc>
      </w:tr>
      <w:tr w:rsidR="00896A10" w:rsidRPr="00131BA8" w14:paraId="13C531C7" w14:textId="77777777" w:rsidTr="000144CC">
        <w:trPr>
          <w:trHeight w:val="173"/>
        </w:trPr>
        <w:tc>
          <w:tcPr>
            <w:tcW w:w="0" w:type="auto"/>
            <w:tcBorders>
              <w:top w:val="single" w:sz="4" w:space="0" w:color="auto"/>
              <w:left w:val="nil"/>
              <w:bottom w:val="nil"/>
              <w:right w:val="nil"/>
            </w:tcBorders>
            <w:noWrap/>
            <w:vAlign w:val="bottom"/>
            <w:hideMark/>
          </w:tcPr>
          <w:p w14:paraId="748A63E0" w14:textId="77777777" w:rsidR="00896A10" w:rsidRPr="00131BA8" w:rsidRDefault="00896A10" w:rsidP="00896A10">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S&amp;P/Case-Shiller</w:t>
            </w:r>
            <w:r w:rsidR="001858B5" w:rsidRPr="00131BA8">
              <w:rPr>
                <w:rFonts w:eastAsia="Times New Roman" w:cs="Times New Roman"/>
                <w:color w:val="000000"/>
                <w:sz w:val="18"/>
                <w:szCs w:val="18"/>
                <w:lang w:bidi="ar-SA"/>
              </w:rPr>
              <w:fldChar w:fldCharType="begin"/>
            </w:r>
            <w:r w:rsidR="00AE7D38" w:rsidRPr="00131BA8">
              <w:rPr>
                <w:sz w:val="18"/>
              </w:rPr>
              <w:instrText xml:space="preserve"> XE "</w:instrText>
            </w:r>
            <w:r w:rsidR="00AE7D38" w:rsidRPr="00131BA8">
              <w:rPr>
                <w:rFonts w:cs="Times New Roman"/>
                <w:sz w:val="18"/>
              </w:rPr>
              <w:instrText>S&amp;P/Case-Shiller</w:instrText>
            </w:r>
            <w:r w:rsidR="00AE7D38" w:rsidRPr="00131BA8">
              <w:rPr>
                <w:sz w:val="18"/>
              </w:rPr>
              <w:instrText xml:space="preserve">" </w:instrText>
            </w:r>
            <w:r w:rsidR="001858B5" w:rsidRPr="00131BA8">
              <w:rPr>
                <w:rFonts w:eastAsia="Times New Roman" w:cs="Times New Roman"/>
                <w:color w:val="000000"/>
                <w:sz w:val="18"/>
                <w:szCs w:val="18"/>
                <w:lang w:bidi="ar-SA"/>
              </w:rPr>
              <w:fldChar w:fldCharType="end"/>
            </w:r>
            <w:r w:rsidRPr="00131BA8">
              <w:rPr>
                <w:rFonts w:eastAsia="Times New Roman" w:cs="Times New Roman"/>
                <w:color w:val="000000"/>
                <w:sz w:val="18"/>
                <w:szCs w:val="18"/>
                <w:lang w:bidi="ar-SA"/>
              </w:rPr>
              <w:t xml:space="preserve"> Inflation</w:t>
            </w:r>
            <w:r w:rsidR="001858B5" w:rsidRPr="00131BA8">
              <w:rPr>
                <w:rFonts w:eastAsia="Times New Roman" w:cs="Times New Roman"/>
                <w:color w:val="000000"/>
                <w:sz w:val="18"/>
                <w:szCs w:val="18"/>
                <w:lang w:bidi="ar-SA"/>
              </w:rPr>
              <w:fldChar w:fldCharType="begin"/>
            </w:r>
            <w:r w:rsidR="00E84A0F" w:rsidRPr="00131BA8">
              <w:rPr>
                <w:sz w:val="18"/>
              </w:rPr>
              <w:instrText xml:space="preserve"> XE "</w:instrText>
            </w:r>
            <w:r w:rsidR="00E84A0F" w:rsidRPr="00131BA8">
              <w:rPr>
                <w:rFonts w:cs="Times New Roman"/>
                <w:sz w:val="18"/>
              </w:rPr>
              <w:instrText>Inflation</w:instrText>
            </w:r>
            <w:r w:rsidR="00E84A0F" w:rsidRPr="00131BA8">
              <w:rPr>
                <w:sz w:val="18"/>
              </w:rPr>
              <w:instrText xml:space="preserve">" </w:instrText>
            </w:r>
            <w:r w:rsidR="001858B5" w:rsidRPr="00131BA8">
              <w:rPr>
                <w:rFonts w:eastAsia="Times New Roman" w:cs="Times New Roman"/>
                <w:color w:val="000000"/>
                <w:sz w:val="18"/>
                <w:szCs w:val="18"/>
                <w:lang w:bidi="ar-SA"/>
              </w:rPr>
              <w:fldChar w:fldCharType="end"/>
            </w:r>
            <w:r w:rsidRPr="00131BA8">
              <w:rPr>
                <w:rFonts w:eastAsia="Times New Roman" w:cs="Times New Roman"/>
                <w:color w:val="000000"/>
                <w:sz w:val="18"/>
                <w:szCs w:val="18"/>
                <w:lang w:bidi="ar-SA"/>
              </w:rPr>
              <w:t xml:space="preserve"> Support</w:t>
            </w:r>
          </w:p>
        </w:tc>
        <w:tc>
          <w:tcPr>
            <w:tcW w:w="0" w:type="auto"/>
            <w:tcBorders>
              <w:top w:val="single" w:sz="4" w:space="0" w:color="auto"/>
              <w:left w:val="nil"/>
              <w:bottom w:val="nil"/>
              <w:right w:val="nil"/>
            </w:tcBorders>
            <w:noWrap/>
            <w:vAlign w:val="bottom"/>
            <w:hideMark/>
          </w:tcPr>
          <w:p w14:paraId="7C2686DA"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33%</w:t>
            </w:r>
          </w:p>
        </w:tc>
        <w:tc>
          <w:tcPr>
            <w:tcW w:w="0" w:type="auto"/>
            <w:tcBorders>
              <w:top w:val="single" w:sz="4" w:space="0" w:color="auto"/>
              <w:left w:val="nil"/>
              <w:bottom w:val="nil"/>
              <w:right w:val="nil"/>
            </w:tcBorders>
            <w:noWrap/>
            <w:vAlign w:val="bottom"/>
            <w:hideMark/>
          </w:tcPr>
          <w:p w14:paraId="6D104A69"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3.3%</w:t>
            </w:r>
          </w:p>
        </w:tc>
        <w:tc>
          <w:tcPr>
            <w:tcW w:w="0" w:type="auto"/>
            <w:tcBorders>
              <w:top w:val="single" w:sz="4" w:space="0" w:color="auto"/>
              <w:left w:val="nil"/>
              <w:bottom w:val="nil"/>
              <w:right w:val="nil"/>
            </w:tcBorders>
            <w:noWrap/>
            <w:vAlign w:val="bottom"/>
            <w:hideMark/>
          </w:tcPr>
          <w:p w14:paraId="250389AB"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2025</w:t>
            </w:r>
          </w:p>
        </w:tc>
      </w:tr>
      <w:tr w:rsidR="00896A10" w:rsidRPr="00131BA8" w14:paraId="0019E74B" w14:textId="77777777" w:rsidTr="000144CC">
        <w:trPr>
          <w:trHeight w:val="173"/>
        </w:trPr>
        <w:tc>
          <w:tcPr>
            <w:tcW w:w="0" w:type="auto"/>
            <w:tcBorders>
              <w:top w:val="nil"/>
              <w:left w:val="nil"/>
              <w:bottom w:val="nil"/>
              <w:right w:val="nil"/>
            </w:tcBorders>
            <w:noWrap/>
            <w:vAlign w:val="bottom"/>
            <w:hideMark/>
          </w:tcPr>
          <w:p w14:paraId="0F134BCE" w14:textId="77777777" w:rsidR="00896A10" w:rsidRPr="00131BA8" w:rsidRDefault="00896A10" w:rsidP="00896A10">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Median House Price and Historic Appreciation</w:t>
            </w:r>
          </w:p>
        </w:tc>
        <w:tc>
          <w:tcPr>
            <w:tcW w:w="0" w:type="auto"/>
            <w:tcBorders>
              <w:top w:val="nil"/>
              <w:left w:val="nil"/>
              <w:bottom w:val="nil"/>
              <w:right w:val="nil"/>
            </w:tcBorders>
            <w:noWrap/>
            <w:vAlign w:val="bottom"/>
            <w:hideMark/>
          </w:tcPr>
          <w:p w14:paraId="724FCD43"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10%</w:t>
            </w:r>
          </w:p>
        </w:tc>
        <w:tc>
          <w:tcPr>
            <w:tcW w:w="0" w:type="auto"/>
            <w:tcBorders>
              <w:top w:val="nil"/>
              <w:left w:val="nil"/>
              <w:bottom w:val="nil"/>
              <w:right w:val="nil"/>
            </w:tcBorders>
            <w:noWrap/>
            <w:vAlign w:val="bottom"/>
            <w:hideMark/>
          </w:tcPr>
          <w:p w14:paraId="7A8282B7"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4.5%</w:t>
            </w:r>
          </w:p>
        </w:tc>
        <w:tc>
          <w:tcPr>
            <w:tcW w:w="0" w:type="auto"/>
            <w:tcBorders>
              <w:top w:val="nil"/>
              <w:left w:val="nil"/>
              <w:bottom w:val="nil"/>
              <w:right w:val="nil"/>
            </w:tcBorders>
            <w:noWrap/>
            <w:vAlign w:val="bottom"/>
            <w:hideMark/>
          </w:tcPr>
          <w:p w14:paraId="7BDD9E96"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2011</w:t>
            </w:r>
          </w:p>
        </w:tc>
      </w:tr>
      <w:tr w:rsidR="00896A10" w:rsidRPr="00131BA8" w14:paraId="3126D108" w14:textId="77777777" w:rsidTr="000144CC">
        <w:trPr>
          <w:trHeight w:val="173"/>
        </w:trPr>
        <w:tc>
          <w:tcPr>
            <w:tcW w:w="0" w:type="auto"/>
            <w:tcBorders>
              <w:top w:val="nil"/>
              <w:left w:val="nil"/>
              <w:bottom w:val="nil"/>
              <w:right w:val="nil"/>
            </w:tcBorders>
            <w:noWrap/>
            <w:vAlign w:val="bottom"/>
            <w:hideMark/>
          </w:tcPr>
          <w:p w14:paraId="7CCAD307" w14:textId="77777777" w:rsidR="00896A10" w:rsidRPr="00131BA8" w:rsidRDefault="00896A10" w:rsidP="00896A10">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Price-To-Rent Ratio</w:t>
            </w:r>
          </w:p>
        </w:tc>
        <w:tc>
          <w:tcPr>
            <w:tcW w:w="0" w:type="auto"/>
            <w:tcBorders>
              <w:top w:val="nil"/>
              <w:left w:val="nil"/>
              <w:bottom w:val="nil"/>
              <w:right w:val="nil"/>
            </w:tcBorders>
            <w:noWrap/>
            <w:vAlign w:val="bottom"/>
            <w:hideMark/>
          </w:tcPr>
          <w:p w14:paraId="0C0EA8E3"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27%</w:t>
            </w:r>
          </w:p>
        </w:tc>
        <w:tc>
          <w:tcPr>
            <w:tcW w:w="0" w:type="auto"/>
            <w:tcBorders>
              <w:top w:val="nil"/>
              <w:left w:val="nil"/>
              <w:bottom w:val="nil"/>
              <w:right w:val="nil"/>
            </w:tcBorders>
            <w:noWrap/>
            <w:vAlign w:val="bottom"/>
            <w:hideMark/>
          </w:tcPr>
          <w:p w14:paraId="2971B873"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3.6%</w:t>
            </w:r>
          </w:p>
        </w:tc>
        <w:tc>
          <w:tcPr>
            <w:tcW w:w="0" w:type="auto"/>
            <w:tcBorders>
              <w:top w:val="nil"/>
              <w:left w:val="nil"/>
              <w:bottom w:val="nil"/>
              <w:right w:val="nil"/>
            </w:tcBorders>
            <w:noWrap/>
            <w:vAlign w:val="bottom"/>
            <w:hideMark/>
          </w:tcPr>
          <w:p w14:paraId="0ABDDF29"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2020</w:t>
            </w:r>
          </w:p>
        </w:tc>
      </w:tr>
      <w:tr w:rsidR="00896A10" w:rsidRPr="00131BA8" w14:paraId="19E0BEDE" w14:textId="77777777" w:rsidTr="000144CC">
        <w:trPr>
          <w:trHeight w:val="173"/>
        </w:trPr>
        <w:tc>
          <w:tcPr>
            <w:tcW w:w="0" w:type="auto"/>
            <w:tcBorders>
              <w:top w:val="nil"/>
              <w:left w:val="nil"/>
              <w:bottom w:val="single" w:sz="4" w:space="0" w:color="auto"/>
              <w:right w:val="nil"/>
            </w:tcBorders>
            <w:noWrap/>
            <w:vAlign w:val="bottom"/>
            <w:hideMark/>
          </w:tcPr>
          <w:p w14:paraId="392DEF08" w14:textId="77777777" w:rsidR="00896A10" w:rsidRPr="00131BA8" w:rsidRDefault="00896A10" w:rsidP="00896A10">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Price-To-Income Ratio</w:t>
            </w:r>
          </w:p>
        </w:tc>
        <w:tc>
          <w:tcPr>
            <w:tcW w:w="0" w:type="auto"/>
            <w:tcBorders>
              <w:top w:val="nil"/>
              <w:left w:val="nil"/>
              <w:bottom w:val="single" w:sz="4" w:space="0" w:color="auto"/>
              <w:right w:val="nil"/>
            </w:tcBorders>
            <w:noWrap/>
            <w:vAlign w:val="bottom"/>
            <w:hideMark/>
          </w:tcPr>
          <w:p w14:paraId="3237D88E"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9%</w:t>
            </w:r>
          </w:p>
        </w:tc>
        <w:tc>
          <w:tcPr>
            <w:tcW w:w="0" w:type="auto"/>
            <w:tcBorders>
              <w:top w:val="nil"/>
              <w:left w:val="nil"/>
              <w:bottom w:val="single" w:sz="4" w:space="0" w:color="auto"/>
              <w:right w:val="nil"/>
            </w:tcBorders>
            <w:noWrap/>
            <w:vAlign w:val="bottom"/>
            <w:hideMark/>
          </w:tcPr>
          <w:p w14:paraId="237B807A"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3.3%</w:t>
            </w:r>
          </w:p>
        </w:tc>
        <w:tc>
          <w:tcPr>
            <w:tcW w:w="0" w:type="auto"/>
            <w:tcBorders>
              <w:top w:val="nil"/>
              <w:left w:val="nil"/>
              <w:bottom w:val="single" w:sz="4" w:space="0" w:color="auto"/>
              <w:right w:val="nil"/>
            </w:tcBorders>
            <w:noWrap/>
            <w:vAlign w:val="bottom"/>
            <w:hideMark/>
          </w:tcPr>
          <w:p w14:paraId="53FC8756"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2014</w:t>
            </w:r>
          </w:p>
        </w:tc>
      </w:tr>
      <w:tr w:rsidR="00896A10" w:rsidRPr="00131BA8" w14:paraId="6F8876F4" w14:textId="77777777" w:rsidTr="000144CC">
        <w:trPr>
          <w:trHeight w:val="173"/>
        </w:trPr>
        <w:tc>
          <w:tcPr>
            <w:tcW w:w="0" w:type="auto"/>
            <w:tcBorders>
              <w:top w:val="nil"/>
              <w:left w:val="nil"/>
              <w:bottom w:val="nil"/>
              <w:right w:val="nil"/>
            </w:tcBorders>
            <w:noWrap/>
            <w:vAlign w:val="bottom"/>
            <w:hideMark/>
          </w:tcPr>
          <w:p w14:paraId="5E070F35" w14:textId="77777777" w:rsidR="00896A10" w:rsidRPr="00131BA8" w:rsidRDefault="00896A10" w:rsidP="00896A10">
            <w:pPr>
              <w:keepLines/>
              <w:ind w:firstLine="0"/>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4FDF45CF"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20%</w:t>
            </w:r>
          </w:p>
        </w:tc>
        <w:tc>
          <w:tcPr>
            <w:tcW w:w="0" w:type="auto"/>
            <w:tcBorders>
              <w:top w:val="nil"/>
              <w:left w:val="nil"/>
              <w:bottom w:val="nil"/>
              <w:right w:val="nil"/>
            </w:tcBorders>
            <w:noWrap/>
            <w:vAlign w:val="bottom"/>
            <w:hideMark/>
          </w:tcPr>
          <w:p w14:paraId="43860312"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3.7%</w:t>
            </w:r>
          </w:p>
        </w:tc>
        <w:tc>
          <w:tcPr>
            <w:tcW w:w="0" w:type="auto"/>
            <w:tcBorders>
              <w:top w:val="nil"/>
              <w:left w:val="nil"/>
              <w:bottom w:val="nil"/>
              <w:right w:val="nil"/>
            </w:tcBorders>
            <w:noWrap/>
            <w:vAlign w:val="bottom"/>
            <w:hideMark/>
          </w:tcPr>
          <w:p w14:paraId="0730A076"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2018</w:t>
            </w:r>
          </w:p>
        </w:tc>
      </w:tr>
    </w:tbl>
    <w:p w14:paraId="61484F4C" w14:textId="77777777" w:rsidR="0093656C" w:rsidRPr="00124B71" w:rsidRDefault="006D53A7" w:rsidP="006D53A7">
      <w:pPr>
        <w:rPr>
          <w:rFonts w:cs="Times New Roman"/>
        </w:rPr>
      </w:pPr>
      <w:r w:rsidRPr="00124B71">
        <w:rPr>
          <w:rFonts w:cs="Times New Roman"/>
        </w:rPr>
        <w:t xml:space="preserve">The range of predictions for the decline of national home prices is from 9% to 27% with an average of 20%. The </w:t>
      </w:r>
      <w:r w:rsidR="00E05629" w:rsidRPr="00124B71">
        <w:rPr>
          <w:rFonts w:cs="Times New Roman"/>
        </w:rPr>
        <w:t>predicted time of peak-to-peak recovery ranges from 2011 to 2021 with an average of 2018.</w:t>
      </w:r>
      <w:r w:rsidR="002F74E8" w:rsidRPr="00124B71">
        <w:rPr>
          <w:rFonts w:cs="Times New Roman"/>
        </w:rPr>
        <w:t xml:space="preserve"> Some will argue price drops of this magnitude are not likely, and these would be unprecedented declines; however, the increa</w:t>
      </w:r>
      <w:r w:rsidR="001235E1" w:rsidRPr="00124B71">
        <w:rPr>
          <w:rFonts w:cs="Times New Roman"/>
        </w:rPr>
        <w:t>ses were unprecedented as well. T</w:t>
      </w:r>
      <w:r w:rsidR="002F74E8" w:rsidRPr="00124B71">
        <w:rPr>
          <w:rFonts w:cs="Times New Roman"/>
        </w:rPr>
        <w:t>he Great Housing Bubble was a unique and unprecedented event.</w:t>
      </w:r>
    </w:p>
    <w:p w14:paraId="2E16FC97" w14:textId="20C1EE77" w:rsidR="004810D3" w:rsidRPr="00EF0EDA" w:rsidRDefault="00CF05FE" w:rsidP="004810D3">
      <w:pPr>
        <w:pStyle w:val="Caption"/>
        <w:rPr>
          <w:sz w:val="24"/>
          <w:szCs w:val="24"/>
        </w:rPr>
      </w:pPr>
      <w:bookmarkStart w:id="203" w:name="_Toc238867494"/>
      <w:r>
        <w:t>Figure</w:t>
      </w:r>
      <w:r w:rsidR="004810D3" w:rsidRPr="00EF0EDA">
        <w:t xml:space="preserve"> </w:t>
      </w:r>
      <w:fldSimple w:instr=" SEQ Figure \* ARABIC ">
        <w:r w:rsidR="00493733">
          <w:rPr>
            <w:noProof/>
          </w:rPr>
          <w:t>53</w:t>
        </w:r>
      </w:fldSimple>
      <w:r w:rsidR="00317936">
        <w:t xml:space="preserve">: </w:t>
      </w:r>
      <w:r w:rsidR="004810D3" w:rsidRPr="00EF0EDA">
        <w:t>National Median House Price Prediction</w:t>
      </w:r>
      <w:r w:rsidR="00D24C1E">
        <w:t>,</w:t>
      </w:r>
      <w:r w:rsidR="004810D3" w:rsidRPr="00EF0EDA">
        <w:t xml:space="preserve"> 2004-2019</w:t>
      </w:r>
      <w:bookmarkEnd w:id="203"/>
    </w:p>
    <w:p w14:paraId="42E4E880" w14:textId="77777777" w:rsidR="004810D3" w:rsidRPr="00EF0EDA" w:rsidRDefault="00C863CF" w:rsidP="008F1316">
      <w:pPr>
        <w:pStyle w:val="Graphics"/>
      </w:pPr>
      <w:r>
        <w:drawing>
          <wp:inline distT="0" distB="0" distL="0" distR="0" wp14:anchorId="13298DD5" wp14:editId="3C32D289">
            <wp:extent cx="3652345" cy="2552700"/>
            <wp:effectExtent l="19050" t="0" r="5255" b="0"/>
            <wp:docPr id="118" name="Picture 117" descr="National Median House Price Prediction 2004-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Median House Price Prediction 2004-2019.jpg"/>
                    <pic:cNvPicPr/>
                  </pic:nvPicPr>
                  <pic:blipFill>
                    <a:blip r:embed="rId91"/>
                    <a:stretch>
                      <a:fillRect/>
                    </a:stretch>
                  </pic:blipFill>
                  <pic:spPr>
                    <a:xfrm>
                      <a:off x="0" y="0"/>
                      <a:ext cx="3657600" cy="2556373"/>
                    </a:xfrm>
                    <a:prstGeom prst="rect">
                      <a:avLst/>
                    </a:prstGeom>
                  </pic:spPr>
                </pic:pic>
              </a:graphicData>
            </a:graphic>
          </wp:inline>
        </w:drawing>
      </w:r>
    </w:p>
    <w:p w14:paraId="62B84074" w14:textId="77777777" w:rsidR="00A80B70" w:rsidRPr="00124B71" w:rsidRDefault="00E953E3" w:rsidP="00C02EF1">
      <w:pPr>
        <w:rPr>
          <w:rFonts w:cs="Times New Roman"/>
        </w:rPr>
      </w:pPr>
      <w:r w:rsidRPr="00124B71">
        <w:rPr>
          <w:rFonts w:cs="Times New Roman"/>
        </w:rPr>
        <w:lastRenderedPageBreak/>
        <w:t>The predictions for national prices are based on a 3.7% rate of fundamental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for some combination of wage growth, rental increases and other factors. The origin point for the graph is based on the last period in which fundamentals were aligned in the 1986-1999 period</w:t>
      </w:r>
      <w:r w:rsidR="00443CCE" w:rsidRPr="00124B71">
        <w:rPr>
          <w:rFonts w:cs="Times New Roman"/>
        </w:rPr>
        <w:t xml:space="preserve"> (not shown on the </w:t>
      </w:r>
      <w:r w:rsidR="00E46941">
        <w:rPr>
          <w:rFonts w:cs="Times New Roman"/>
        </w:rPr>
        <w:t>figure</w:t>
      </w:r>
      <w:r w:rsidR="00A40CA5" w:rsidRPr="00124B71">
        <w:rPr>
          <w:rFonts w:cs="Times New Roman"/>
        </w:rPr>
        <w:t>).</w:t>
      </w:r>
      <w:r w:rsidRPr="00124B71">
        <w:rPr>
          <w:rFonts w:cs="Times New Roman"/>
        </w:rPr>
        <w:t xml:space="preserve"> The amount of the decline, 20%, is based on the average prediction of the four methods. The rate of decline was interpolated from the date of the peak to the date of the predicted bottom based on the experience of the coastal bubble of the 1990s. National prices peaked at an approximate value of $246,000 in 2006</w:t>
      </w:r>
      <w:r w:rsidR="0098795E" w:rsidRPr="00124B71">
        <w:rPr>
          <w:rFonts w:cs="Times New Roman"/>
        </w:rPr>
        <w:t>;</w:t>
      </w:r>
      <w:r w:rsidRPr="00124B71">
        <w:rPr>
          <w:rFonts w:cs="Times New Roman"/>
        </w:rPr>
        <w:t xml:space="preserve"> they should bottom out </w:t>
      </w:r>
      <w:r w:rsidR="00D628D3" w:rsidRPr="00124B71">
        <w:rPr>
          <w:rFonts w:cs="Times New Roman"/>
        </w:rPr>
        <w:t>at around $196,000 in 2011, and if fundamental appreciation rates hold, they will reach the previous peak in 2018.</w:t>
      </w:r>
    </w:p>
    <w:p w14:paraId="518D86B2" w14:textId="6D87EBCF" w:rsidR="0093656C" w:rsidRPr="00EF0EDA" w:rsidRDefault="00C725A5" w:rsidP="00C725A5">
      <w:pPr>
        <w:pStyle w:val="Caption"/>
      </w:pPr>
      <w:bookmarkStart w:id="204" w:name="_Toc238867437"/>
      <w:r>
        <w:t xml:space="preserve">Table </w:t>
      </w:r>
      <w:fldSimple w:instr=" SEQ Table \* ARABIC ">
        <w:r w:rsidR="00493733">
          <w:rPr>
            <w:noProof/>
          </w:rPr>
          <w:t>11</w:t>
        </w:r>
      </w:fldSimple>
      <w:r w:rsidR="00317936">
        <w:t xml:space="preserve">: </w:t>
      </w:r>
      <w:r w:rsidR="0093656C" w:rsidRPr="00EF0EDA">
        <w:t>Summary of Predictions for Irvine, California Home Prices</w:t>
      </w:r>
      <w:bookmarkEnd w:id="204"/>
    </w:p>
    <w:tbl>
      <w:tblPr>
        <w:tblW w:w="0" w:type="auto"/>
        <w:tblInd w:w="108" w:type="dxa"/>
        <w:tblLook w:val="04A0" w:firstRow="1" w:lastRow="0" w:firstColumn="1" w:lastColumn="0" w:noHBand="0" w:noVBand="1"/>
      </w:tblPr>
      <w:tblGrid>
        <w:gridCol w:w="3759"/>
        <w:gridCol w:w="858"/>
        <w:gridCol w:w="1274"/>
        <w:gridCol w:w="985"/>
      </w:tblGrid>
      <w:tr w:rsidR="00896A10" w:rsidRPr="00131BA8" w14:paraId="351D6FFF" w14:textId="77777777" w:rsidTr="008F1316">
        <w:trPr>
          <w:trHeight w:val="173"/>
        </w:trPr>
        <w:tc>
          <w:tcPr>
            <w:tcW w:w="0" w:type="auto"/>
            <w:tcBorders>
              <w:top w:val="nil"/>
              <w:left w:val="nil"/>
              <w:bottom w:val="single" w:sz="4" w:space="0" w:color="auto"/>
              <w:right w:val="nil"/>
            </w:tcBorders>
            <w:noWrap/>
            <w:vAlign w:val="bottom"/>
            <w:hideMark/>
          </w:tcPr>
          <w:p w14:paraId="3D752B5D" w14:textId="77777777" w:rsidR="00896A10" w:rsidRPr="00131BA8" w:rsidRDefault="00896A10" w:rsidP="00896A10">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Method</w:t>
            </w:r>
          </w:p>
        </w:tc>
        <w:tc>
          <w:tcPr>
            <w:tcW w:w="0" w:type="auto"/>
            <w:tcBorders>
              <w:top w:val="nil"/>
              <w:left w:val="nil"/>
              <w:bottom w:val="single" w:sz="4" w:space="0" w:color="auto"/>
              <w:right w:val="nil"/>
            </w:tcBorders>
            <w:vAlign w:val="bottom"/>
            <w:hideMark/>
          </w:tcPr>
          <w:p w14:paraId="530D5A50"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Total Decline</w:t>
            </w:r>
          </w:p>
        </w:tc>
        <w:tc>
          <w:tcPr>
            <w:tcW w:w="0" w:type="auto"/>
            <w:tcBorders>
              <w:top w:val="nil"/>
              <w:left w:val="nil"/>
              <w:bottom w:val="single" w:sz="4" w:space="0" w:color="auto"/>
              <w:right w:val="nil"/>
            </w:tcBorders>
            <w:vAlign w:val="bottom"/>
            <w:hideMark/>
          </w:tcPr>
          <w:p w14:paraId="424E8C80"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Appreciation Rate</w:t>
            </w:r>
          </w:p>
        </w:tc>
        <w:tc>
          <w:tcPr>
            <w:tcW w:w="0" w:type="auto"/>
            <w:tcBorders>
              <w:top w:val="nil"/>
              <w:left w:val="nil"/>
              <w:bottom w:val="single" w:sz="4" w:space="0" w:color="auto"/>
              <w:right w:val="nil"/>
            </w:tcBorders>
            <w:vAlign w:val="bottom"/>
            <w:hideMark/>
          </w:tcPr>
          <w:p w14:paraId="5A70D162"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Recovery Year</w:t>
            </w:r>
          </w:p>
        </w:tc>
      </w:tr>
      <w:tr w:rsidR="00896A10" w:rsidRPr="00131BA8" w14:paraId="0C111DAB" w14:textId="77777777" w:rsidTr="008F1316">
        <w:trPr>
          <w:trHeight w:val="173"/>
        </w:trPr>
        <w:tc>
          <w:tcPr>
            <w:tcW w:w="0" w:type="auto"/>
            <w:tcBorders>
              <w:top w:val="single" w:sz="4" w:space="0" w:color="auto"/>
              <w:left w:val="nil"/>
              <w:bottom w:val="nil"/>
              <w:right w:val="nil"/>
            </w:tcBorders>
            <w:noWrap/>
            <w:vAlign w:val="bottom"/>
            <w:hideMark/>
          </w:tcPr>
          <w:p w14:paraId="455E69D8" w14:textId="77777777" w:rsidR="00896A10" w:rsidRPr="00131BA8" w:rsidRDefault="00896A10" w:rsidP="00896A10">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S&amp;P/Case-Shiller</w:t>
            </w:r>
            <w:r w:rsidR="001858B5" w:rsidRPr="00131BA8">
              <w:rPr>
                <w:rFonts w:eastAsia="Times New Roman" w:cs="Times New Roman"/>
                <w:color w:val="000000"/>
                <w:sz w:val="18"/>
                <w:szCs w:val="18"/>
                <w:lang w:bidi="ar-SA"/>
              </w:rPr>
              <w:fldChar w:fldCharType="begin"/>
            </w:r>
            <w:r w:rsidR="00AE7D38" w:rsidRPr="00131BA8">
              <w:rPr>
                <w:sz w:val="18"/>
              </w:rPr>
              <w:instrText xml:space="preserve"> XE "</w:instrText>
            </w:r>
            <w:r w:rsidR="00AE7D38" w:rsidRPr="00131BA8">
              <w:rPr>
                <w:rFonts w:cs="Times New Roman"/>
                <w:sz w:val="18"/>
              </w:rPr>
              <w:instrText>S&amp;P/Case-Shiller</w:instrText>
            </w:r>
            <w:r w:rsidR="00AE7D38" w:rsidRPr="00131BA8">
              <w:rPr>
                <w:sz w:val="18"/>
              </w:rPr>
              <w:instrText xml:space="preserve">" </w:instrText>
            </w:r>
            <w:r w:rsidR="001858B5" w:rsidRPr="00131BA8">
              <w:rPr>
                <w:rFonts w:eastAsia="Times New Roman" w:cs="Times New Roman"/>
                <w:color w:val="000000"/>
                <w:sz w:val="18"/>
                <w:szCs w:val="18"/>
                <w:lang w:bidi="ar-SA"/>
              </w:rPr>
              <w:fldChar w:fldCharType="end"/>
            </w:r>
            <w:r w:rsidRPr="00131BA8">
              <w:rPr>
                <w:rFonts w:eastAsia="Times New Roman" w:cs="Times New Roman"/>
                <w:color w:val="000000"/>
                <w:sz w:val="18"/>
                <w:szCs w:val="18"/>
                <w:lang w:bidi="ar-SA"/>
              </w:rPr>
              <w:t xml:space="preserve"> Inflation</w:t>
            </w:r>
            <w:r w:rsidR="001858B5" w:rsidRPr="00131BA8">
              <w:rPr>
                <w:rFonts w:eastAsia="Times New Roman" w:cs="Times New Roman"/>
                <w:color w:val="000000"/>
                <w:sz w:val="18"/>
                <w:szCs w:val="18"/>
                <w:lang w:bidi="ar-SA"/>
              </w:rPr>
              <w:fldChar w:fldCharType="begin"/>
            </w:r>
            <w:r w:rsidR="00E84A0F" w:rsidRPr="00131BA8">
              <w:rPr>
                <w:sz w:val="18"/>
              </w:rPr>
              <w:instrText xml:space="preserve"> XE "</w:instrText>
            </w:r>
            <w:r w:rsidR="00E84A0F" w:rsidRPr="00131BA8">
              <w:rPr>
                <w:rFonts w:cs="Times New Roman"/>
                <w:sz w:val="18"/>
              </w:rPr>
              <w:instrText>Inflation</w:instrText>
            </w:r>
            <w:r w:rsidR="00E84A0F" w:rsidRPr="00131BA8">
              <w:rPr>
                <w:sz w:val="18"/>
              </w:rPr>
              <w:instrText xml:space="preserve">" </w:instrText>
            </w:r>
            <w:r w:rsidR="001858B5" w:rsidRPr="00131BA8">
              <w:rPr>
                <w:rFonts w:eastAsia="Times New Roman" w:cs="Times New Roman"/>
                <w:color w:val="000000"/>
                <w:sz w:val="18"/>
                <w:szCs w:val="18"/>
                <w:lang w:bidi="ar-SA"/>
              </w:rPr>
              <w:fldChar w:fldCharType="end"/>
            </w:r>
            <w:r w:rsidRPr="00131BA8">
              <w:rPr>
                <w:rFonts w:eastAsia="Times New Roman" w:cs="Times New Roman"/>
                <w:color w:val="000000"/>
                <w:sz w:val="18"/>
                <w:szCs w:val="18"/>
                <w:lang w:bidi="ar-SA"/>
              </w:rPr>
              <w:t xml:space="preserve"> Support</w:t>
            </w:r>
          </w:p>
        </w:tc>
        <w:tc>
          <w:tcPr>
            <w:tcW w:w="0" w:type="auto"/>
            <w:tcBorders>
              <w:top w:val="single" w:sz="4" w:space="0" w:color="auto"/>
              <w:left w:val="nil"/>
              <w:bottom w:val="nil"/>
              <w:right w:val="nil"/>
            </w:tcBorders>
            <w:noWrap/>
            <w:vAlign w:val="bottom"/>
            <w:hideMark/>
          </w:tcPr>
          <w:p w14:paraId="520F6600"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55%</w:t>
            </w:r>
          </w:p>
        </w:tc>
        <w:tc>
          <w:tcPr>
            <w:tcW w:w="0" w:type="auto"/>
            <w:tcBorders>
              <w:top w:val="single" w:sz="4" w:space="0" w:color="auto"/>
              <w:left w:val="nil"/>
              <w:bottom w:val="nil"/>
              <w:right w:val="nil"/>
            </w:tcBorders>
            <w:noWrap/>
            <w:vAlign w:val="bottom"/>
            <w:hideMark/>
          </w:tcPr>
          <w:p w14:paraId="33C8E25F"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3.3%</w:t>
            </w:r>
          </w:p>
        </w:tc>
        <w:tc>
          <w:tcPr>
            <w:tcW w:w="0" w:type="auto"/>
            <w:tcBorders>
              <w:top w:val="single" w:sz="4" w:space="0" w:color="auto"/>
              <w:left w:val="nil"/>
              <w:bottom w:val="nil"/>
              <w:right w:val="nil"/>
            </w:tcBorders>
            <w:noWrap/>
            <w:vAlign w:val="bottom"/>
            <w:hideMark/>
          </w:tcPr>
          <w:p w14:paraId="3CA11E38"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2039</w:t>
            </w:r>
          </w:p>
        </w:tc>
      </w:tr>
      <w:tr w:rsidR="00896A10" w:rsidRPr="00131BA8" w14:paraId="0BFE3BA9" w14:textId="77777777" w:rsidTr="008F1316">
        <w:trPr>
          <w:trHeight w:val="173"/>
        </w:trPr>
        <w:tc>
          <w:tcPr>
            <w:tcW w:w="0" w:type="auto"/>
            <w:tcBorders>
              <w:top w:val="nil"/>
              <w:left w:val="nil"/>
              <w:bottom w:val="nil"/>
              <w:right w:val="nil"/>
            </w:tcBorders>
            <w:noWrap/>
            <w:vAlign w:val="bottom"/>
            <w:hideMark/>
          </w:tcPr>
          <w:p w14:paraId="07ABDC00" w14:textId="77777777" w:rsidR="00896A10" w:rsidRPr="00131BA8" w:rsidRDefault="00896A10" w:rsidP="00896A10">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Median House Price and Historic Appreciation</w:t>
            </w:r>
          </w:p>
        </w:tc>
        <w:tc>
          <w:tcPr>
            <w:tcW w:w="0" w:type="auto"/>
            <w:tcBorders>
              <w:top w:val="nil"/>
              <w:left w:val="nil"/>
              <w:bottom w:val="nil"/>
              <w:right w:val="nil"/>
            </w:tcBorders>
            <w:noWrap/>
            <w:vAlign w:val="bottom"/>
            <w:hideMark/>
          </w:tcPr>
          <w:p w14:paraId="6723AC49"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45%</w:t>
            </w:r>
          </w:p>
        </w:tc>
        <w:tc>
          <w:tcPr>
            <w:tcW w:w="0" w:type="auto"/>
            <w:tcBorders>
              <w:top w:val="nil"/>
              <w:left w:val="nil"/>
              <w:bottom w:val="nil"/>
              <w:right w:val="nil"/>
            </w:tcBorders>
            <w:noWrap/>
            <w:vAlign w:val="bottom"/>
            <w:hideMark/>
          </w:tcPr>
          <w:p w14:paraId="5E9566E0"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4.4%</w:t>
            </w:r>
          </w:p>
        </w:tc>
        <w:tc>
          <w:tcPr>
            <w:tcW w:w="0" w:type="auto"/>
            <w:tcBorders>
              <w:top w:val="nil"/>
              <w:left w:val="nil"/>
              <w:bottom w:val="nil"/>
              <w:right w:val="nil"/>
            </w:tcBorders>
            <w:noWrap/>
            <w:vAlign w:val="bottom"/>
            <w:hideMark/>
          </w:tcPr>
          <w:p w14:paraId="249890F8"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2023</w:t>
            </w:r>
          </w:p>
        </w:tc>
      </w:tr>
      <w:tr w:rsidR="00896A10" w:rsidRPr="00131BA8" w14:paraId="57787FA7" w14:textId="77777777" w:rsidTr="008F1316">
        <w:trPr>
          <w:trHeight w:val="173"/>
        </w:trPr>
        <w:tc>
          <w:tcPr>
            <w:tcW w:w="0" w:type="auto"/>
            <w:tcBorders>
              <w:top w:val="nil"/>
              <w:left w:val="nil"/>
              <w:bottom w:val="nil"/>
              <w:right w:val="nil"/>
            </w:tcBorders>
            <w:noWrap/>
            <w:vAlign w:val="bottom"/>
            <w:hideMark/>
          </w:tcPr>
          <w:p w14:paraId="33437366" w14:textId="77777777" w:rsidR="00896A10" w:rsidRPr="00131BA8" w:rsidRDefault="00896A10" w:rsidP="00896A10">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Price-To-Rent Ratio</w:t>
            </w:r>
          </w:p>
        </w:tc>
        <w:tc>
          <w:tcPr>
            <w:tcW w:w="0" w:type="auto"/>
            <w:tcBorders>
              <w:top w:val="nil"/>
              <w:left w:val="nil"/>
              <w:bottom w:val="nil"/>
              <w:right w:val="nil"/>
            </w:tcBorders>
            <w:noWrap/>
            <w:vAlign w:val="bottom"/>
            <w:hideMark/>
          </w:tcPr>
          <w:p w14:paraId="3DAEE1F4"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22%</w:t>
            </w:r>
          </w:p>
        </w:tc>
        <w:tc>
          <w:tcPr>
            <w:tcW w:w="0" w:type="auto"/>
            <w:tcBorders>
              <w:top w:val="nil"/>
              <w:left w:val="nil"/>
              <w:bottom w:val="nil"/>
              <w:right w:val="nil"/>
            </w:tcBorders>
            <w:noWrap/>
            <w:vAlign w:val="bottom"/>
            <w:hideMark/>
          </w:tcPr>
          <w:p w14:paraId="791F1592"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4.7%</w:t>
            </w:r>
          </w:p>
        </w:tc>
        <w:tc>
          <w:tcPr>
            <w:tcW w:w="0" w:type="auto"/>
            <w:tcBorders>
              <w:top w:val="nil"/>
              <w:left w:val="nil"/>
              <w:bottom w:val="nil"/>
              <w:right w:val="nil"/>
            </w:tcBorders>
            <w:noWrap/>
            <w:vAlign w:val="bottom"/>
            <w:hideMark/>
          </w:tcPr>
          <w:p w14:paraId="388B6A44"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2019</w:t>
            </w:r>
          </w:p>
        </w:tc>
      </w:tr>
      <w:tr w:rsidR="00896A10" w:rsidRPr="00131BA8" w14:paraId="0BF131C9" w14:textId="77777777" w:rsidTr="008F1316">
        <w:trPr>
          <w:trHeight w:val="173"/>
        </w:trPr>
        <w:tc>
          <w:tcPr>
            <w:tcW w:w="0" w:type="auto"/>
            <w:tcBorders>
              <w:top w:val="nil"/>
              <w:left w:val="nil"/>
              <w:bottom w:val="single" w:sz="4" w:space="0" w:color="auto"/>
              <w:right w:val="nil"/>
            </w:tcBorders>
            <w:noWrap/>
            <w:vAlign w:val="bottom"/>
            <w:hideMark/>
          </w:tcPr>
          <w:p w14:paraId="44C61869" w14:textId="77777777" w:rsidR="00896A10" w:rsidRPr="00131BA8" w:rsidRDefault="00896A10" w:rsidP="00896A10">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Price-To-Income Ratio</w:t>
            </w:r>
          </w:p>
        </w:tc>
        <w:tc>
          <w:tcPr>
            <w:tcW w:w="0" w:type="auto"/>
            <w:tcBorders>
              <w:top w:val="nil"/>
              <w:left w:val="nil"/>
              <w:bottom w:val="single" w:sz="4" w:space="0" w:color="auto"/>
              <w:right w:val="nil"/>
            </w:tcBorders>
            <w:noWrap/>
            <w:vAlign w:val="bottom"/>
            <w:hideMark/>
          </w:tcPr>
          <w:p w14:paraId="7EA35FD0"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43%</w:t>
            </w:r>
          </w:p>
        </w:tc>
        <w:tc>
          <w:tcPr>
            <w:tcW w:w="0" w:type="auto"/>
            <w:tcBorders>
              <w:top w:val="nil"/>
              <w:left w:val="nil"/>
              <w:bottom w:val="single" w:sz="4" w:space="0" w:color="auto"/>
              <w:right w:val="nil"/>
            </w:tcBorders>
            <w:noWrap/>
            <w:vAlign w:val="bottom"/>
            <w:hideMark/>
          </w:tcPr>
          <w:p w14:paraId="5C9FAF70"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3.2%</w:t>
            </w:r>
          </w:p>
        </w:tc>
        <w:tc>
          <w:tcPr>
            <w:tcW w:w="0" w:type="auto"/>
            <w:tcBorders>
              <w:top w:val="nil"/>
              <w:left w:val="nil"/>
              <w:bottom w:val="single" w:sz="4" w:space="0" w:color="auto"/>
              <w:right w:val="nil"/>
            </w:tcBorders>
            <w:noWrap/>
            <w:vAlign w:val="bottom"/>
            <w:hideMark/>
          </w:tcPr>
          <w:p w14:paraId="751A45B5"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2029</w:t>
            </w:r>
          </w:p>
        </w:tc>
      </w:tr>
      <w:tr w:rsidR="00896A10" w:rsidRPr="00131BA8" w14:paraId="238513CB" w14:textId="77777777" w:rsidTr="008F1316">
        <w:trPr>
          <w:trHeight w:val="173"/>
        </w:trPr>
        <w:tc>
          <w:tcPr>
            <w:tcW w:w="0" w:type="auto"/>
            <w:tcBorders>
              <w:top w:val="nil"/>
              <w:left w:val="nil"/>
              <w:bottom w:val="nil"/>
              <w:right w:val="nil"/>
            </w:tcBorders>
            <w:noWrap/>
            <w:vAlign w:val="bottom"/>
            <w:hideMark/>
          </w:tcPr>
          <w:p w14:paraId="3F0F9741" w14:textId="77777777" w:rsidR="00896A10" w:rsidRPr="00131BA8" w:rsidRDefault="00896A10" w:rsidP="00896A10">
            <w:pPr>
              <w:keepLines/>
              <w:ind w:firstLine="0"/>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542A6B09"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41%</w:t>
            </w:r>
          </w:p>
        </w:tc>
        <w:tc>
          <w:tcPr>
            <w:tcW w:w="0" w:type="auto"/>
            <w:tcBorders>
              <w:top w:val="nil"/>
              <w:left w:val="nil"/>
              <w:bottom w:val="nil"/>
              <w:right w:val="nil"/>
            </w:tcBorders>
            <w:noWrap/>
            <w:vAlign w:val="bottom"/>
            <w:hideMark/>
          </w:tcPr>
          <w:p w14:paraId="7A590A9D"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3.9%</w:t>
            </w:r>
          </w:p>
        </w:tc>
        <w:tc>
          <w:tcPr>
            <w:tcW w:w="0" w:type="auto"/>
            <w:tcBorders>
              <w:top w:val="nil"/>
              <w:left w:val="nil"/>
              <w:bottom w:val="nil"/>
              <w:right w:val="nil"/>
            </w:tcBorders>
            <w:noWrap/>
            <w:vAlign w:val="bottom"/>
            <w:hideMark/>
          </w:tcPr>
          <w:p w14:paraId="44F91AC7" w14:textId="77777777" w:rsidR="00896A10" w:rsidRPr="00131BA8" w:rsidRDefault="00896A10" w:rsidP="00896A10">
            <w:pPr>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2028</w:t>
            </w:r>
          </w:p>
        </w:tc>
      </w:tr>
      <w:tr w:rsidR="00896A10" w:rsidRPr="00131BA8" w14:paraId="2E342649" w14:textId="77777777" w:rsidTr="008F1316">
        <w:trPr>
          <w:trHeight w:val="173"/>
        </w:trPr>
        <w:tc>
          <w:tcPr>
            <w:tcW w:w="0" w:type="auto"/>
            <w:gridSpan w:val="3"/>
            <w:tcBorders>
              <w:top w:val="nil"/>
              <w:left w:val="nil"/>
              <w:bottom w:val="nil"/>
              <w:right w:val="nil"/>
            </w:tcBorders>
            <w:noWrap/>
            <w:vAlign w:val="bottom"/>
            <w:hideMark/>
          </w:tcPr>
          <w:p w14:paraId="435521DF" w14:textId="77777777" w:rsidR="00896A10" w:rsidRPr="00131BA8" w:rsidRDefault="00896A10" w:rsidP="00896A10">
            <w:pPr>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 The appreciation</w:t>
            </w:r>
            <w:r w:rsidR="001858B5" w:rsidRPr="00131BA8">
              <w:rPr>
                <w:rFonts w:eastAsia="Times New Roman" w:cs="Times New Roman"/>
                <w:color w:val="000000"/>
                <w:sz w:val="18"/>
                <w:szCs w:val="18"/>
                <w:lang w:bidi="ar-SA"/>
              </w:rPr>
              <w:fldChar w:fldCharType="begin"/>
            </w:r>
            <w:r w:rsidR="00FA2AEF" w:rsidRPr="00131BA8">
              <w:rPr>
                <w:sz w:val="18"/>
              </w:rPr>
              <w:instrText xml:space="preserve"> XE "</w:instrText>
            </w:r>
            <w:r w:rsidR="00FA2AEF" w:rsidRPr="00131BA8">
              <w:rPr>
                <w:rFonts w:cs="Times New Roman"/>
                <w:sz w:val="18"/>
              </w:rPr>
              <w:instrText>appreciation</w:instrText>
            </w:r>
            <w:r w:rsidR="00FA2AEF" w:rsidRPr="00131BA8">
              <w:rPr>
                <w:sz w:val="18"/>
              </w:rPr>
              <w:instrText xml:space="preserve">" </w:instrText>
            </w:r>
            <w:r w:rsidR="001858B5" w:rsidRPr="00131BA8">
              <w:rPr>
                <w:rFonts w:eastAsia="Times New Roman" w:cs="Times New Roman"/>
                <w:color w:val="000000"/>
                <w:sz w:val="18"/>
                <w:szCs w:val="18"/>
                <w:lang w:bidi="ar-SA"/>
              </w:rPr>
              <w:fldChar w:fldCharType="end"/>
            </w:r>
            <w:r w:rsidRPr="00131BA8">
              <w:rPr>
                <w:rFonts w:eastAsia="Times New Roman" w:cs="Times New Roman"/>
                <w:color w:val="000000"/>
                <w:sz w:val="18"/>
                <w:szCs w:val="18"/>
                <w:lang w:bidi="ar-SA"/>
              </w:rPr>
              <w:t xml:space="preserve"> rate of 3.9% moved up the recovery year to 2025</w:t>
            </w:r>
          </w:p>
        </w:tc>
        <w:tc>
          <w:tcPr>
            <w:tcW w:w="0" w:type="auto"/>
            <w:tcBorders>
              <w:top w:val="nil"/>
              <w:left w:val="nil"/>
              <w:bottom w:val="nil"/>
              <w:right w:val="nil"/>
            </w:tcBorders>
            <w:noWrap/>
            <w:vAlign w:val="bottom"/>
            <w:hideMark/>
          </w:tcPr>
          <w:p w14:paraId="34013AA9" w14:textId="77777777" w:rsidR="00896A10" w:rsidRPr="00131BA8" w:rsidRDefault="00896A10" w:rsidP="00896A10">
            <w:pPr>
              <w:keepLines/>
              <w:ind w:firstLine="0"/>
              <w:rPr>
                <w:rFonts w:eastAsia="Times New Roman" w:cs="Times New Roman"/>
                <w:color w:val="000000"/>
                <w:sz w:val="18"/>
                <w:szCs w:val="18"/>
                <w:lang w:bidi="ar-SA"/>
              </w:rPr>
            </w:pPr>
          </w:p>
        </w:tc>
      </w:tr>
    </w:tbl>
    <w:p w14:paraId="21AD7D89" w14:textId="77777777" w:rsidR="0093656C" w:rsidRPr="00124B71" w:rsidRDefault="0093656C" w:rsidP="0093656C">
      <w:pPr>
        <w:rPr>
          <w:rFonts w:cs="Times New Roman"/>
        </w:rPr>
      </w:pPr>
    </w:p>
    <w:p w14:paraId="17B5C165" w14:textId="77777777" w:rsidR="00E05629" w:rsidRPr="00124B71" w:rsidRDefault="00E05629" w:rsidP="00E05629">
      <w:pPr>
        <w:rPr>
          <w:rFonts w:cs="Times New Roman"/>
        </w:rPr>
      </w:pPr>
      <w:r w:rsidRPr="00124B71">
        <w:rPr>
          <w:rFonts w:cs="Times New Roman"/>
        </w:rPr>
        <w:t>The range of predictions for the decline of home</w:t>
      </w:r>
      <w:r w:rsidR="008219F4">
        <w:rPr>
          <w:rFonts w:cs="Times New Roman"/>
        </w:rPr>
        <w:t xml:space="preserve"> </w:t>
      </w:r>
      <w:r w:rsidR="00A826B4" w:rsidRPr="00124B71">
        <w:rPr>
          <w:rFonts w:cs="Times New Roman"/>
        </w:rPr>
        <w:t xml:space="preserve">prices </w:t>
      </w:r>
      <w:r w:rsidR="008219F4">
        <w:rPr>
          <w:rFonts w:cs="Times New Roman"/>
        </w:rPr>
        <w:t>in</w:t>
      </w:r>
      <w:r w:rsidRPr="00124B71">
        <w:rPr>
          <w:rFonts w:cs="Times New Roman"/>
        </w:rPr>
        <w:t xml:space="preserve"> </w:t>
      </w:r>
      <w:r w:rsidR="008219F4" w:rsidRPr="00124B71">
        <w:rPr>
          <w:rFonts w:cs="Times New Roman"/>
        </w:rPr>
        <w:t xml:space="preserve">Irvine, California, </w:t>
      </w:r>
      <w:r w:rsidRPr="00124B71">
        <w:rPr>
          <w:rFonts w:cs="Times New Roman"/>
        </w:rPr>
        <w:t>is from 22% to 53% with an average of 41%. The predicted time of peak-to-peak recovery ranges from 2019 to 2033 with an average of 2028. Of course, since Irvine is in the heart of a bubble-prone market, recovery may happen more quickly, but then again, that would mean prices have entered another unsustainable price bubble.</w:t>
      </w:r>
    </w:p>
    <w:p w14:paraId="32C90440" w14:textId="5ACAE100" w:rsidR="0093656C" w:rsidRPr="00EF0EDA" w:rsidRDefault="00CF05FE" w:rsidP="00896A10">
      <w:pPr>
        <w:pStyle w:val="Caption"/>
      </w:pPr>
      <w:bookmarkStart w:id="205" w:name="_Toc238867495"/>
      <w:r>
        <w:t>Figure</w:t>
      </w:r>
      <w:r w:rsidR="00896A10" w:rsidRPr="00EF0EDA">
        <w:t xml:space="preserve"> </w:t>
      </w:r>
      <w:fldSimple w:instr=" SEQ Figure \* ARABIC ">
        <w:r w:rsidR="00493733">
          <w:rPr>
            <w:noProof/>
          </w:rPr>
          <w:t>54</w:t>
        </w:r>
      </w:fldSimple>
      <w:r w:rsidR="00317936">
        <w:t xml:space="preserve">: </w:t>
      </w:r>
      <w:r w:rsidR="00896A10" w:rsidRPr="00EF0EDA">
        <w:t>Irvine, California, Median House Price Prediction</w:t>
      </w:r>
      <w:r w:rsidR="00D24C1E">
        <w:t>,</w:t>
      </w:r>
      <w:r w:rsidR="00896A10" w:rsidRPr="00EF0EDA">
        <w:t xml:space="preserve"> 2004-2025</w:t>
      </w:r>
      <w:bookmarkEnd w:id="205"/>
    </w:p>
    <w:p w14:paraId="64B4ECCE" w14:textId="77777777" w:rsidR="0093656C" w:rsidRPr="00EF0EDA" w:rsidRDefault="00C863CF" w:rsidP="008F1316">
      <w:pPr>
        <w:pStyle w:val="Graphics"/>
      </w:pPr>
      <w:r>
        <w:drawing>
          <wp:inline distT="0" distB="0" distL="0" distR="0" wp14:anchorId="04C3A76B" wp14:editId="60FA5896">
            <wp:extent cx="3599793" cy="2609850"/>
            <wp:effectExtent l="19050" t="0" r="657" b="0"/>
            <wp:docPr id="119" name="Picture 118" descr="Irvine, California, Median House Price Prediction 2004-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vine, California, Median House Price Prediction 2004-2025.jpg"/>
                    <pic:cNvPicPr/>
                  </pic:nvPicPr>
                  <pic:blipFill>
                    <a:blip r:embed="rId92"/>
                    <a:stretch>
                      <a:fillRect/>
                    </a:stretch>
                  </pic:blipFill>
                  <pic:spPr>
                    <a:xfrm>
                      <a:off x="0" y="0"/>
                      <a:ext cx="3604973" cy="2613605"/>
                    </a:xfrm>
                    <a:prstGeom prst="rect">
                      <a:avLst/>
                    </a:prstGeom>
                  </pic:spPr>
                </pic:pic>
              </a:graphicData>
            </a:graphic>
          </wp:inline>
        </w:drawing>
      </w:r>
    </w:p>
    <w:p w14:paraId="0BED87B6" w14:textId="77777777" w:rsidR="000144CC" w:rsidRPr="00124B71" w:rsidRDefault="000144CC" w:rsidP="000144CC">
      <w:pPr>
        <w:rPr>
          <w:rFonts w:cs="Times New Roman"/>
        </w:rPr>
      </w:pPr>
      <w:r w:rsidRPr="00124B71">
        <w:rPr>
          <w:rFonts w:cs="Times New Roman"/>
        </w:rPr>
        <w:lastRenderedPageBreak/>
        <w:t>Predictions for Irvine, California, are based on a 3.9% rate of fundamental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as wage growth and rental rate growth have consistently outpaced national averages. The origin point is the intersection of the last two stable bottoming periods in 1984-1987 and 1995-1999. The 41% decline is the average of the four analysis methods, and the rate of decline is projected in the same manner as the national statistics. </w:t>
      </w:r>
      <w:r w:rsidR="00027320" w:rsidRPr="00124B71">
        <w:rPr>
          <w:rFonts w:cs="Times New Roman"/>
        </w:rPr>
        <w:t>In</w:t>
      </w:r>
      <w:r w:rsidRPr="00124B71">
        <w:rPr>
          <w:rFonts w:cs="Times New Roman"/>
        </w:rPr>
        <w:t xml:space="preserve"> Irvine, California, </w:t>
      </w:r>
      <w:r w:rsidR="00027320">
        <w:rPr>
          <w:rFonts w:cs="Times New Roman"/>
        </w:rPr>
        <w:t>p</w:t>
      </w:r>
      <w:r w:rsidR="00027320" w:rsidRPr="00124B71">
        <w:rPr>
          <w:rFonts w:cs="Times New Roman"/>
        </w:rPr>
        <w:t xml:space="preserve">rices </w:t>
      </w:r>
      <w:r w:rsidRPr="00124B71">
        <w:rPr>
          <w:rFonts w:cs="Times New Roman"/>
        </w:rPr>
        <w:t>peaked around $723,000 in 2006, and they should bottom out in 2011 along with the rest of the country. If the fundamental appreciation rate of 3.9% is accurate, the previous peak will be reached in 2025</w:t>
      </w:r>
      <w:r w:rsidR="007C469A">
        <w:rPr>
          <w:rFonts w:cs="Times New Roman"/>
        </w:rPr>
        <w:t>–</w:t>
      </w:r>
      <w:r w:rsidRPr="00124B71">
        <w:rPr>
          <w:rFonts w:cs="Times New Roman"/>
        </w:rPr>
        <w:t>a 19 year span from peak to peak.</w:t>
      </w:r>
    </w:p>
    <w:p w14:paraId="327C01AC" w14:textId="77777777" w:rsidR="00A80B70" w:rsidRPr="00EF0EDA" w:rsidRDefault="00A80B70" w:rsidP="00A80B70">
      <w:pPr>
        <w:pStyle w:val="Heading2"/>
      </w:pPr>
      <w:bookmarkStart w:id="206" w:name="_Toc238867387"/>
      <w:r w:rsidRPr="00EF0EDA">
        <w:t>Price Decline Influences</w:t>
      </w:r>
      <w:bookmarkEnd w:id="206"/>
    </w:p>
    <w:p w14:paraId="5A58F1EF" w14:textId="77777777" w:rsidR="009749D7" w:rsidRPr="00124B71" w:rsidRDefault="009749D7" w:rsidP="00C02EF1">
      <w:pPr>
        <w:rPr>
          <w:rFonts w:cs="Times New Roman"/>
        </w:rPr>
      </w:pPr>
      <w:r w:rsidRPr="00124B71">
        <w:rPr>
          <w:rFonts w:cs="Times New Roman"/>
        </w:rPr>
        <w:t xml:space="preserve">There are a number of factors that will influence the timing and the depth of the price decline. There are a number of psychological factors and technical factors in play. </w:t>
      </w:r>
      <w:r w:rsidR="005A0B2B" w:rsidRPr="00124B71">
        <w:rPr>
          <w:rStyle w:val="EndnoteReference"/>
          <w:rFonts w:cs="Times New Roman"/>
        </w:rPr>
        <w:endnoteReference w:id="127"/>
      </w:r>
      <w:r w:rsidR="005A0B2B" w:rsidRPr="00124B71">
        <w:rPr>
          <w:rFonts w:cs="Times New Roman"/>
        </w:rPr>
        <w:t xml:space="preserve"> </w:t>
      </w:r>
      <w:r w:rsidRPr="00124B71">
        <w:rPr>
          <w:rFonts w:cs="Times New Roman"/>
        </w:rPr>
        <w:t>These include:</w:t>
      </w:r>
    </w:p>
    <w:p w14:paraId="21463E7C" w14:textId="77777777" w:rsidR="00F94749" w:rsidRPr="00EF0EDA" w:rsidRDefault="00F94749" w:rsidP="00A80B70">
      <w:pPr>
        <w:pStyle w:val="ListParagraph"/>
        <w:numPr>
          <w:ilvl w:val="0"/>
          <w:numId w:val="14"/>
        </w:numPr>
      </w:pPr>
      <w:r w:rsidRPr="00EF0EDA">
        <w:t>Smaller Debt-to-Income Ratios</w:t>
      </w:r>
    </w:p>
    <w:p w14:paraId="1ED7DAAA" w14:textId="77777777" w:rsidR="00A80B70" w:rsidRPr="00EF0EDA" w:rsidRDefault="00A80B70" w:rsidP="00A80B70">
      <w:pPr>
        <w:pStyle w:val="ListParagraph"/>
        <w:numPr>
          <w:ilvl w:val="0"/>
          <w:numId w:val="14"/>
        </w:numPr>
      </w:pPr>
      <w:r w:rsidRPr="00EF0EDA">
        <w:t>Increasing Interest Rates and Tightening Credit</w:t>
      </w:r>
    </w:p>
    <w:p w14:paraId="59EC6766" w14:textId="77777777" w:rsidR="00A80B70" w:rsidRPr="00EF0EDA" w:rsidRDefault="00F94749" w:rsidP="00A80B70">
      <w:pPr>
        <w:pStyle w:val="ListParagraph"/>
        <w:numPr>
          <w:ilvl w:val="0"/>
          <w:numId w:val="14"/>
        </w:numPr>
      </w:pPr>
      <w:r w:rsidRPr="00EF0EDA">
        <w:t xml:space="preserve">Higher </w:t>
      </w:r>
      <w:r w:rsidR="00A80B70" w:rsidRPr="00EF0EDA">
        <w:t>Unemployment</w:t>
      </w:r>
    </w:p>
    <w:p w14:paraId="5D47A45F" w14:textId="77777777" w:rsidR="00A80B70" w:rsidRPr="00EF0EDA" w:rsidRDefault="00A80B70" w:rsidP="00A80B70">
      <w:pPr>
        <w:pStyle w:val="ListParagraph"/>
        <w:numPr>
          <w:ilvl w:val="0"/>
          <w:numId w:val="14"/>
        </w:numPr>
      </w:pPr>
      <w:r w:rsidRPr="00EF0EDA">
        <w:t>Foreclosures</w:t>
      </w:r>
    </w:p>
    <w:p w14:paraId="2079B511" w14:textId="77777777" w:rsidR="00A80B70" w:rsidRPr="00EF0EDA" w:rsidRDefault="00A80B70" w:rsidP="00A80B70">
      <w:pPr>
        <w:pStyle w:val="ListParagraph"/>
        <w:numPr>
          <w:ilvl w:val="0"/>
          <w:numId w:val="14"/>
        </w:numPr>
      </w:pPr>
      <w:r w:rsidRPr="00EF0EDA">
        <w:t>Decrease in Ownership Rates</w:t>
      </w:r>
    </w:p>
    <w:p w14:paraId="78241DDF" w14:textId="77777777" w:rsidR="00A80B70" w:rsidRPr="00EF0EDA" w:rsidRDefault="00A80B70" w:rsidP="00793550">
      <w:pPr>
        <w:pStyle w:val="ListParagraph"/>
        <w:numPr>
          <w:ilvl w:val="0"/>
          <w:numId w:val="14"/>
        </w:numPr>
        <w:spacing w:after="60"/>
      </w:pPr>
      <w:r w:rsidRPr="00EF0EDA">
        <w:t>Government Intervention</w:t>
      </w:r>
    </w:p>
    <w:p w14:paraId="1C9AE5E8" w14:textId="77777777" w:rsidR="00A80B70" w:rsidRPr="00124B71" w:rsidRDefault="00F94749" w:rsidP="00A80B70">
      <w:pPr>
        <w:rPr>
          <w:rFonts w:cs="Times New Roman"/>
        </w:rPr>
      </w:pPr>
      <w:r w:rsidRPr="00124B71">
        <w:rPr>
          <w:rFonts w:cs="Times New Roman"/>
        </w:rPr>
        <w:t>Smaller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ratios impact the market because buyers tend to put a smaller percentage of income toward housing payments during price declines. Increasing interest rates decrease the amount borrowers can finance and use to bid on real estate, and tightening credit decreases the size of the borrower pool</w:t>
      </w:r>
      <w:r w:rsidR="00C7753E" w:rsidRPr="00124B71">
        <w:rPr>
          <w:rFonts w:cs="Times New Roman"/>
        </w:rPr>
        <w:t xml:space="preserve"> and thereby lowers demand</w:t>
      </w:r>
      <w:r w:rsidRPr="00124B71">
        <w:rPr>
          <w:rFonts w:cs="Times New Roman"/>
        </w:rPr>
        <w:t>.</w:t>
      </w:r>
      <w:r w:rsidR="00404FAE" w:rsidRPr="00124B71">
        <w:rPr>
          <w:rFonts w:cs="Times New Roman"/>
        </w:rPr>
        <w:t xml:space="preserve"> A deteriorating economy and higher rates of unemployment</w:t>
      </w:r>
      <w:r w:rsidR="001858B5">
        <w:rPr>
          <w:rFonts w:cs="Times New Roman"/>
        </w:rPr>
        <w:fldChar w:fldCharType="begin"/>
      </w:r>
      <w:r w:rsidR="00FB4BC9">
        <w:instrText xml:space="preserve"> XE "</w:instrText>
      </w:r>
      <w:r w:rsidR="00FB4BC9" w:rsidRPr="00E7306C">
        <w:rPr>
          <w:rFonts w:cs="Times New Roman"/>
        </w:rPr>
        <w:instrText>unemployment</w:instrText>
      </w:r>
      <w:r w:rsidR="00FB4BC9">
        <w:instrText xml:space="preserve">" </w:instrText>
      </w:r>
      <w:r w:rsidR="001858B5">
        <w:rPr>
          <w:rFonts w:cs="Times New Roman"/>
        </w:rPr>
        <w:fldChar w:fldCharType="end"/>
      </w:r>
      <w:r w:rsidR="00404FAE" w:rsidRPr="00124B71">
        <w:rPr>
          <w:rFonts w:cs="Times New Roman"/>
        </w:rPr>
        <w:t xml:space="preserve"> means there are fewer buyers with the income to purchase homes, and more homeowners are put in financial distress. High rates of financial distress caused by unemployment or the resetting of adjustable rate mortgages in a higher interest rate environment leads to more foreclosures. Large numbers of foreclosures adds to market inventories and work</w:t>
      </w:r>
      <w:r w:rsidR="0098795E" w:rsidRPr="00124B71">
        <w:rPr>
          <w:rFonts w:cs="Times New Roman"/>
        </w:rPr>
        <w:t>s</w:t>
      </w:r>
      <w:r w:rsidR="00404FAE" w:rsidRPr="00124B71">
        <w:rPr>
          <w:rFonts w:cs="Times New Roman"/>
        </w:rPr>
        <w:t xml:space="preserve"> to push prices lower. The ultimate unknown factor is the meddling of the US Government in the financial markets. A bailout program for homeowners or lenders could radically alter the course of price</w:t>
      </w:r>
      <w:r w:rsidR="0098795E" w:rsidRPr="00124B71">
        <w:rPr>
          <w:rFonts w:cs="Times New Roman"/>
        </w:rPr>
        <w:t xml:space="preserve"> movement</w:t>
      </w:r>
      <w:r w:rsidR="00404FAE" w:rsidRPr="00124B71">
        <w:rPr>
          <w:rFonts w:cs="Times New Roman"/>
        </w:rPr>
        <w:t>.</w:t>
      </w:r>
    </w:p>
    <w:p w14:paraId="7D72AC5A" w14:textId="77777777" w:rsidR="0056372B" w:rsidRPr="00EF0EDA" w:rsidRDefault="0056372B" w:rsidP="00A80B70">
      <w:pPr>
        <w:pStyle w:val="Heading3"/>
      </w:pPr>
      <w:bookmarkStart w:id="207" w:name="_Toc238867388"/>
      <w:r w:rsidRPr="00EF0EDA">
        <w:t>Debt-to-Income Ratios</w:t>
      </w:r>
      <w:bookmarkEnd w:id="207"/>
    </w:p>
    <w:p w14:paraId="334AE5F1" w14:textId="77777777" w:rsidR="00F617D1" w:rsidRPr="00124B71" w:rsidRDefault="00F617D1" w:rsidP="00C02EF1">
      <w:pPr>
        <w:rPr>
          <w:rFonts w:cs="Times New Roman"/>
        </w:rPr>
      </w:pPr>
      <w:r w:rsidRPr="00124B71">
        <w:rPr>
          <w:rFonts w:cs="Times New Roman"/>
        </w:rPr>
        <w:t>The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Pr="00124B71">
        <w:rPr>
          <w:rFonts w:cs="Times New Roman"/>
        </w:rPr>
        <w:t xml:space="preserve"> is a measure of how far buyers are “stretching” to buy real estate. Buyers have historically committed larger sums to purchase real estate when prices are rising in order to capture the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of rising prices. Conversely, buyers have historically committed smaller and smaller percentages of their income toward buying real estate when prices are declining because there is little incentive to overpay. Some may look at this phenomenon as a passive effect of the rise and fall of prices, but since buying is a choice, the fluctuation in debt-to-income ratios is an active force on prices in the market.</w:t>
      </w:r>
    </w:p>
    <w:p w14:paraId="5B6421F2" w14:textId="103E206C" w:rsidR="00796768" w:rsidRPr="00EF0EDA" w:rsidRDefault="00CF05FE" w:rsidP="00A80B70">
      <w:pPr>
        <w:pStyle w:val="Caption"/>
        <w:rPr>
          <w:sz w:val="24"/>
          <w:szCs w:val="24"/>
        </w:rPr>
      </w:pPr>
      <w:bookmarkStart w:id="208" w:name="_Toc238867496"/>
      <w:r>
        <w:lastRenderedPageBreak/>
        <w:t>Figure</w:t>
      </w:r>
      <w:r w:rsidR="00796768" w:rsidRPr="00EF0EDA">
        <w:t xml:space="preserve"> </w:t>
      </w:r>
      <w:fldSimple w:instr=" SEQ Figure \* ARABIC ">
        <w:r w:rsidR="00493733">
          <w:rPr>
            <w:noProof/>
          </w:rPr>
          <w:t>55</w:t>
        </w:r>
      </w:fldSimple>
      <w:r w:rsidR="00317936">
        <w:t xml:space="preserve">: </w:t>
      </w:r>
      <w:r w:rsidR="00796768" w:rsidRPr="00EF0EDA">
        <w:t>National Mortgage Obligation Ratio</w:t>
      </w:r>
      <w:r w:rsidR="00D24C1E">
        <w:t>,</w:t>
      </w:r>
      <w:r w:rsidR="00796768" w:rsidRPr="00EF0EDA">
        <w:t xml:space="preserve"> 1980-2007</w:t>
      </w:r>
      <w:bookmarkEnd w:id="208"/>
    </w:p>
    <w:p w14:paraId="2B772120" w14:textId="77777777" w:rsidR="00796768" w:rsidRPr="00EF0EDA" w:rsidRDefault="00C863CF" w:rsidP="008F1316">
      <w:pPr>
        <w:pStyle w:val="Graphics"/>
      </w:pPr>
      <w:r>
        <w:drawing>
          <wp:inline distT="0" distB="0" distL="0" distR="0" wp14:anchorId="7F254C7A" wp14:editId="54F3EA4B">
            <wp:extent cx="3657600" cy="2651760"/>
            <wp:effectExtent l="19050" t="0" r="0" b="0"/>
            <wp:docPr id="120" name="Picture 119" descr="National Mortgage Obligation Ratio 1980-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Mortgage Obligation Ratio 1980-2007.jpg"/>
                    <pic:cNvPicPr/>
                  </pic:nvPicPr>
                  <pic:blipFill>
                    <a:blip r:embed="rId93"/>
                    <a:stretch>
                      <a:fillRect/>
                    </a:stretch>
                  </pic:blipFill>
                  <pic:spPr>
                    <a:xfrm>
                      <a:off x="0" y="0"/>
                      <a:ext cx="3657600" cy="2651760"/>
                    </a:xfrm>
                    <a:prstGeom prst="rect">
                      <a:avLst/>
                    </a:prstGeom>
                  </pic:spPr>
                </pic:pic>
              </a:graphicData>
            </a:graphic>
          </wp:inline>
        </w:drawing>
      </w:r>
    </w:p>
    <w:p w14:paraId="143E84CC" w14:textId="77777777" w:rsidR="00E96308" w:rsidRPr="00124B71" w:rsidRDefault="00F617D1" w:rsidP="00A6765F">
      <w:pPr>
        <w:suppressAutoHyphens/>
        <w:rPr>
          <w:rFonts w:cs="Times New Roman"/>
        </w:rPr>
      </w:pPr>
      <w:r w:rsidRPr="00124B71">
        <w:rPr>
          <w:rFonts w:cs="Times New Roman"/>
        </w:rPr>
        <w:t>This change in buyer behavior based on the trend in house prices is apparent in the national mortgage origination ratio. This statistic kept by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Pr="00124B71">
        <w:rPr>
          <w:rFonts w:cs="Times New Roman"/>
        </w:rPr>
        <w:t xml:space="preserve"> Board is a measure of the total national mortgage debt service as a percentage of gross income. Since over 30% of houses in the United States are owned outright, this national percentage is far lower than the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Pr="00124B71">
        <w:rPr>
          <w:rFonts w:cs="Times New Roman"/>
        </w:rPr>
        <w:t xml:space="preserve"> of most individuals who have a mortgage. In the coastal bubble rally of the late 80s, people took on larger debts to buy homes, and when prices began their decline, people did not stretch to buy. If people had continued to put a high percentage of their income toward housing, prices would not have fallen as far as they did. The Great Housing Bubble witnessed a 30% increase in the average mortgage debt ratio on a national basis as people bought out of fear and greed</w:t>
      </w:r>
      <w:r w:rsidR="001858B5">
        <w:rPr>
          <w:rFonts w:cs="Times New Roman"/>
        </w:rPr>
        <w:fldChar w:fldCharType="begin"/>
      </w:r>
      <w:r w:rsidR="001A53F8">
        <w:instrText xml:space="preserve"> XE "</w:instrText>
      </w:r>
      <w:r w:rsidR="001A53F8" w:rsidRPr="00AD3FB7">
        <w:rPr>
          <w:rFonts w:cs="Times New Roman"/>
        </w:rPr>
        <w:instrText>fear and greed</w:instrText>
      </w:r>
      <w:r w:rsidR="001A53F8">
        <w:instrText xml:space="preserve">" </w:instrText>
      </w:r>
      <w:r w:rsidR="001858B5">
        <w:rPr>
          <w:rFonts w:cs="Times New Roman"/>
        </w:rPr>
        <w:fldChar w:fldCharType="end"/>
      </w:r>
      <w:r w:rsidRPr="00124B71">
        <w:rPr>
          <w:rFonts w:cs="Times New Roman"/>
        </w:rPr>
        <w:t xml:space="preserve"> in order not to be priced out forever and capture the capital gains of home price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If history repeats itself, this ratio will decline as house prices decline.</w:t>
      </w:r>
    </w:p>
    <w:p w14:paraId="3D79341E" w14:textId="62C6959E" w:rsidR="00F617D1" w:rsidRPr="00EF0EDA" w:rsidRDefault="00EC2D1A" w:rsidP="00EC2D1A">
      <w:pPr>
        <w:pStyle w:val="Caption"/>
        <w:rPr>
          <w:sz w:val="24"/>
          <w:szCs w:val="24"/>
        </w:rPr>
      </w:pPr>
      <w:bookmarkStart w:id="209" w:name="_Toc238867438"/>
      <w:r>
        <w:t xml:space="preserve">Table </w:t>
      </w:r>
      <w:fldSimple w:instr=" SEQ Table \* ARABIC ">
        <w:r w:rsidR="00493733">
          <w:rPr>
            <w:noProof/>
          </w:rPr>
          <w:t>12</w:t>
        </w:r>
      </w:fldSimple>
      <w:r w:rsidR="00317936">
        <w:t xml:space="preserve">: </w:t>
      </w:r>
      <w:r w:rsidR="000144CC">
        <w:t xml:space="preserve">National </w:t>
      </w:r>
      <w:r w:rsidR="00D24C1E">
        <w:t xml:space="preserve">Payments and Prices at Various </w:t>
      </w:r>
      <w:r w:rsidR="00F622D6" w:rsidRPr="00EF0EDA">
        <w:t>Debt-to-Income</w:t>
      </w:r>
      <w:r w:rsidR="00D24C1E">
        <w:t xml:space="preserve"> Levels</w:t>
      </w:r>
      <w:bookmarkEnd w:id="209"/>
    </w:p>
    <w:tbl>
      <w:tblPr>
        <w:tblW w:w="5997" w:type="dxa"/>
        <w:tblInd w:w="108" w:type="dxa"/>
        <w:tblLook w:val="04A0" w:firstRow="1" w:lastRow="0" w:firstColumn="1" w:lastColumn="0" w:noHBand="0" w:noVBand="1"/>
      </w:tblPr>
      <w:tblGrid>
        <w:gridCol w:w="1530"/>
        <w:gridCol w:w="1434"/>
        <w:gridCol w:w="1505"/>
        <w:gridCol w:w="1528"/>
      </w:tblGrid>
      <w:tr w:rsidR="00F622D6" w:rsidRPr="00131BA8" w14:paraId="405A4239" w14:textId="77777777" w:rsidTr="008F1316">
        <w:trPr>
          <w:trHeight w:val="173"/>
        </w:trPr>
        <w:tc>
          <w:tcPr>
            <w:tcW w:w="1530" w:type="dxa"/>
            <w:tcBorders>
              <w:top w:val="nil"/>
              <w:left w:val="nil"/>
              <w:bottom w:val="nil"/>
              <w:right w:val="nil"/>
            </w:tcBorders>
            <w:noWrap/>
            <w:vAlign w:val="bottom"/>
            <w:hideMark/>
          </w:tcPr>
          <w:p w14:paraId="6DD12A9A"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244,900 </w:t>
            </w:r>
          </w:p>
        </w:tc>
        <w:tc>
          <w:tcPr>
            <w:tcW w:w="2939" w:type="dxa"/>
            <w:gridSpan w:val="2"/>
            <w:tcBorders>
              <w:top w:val="nil"/>
              <w:left w:val="nil"/>
              <w:bottom w:val="nil"/>
              <w:right w:val="nil"/>
            </w:tcBorders>
            <w:noWrap/>
            <w:vAlign w:val="bottom"/>
            <w:hideMark/>
          </w:tcPr>
          <w:p w14:paraId="0C5C4FA2" w14:textId="77777777" w:rsidR="00F622D6" w:rsidRPr="00131BA8" w:rsidRDefault="00F622D6" w:rsidP="00F622D6">
            <w:pPr>
              <w:keepNext/>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National Median Home Price</w:t>
            </w:r>
          </w:p>
        </w:tc>
        <w:tc>
          <w:tcPr>
            <w:tcW w:w="1528" w:type="dxa"/>
            <w:tcBorders>
              <w:top w:val="nil"/>
              <w:left w:val="nil"/>
              <w:bottom w:val="nil"/>
              <w:right w:val="nil"/>
            </w:tcBorders>
            <w:noWrap/>
            <w:vAlign w:val="bottom"/>
            <w:hideMark/>
          </w:tcPr>
          <w:p w14:paraId="4C67ACBA" w14:textId="77777777" w:rsidR="00F622D6" w:rsidRPr="00131BA8" w:rsidRDefault="00F622D6" w:rsidP="00F622D6">
            <w:pPr>
              <w:keepNext/>
              <w:ind w:firstLine="0"/>
              <w:jc w:val="center"/>
              <w:rPr>
                <w:rFonts w:eastAsia="Times New Roman" w:cs="Times New Roman"/>
                <w:color w:val="000000"/>
                <w:sz w:val="18"/>
                <w:szCs w:val="18"/>
                <w:lang w:bidi="ar-SA"/>
              </w:rPr>
            </w:pPr>
          </w:p>
        </w:tc>
      </w:tr>
      <w:tr w:rsidR="00F622D6" w:rsidRPr="00131BA8" w14:paraId="1C870485" w14:textId="77777777" w:rsidTr="008F1316">
        <w:trPr>
          <w:trHeight w:val="173"/>
        </w:trPr>
        <w:tc>
          <w:tcPr>
            <w:tcW w:w="1530" w:type="dxa"/>
            <w:tcBorders>
              <w:top w:val="nil"/>
              <w:left w:val="nil"/>
              <w:bottom w:val="nil"/>
              <w:right w:val="nil"/>
            </w:tcBorders>
            <w:noWrap/>
            <w:vAlign w:val="bottom"/>
            <w:hideMark/>
          </w:tcPr>
          <w:p w14:paraId="61AB58B3"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47,423 </w:t>
            </w:r>
          </w:p>
        </w:tc>
        <w:tc>
          <w:tcPr>
            <w:tcW w:w="2939" w:type="dxa"/>
            <w:gridSpan w:val="2"/>
            <w:tcBorders>
              <w:top w:val="nil"/>
              <w:left w:val="nil"/>
              <w:bottom w:val="nil"/>
              <w:right w:val="nil"/>
            </w:tcBorders>
            <w:noWrap/>
            <w:vAlign w:val="bottom"/>
            <w:hideMark/>
          </w:tcPr>
          <w:p w14:paraId="0576BC9F" w14:textId="77777777" w:rsidR="00F622D6" w:rsidRPr="00131BA8" w:rsidRDefault="00F622D6" w:rsidP="00F622D6">
            <w:pPr>
              <w:keepNext/>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National Median Income</w:t>
            </w:r>
          </w:p>
        </w:tc>
        <w:tc>
          <w:tcPr>
            <w:tcW w:w="1528" w:type="dxa"/>
            <w:tcBorders>
              <w:top w:val="nil"/>
              <w:left w:val="nil"/>
              <w:bottom w:val="nil"/>
              <w:right w:val="nil"/>
            </w:tcBorders>
            <w:noWrap/>
            <w:vAlign w:val="bottom"/>
            <w:hideMark/>
          </w:tcPr>
          <w:p w14:paraId="372EE153" w14:textId="77777777" w:rsidR="00F622D6" w:rsidRPr="00131BA8" w:rsidRDefault="00F622D6" w:rsidP="00F622D6">
            <w:pPr>
              <w:keepNext/>
              <w:ind w:firstLine="0"/>
              <w:jc w:val="center"/>
              <w:rPr>
                <w:rFonts w:eastAsia="Times New Roman" w:cs="Times New Roman"/>
                <w:color w:val="000000"/>
                <w:sz w:val="18"/>
                <w:szCs w:val="18"/>
                <w:lang w:bidi="ar-SA"/>
              </w:rPr>
            </w:pPr>
          </w:p>
        </w:tc>
      </w:tr>
      <w:tr w:rsidR="00F622D6" w:rsidRPr="00131BA8" w14:paraId="126589E5" w14:textId="77777777" w:rsidTr="008F1316">
        <w:trPr>
          <w:trHeight w:val="173"/>
        </w:trPr>
        <w:tc>
          <w:tcPr>
            <w:tcW w:w="1530" w:type="dxa"/>
            <w:tcBorders>
              <w:top w:val="nil"/>
              <w:left w:val="nil"/>
              <w:bottom w:val="nil"/>
              <w:right w:val="nil"/>
            </w:tcBorders>
            <w:noWrap/>
            <w:vAlign w:val="bottom"/>
            <w:hideMark/>
          </w:tcPr>
          <w:p w14:paraId="02C53438"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3,952 </w:t>
            </w:r>
          </w:p>
        </w:tc>
        <w:tc>
          <w:tcPr>
            <w:tcW w:w="2939" w:type="dxa"/>
            <w:gridSpan w:val="2"/>
            <w:tcBorders>
              <w:top w:val="nil"/>
              <w:left w:val="nil"/>
              <w:bottom w:val="nil"/>
              <w:right w:val="nil"/>
            </w:tcBorders>
            <w:noWrap/>
            <w:vAlign w:val="bottom"/>
            <w:hideMark/>
          </w:tcPr>
          <w:p w14:paraId="6270E9E9" w14:textId="77777777" w:rsidR="00F622D6" w:rsidRPr="00131BA8" w:rsidRDefault="00F622D6" w:rsidP="00F622D6">
            <w:pPr>
              <w:keepNext/>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Monthly Median Income</w:t>
            </w:r>
          </w:p>
        </w:tc>
        <w:tc>
          <w:tcPr>
            <w:tcW w:w="1528" w:type="dxa"/>
            <w:tcBorders>
              <w:top w:val="nil"/>
              <w:left w:val="nil"/>
              <w:bottom w:val="nil"/>
              <w:right w:val="nil"/>
            </w:tcBorders>
            <w:noWrap/>
            <w:vAlign w:val="bottom"/>
            <w:hideMark/>
          </w:tcPr>
          <w:p w14:paraId="20CA77E0" w14:textId="77777777" w:rsidR="00F622D6" w:rsidRPr="00131BA8" w:rsidRDefault="00F622D6" w:rsidP="00F622D6">
            <w:pPr>
              <w:keepNext/>
              <w:ind w:firstLine="0"/>
              <w:jc w:val="center"/>
              <w:rPr>
                <w:rFonts w:eastAsia="Times New Roman" w:cs="Times New Roman"/>
                <w:color w:val="000000"/>
                <w:sz w:val="18"/>
                <w:szCs w:val="18"/>
                <w:lang w:bidi="ar-SA"/>
              </w:rPr>
            </w:pPr>
          </w:p>
        </w:tc>
      </w:tr>
      <w:tr w:rsidR="00F622D6" w:rsidRPr="00131BA8" w14:paraId="14EA6F4A" w14:textId="77777777" w:rsidTr="008F1316">
        <w:trPr>
          <w:trHeight w:val="173"/>
        </w:trPr>
        <w:tc>
          <w:tcPr>
            <w:tcW w:w="1530" w:type="dxa"/>
            <w:tcBorders>
              <w:top w:val="nil"/>
              <w:left w:val="nil"/>
              <w:bottom w:val="nil"/>
              <w:right w:val="nil"/>
            </w:tcBorders>
            <w:noWrap/>
            <w:vAlign w:val="bottom"/>
            <w:hideMark/>
          </w:tcPr>
          <w:p w14:paraId="5C67CE89"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6.0%</w:t>
            </w:r>
          </w:p>
        </w:tc>
        <w:tc>
          <w:tcPr>
            <w:tcW w:w="1434" w:type="dxa"/>
            <w:tcBorders>
              <w:top w:val="nil"/>
              <w:left w:val="nil"/>
              <w:bottom w:val="nil"/>
              <w:right w:val="nil"/>
            </w:tcBorders>
            <w:noWrap/>
            <w:vAlign w:val="bottom"/>
            <w:hideMark/>
          </w:tcPr>
          <w:p w14:paraId="156B4E64" w14:textId="77777777" w:rsidR="00F622D6" w:rsidRPr="00131BA8" w:rsidRDefault="00F622D6" w:rsidP="00F622D6">
            <w:pPr>
              <w:keepNext/>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Interest Rate</w:t>
            </w:r>
          </w:p>
        </w:tc>
        <w:tc>
          <w:tcPr>
            <w:tcW w:w="1505" w:type="dxa"/>
            <w:tcBorders>
              <w:top w:val="nil"/>
              <w:left w:val="nil"/>
              <w:bottom w:val="nil"/>
              <w:right w:val="nil"/>
            </w:tcBorders>
            <w:noWrap/>
            <w:vAlign w:val="bottom"/>
            <w:hideMark/>
          </w:tcPr>
          <w:p w14:paraId="50AB0607" w14:textId="77777777" w:rsidR="00F622D6" w:rsidRPr="00131BA8" w:rsidRDefault="00F622D6" w:rsidP="00F622D6">
            <w:pPr>
              <w:keepNext/>
              <w:ind w:firstLine="0"/>
              <w:jc w:val="center"/>
              <w:rPr>
                <w:rFonts w:eastAsia="Times New Roman" w:cs="Times New Roman"/>
                <w:color w:val="000000"/>
                <w:sz w:val="18"/>
                <w:szCs w:val="18"/>
                <w:lang w:bidi="ar-SA"/>
              </w:rPr>
            </w:pPr>
          </w:p>
        </w:tc>
        <w:tc>
          <w:tcPr>
            <w:tcW w:w="1528" w:type="dxa"/>
            <w:tcBorders>
              <w:top w:val="nil"/>
              <w:left w:val="nil"/>
              <w:bottom w:val="nil"/>
              <w:right w:val="nil"/>
            </w:tcBorders>
            <w:noWrap/>
            <w:vAlign w:val="bottom"/>
            <w:hideMark/>
          </w:tcPr>
          <w:p w14:paraId="4C13211F" w14:textId="77777777" w:rsidR="00F622D6" w:rsidRPr="00131BA8" w:rsidRDefault="00F622D6" w:rsidP="00F622D6">
            <w:pPr>
              <w:keepNext/>
              <w:ind w:firstLine="0"/>
              <w:jc w:val="center"/>
              <w:rPr>
                <w:rFonts w:eastAsia="Times New Roman" w:cs="Times New Roman"/>
                <w:color w:val="000000"/>
                <w:sz w:val="18"/>
                <w:szCs w:val="18"/>
                <w:lang w:bidi="ar-SA"/>
              </w:rPr>
            </w:pPr>
          </w:p>
        </w:tc>
      </w:tr>
      <w:tr w:rsidR="00F622D6" w:rsidRPr="00131BA8" w14:paraId="06A90C4A" w14:textId="77777777" w:rsidTr="00131E40">
        <w:trPr>
          <w:trHeight w:val="173"/>
        </w:trPr>
        <w:tc>
          <w:tcPr>
            <w:tcW w:w="1530" w:type="dxa"/>
            <w:tcBorders>
              <w:top w:val="nil"/>
              <w:left w:val="nil"/>
              <w:bottom w:val="single" w:sz="4" w:space="0" w:color="auto"/>
              <w:right w:val="nil"/>
            </w:tcBorders>
            <w:noWrap/>
            <w:vAlign w:val="bottom"/>
            <w:hideMark/>
          </w:tcPr>
          <w:p w14:paraId="00BC393C" w14:textId="77777777" w:rsidR="00F622D6" w:rsidRPr="00131BA8" w:rsidRDefault="00F622D6" w:rsidP="00F622D6">
            <w:pPr>
              <w:keepNext/>
              <w:ind w:firstLine="0"/>
              <w:jc w:val="center"/>
              <w:rPr>
                <w:rFonts w:eastAsia="Times New Roman" w:cs="Times New Roman"/>
                <w:color w:val="000000"/>
                <w:sz w:val="18"/>
                <w:szCs w:val="18"/>
                <w:lang w:bidi="ar-SA"/>
              </w:rPr>
            </w:pPr>
          </w:p>
        </w:tc>
        <w:tc>
          <w:tcPr>
            <w:tcW w:w="1434" w:type="dxa"/>
            <w:tcBorders>
              <w:top w:val="nil"/>
              <w:left w:val="nil"/>
              <w:bottom w:val="single" w:sz="4" w:space="0" w:color="auto"/>
              <w:right w:val="nil"/>
            </w:tcBorders>
            <w:noWrap/>
            <w:vAlign w:val="bottom"/>
            <w:hideMark/>
          </w:tcPr>
          <w:p w14:paraId="4FEC73FC" w14:textId="77777777" w:rsidR="00F622D6" w:rsidRPr="00131BA8" w:rsidRDefault="00F622D6" w:rsidP="00F622D6">
            <w:pPr>
              <w:keepNext/>
              <w:ind w:firstLine="0"/>
              <w:jc w:val="center"/>
              <w:rPr>
                <w:rFonts w:eastAsia="Times New Roman" w:cs="Times New Roman"/>
                <w:color w:val="000000"/>
                <w:sz w:val="18"/>
                <w:szCs w:val="18"/>
                <w:lang w:bidi="ar-SA"/>
              </w:rPr>
            </w:pPr>
          </w:p>
        </w:tc>
        <w:tc>
          <w:tcPr>
            <w:tcW w:w="1505" w:type="dxa"/>
            <w:tcBorders>
              <w:top w:val="nil"/>
              <w:left w:val="nil"/>
              <w:bottom w:val="single" w:sz="4" w:space="0" w:color="auto"/>
              <w:right w:val="nil"/>
            </w:tcBorders>
            <w:noWrap/>
            <w:vAlign w:val="bottom"/>
            <w:hideMark/>
          </w:tcPr>
          <w:p w14:paraId="3D2A6570" w14:textId="77777777" w:rsidR="00F622D6" w:rsidRPr="00131BA8" w:rsidRDefault="00F622D6" w:rsidP="00F622D6">
            <w:pPr>
              <w:keepNext/>
              <w:ind w:firstLine="0"/>
              <w:jc w:val="center"/>
              <w:rPr>
                <w:rFonts w:eastAsia="Times New Roman" w:cs="Times New Roman"/>
                <w:color w:val="000000"/>
                <w:sz w:val="18"/>
                <w:szCs w:val="18"/>
                <w:lang w:bidi="ar-SA"/>
              </w:rPr>
            </w:pPr>
          </w:p>
        </w:tc>
        <w:tc>
          <w:tcPr>
            <w:tcW w:w="1528" w:type="dxa"/>
            <w:tcBorders>
              <w:top w:val="nil"/>
              <w:left w:val="nil"/>
              <w:bottom w:val="single" w:sz="4" w:space="0" w:color="auto"/>
              <w:right w:val="nil"/>
            </w:tcBorders>
            <w:noWrap/>
            <w:vAlign w:val="bottom"/>
            <w:hideMark/>
          </w:tcPr>
          <w:p w14:paraId="1E82454B"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w:t>
            </w:r>
          </w:p>
        </w:tc>
      </w:tr>
      <w:tr w:rsidR="00F622D6" w:rsidRPr="00131BA8" w14:paraId="2A2A22F4" w14:textId="77777777" w:rsidTr="00131E40">
        <w:trPr>
          <w:trHeight w:val="173"/>
        </w:trPr>
        <w:tc>
          <w:tcPr>
            <w:tcW w:w="1530" w:type="dxa"/>
            <w:tcBorders>
              <w:top w:val="single" w:sz="4" w:space="0" w:color="auto"/>
              <w:left w:val="nil"/>
              <w:bottom w:val="double" w:sz="6" w:space="0" w:color="auto"/>
              <w:right w:val="nil"/>
            </w:tcBorders>
            <w:noWrap/>
            <w:vAlign w:val="bottom"/>
            <w:hideMark/>
          </w:tcPr>
          <w:p w14:paraId="1E4935A5" w14:textId="77777777" w:rsidR="00F622D6" w:rsidRPr="00131BA8" w:rsidRDefault="00F622D6" w:rsidP="00F622D6">
            <w:pPr>
              <w:keepNext/>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Payment</w:t>
            </w:r>
          </w:p>
        </w:tc>
        <w:tc>
          <w:tcPr>
            <w:tcW w:w="1434" w:type="dxa"/>
            <w:tcBorders>
              <w:top w:val="single" w:sz="4" w:space="0" w:color="auto"/>
              <w:left w:val="nil"/>
              <w:bottom w:val="double" w:sz="6" w:space="0" w:color="auto"/>
              <w:right w:val="nil"/>
            </w:tcBorders>
            <w:noWrap/>
            <w:vAlign w:val="bottom"/>
            <w:hideMark/>
          </w:tcPr>
          <w:p w14:paraId="799BCEB5" w14:textId="77777777" w:rsidR="00F622D6" w:rsidRPr="00131BA8" w:rsidRDefault="00F622D6" w:rsidP="00F622D6">
            <w:pPr>
              <w:keepNext/>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DTI</w:t>
            </w:r>
            <w:r w:rsidR="001858B5" w:rsidRPr="00131BA8">
              <w:rPr>
                <w:rFonts w:eastAsia="Times New Roman" w:cs="Times New Roman"/>
                <w:b/>
                <w:bCs/>
                <w:color w:val="000000"/>
                <w:sz w:val="18"/>
                <w:szCs w:val="18"/>
                <w:lang w:bidi="ar-SA"/>
              </w:rPr>
              <w:fldChar w:fldCharType="begin"/>
            </w:r>
            <w:r w:rsidR="003247C5" w:rsidRPr="00131BA8">
              <w:rPr>
                <w:sz w:val="18"/>
              </w:rPr>
              <w:instrText xml:space="preserve"> XE "</w:instrText>
            </w:r>
            <w:r w:rsidR="003247C5" w:rsidRPr="00131BA8">
              <w:rPr>
                <w:rFonts w:cs="Times New Roman"/>
                <w:sz w:val="18"/>
              </w:rPr>
              <w:instrText>DTI</w:instrText>
            </w:r>
            <w:r w:rsidR="003247C5" w:rsidRPr="00131BA8">
              <w:rPr>
                <w:sz w:val="18"/>
              </w:rPr>
              <w:instrText xml:space="preserve">" </w:instrText>
            </w:r>
            <w:r w:rsidR="001858B5" w:rsidRPr="00131BA8">
              <w:rPr>
                <w:rFonts w:eastAsia="Times New Roman" w:cs="Times New Roman"/>
                <w:b/>
                <w:bCs/>
                <w:color w:val="000000"/>
                <w:sz w:val="18"/>
                <w:szCs w:val="18"/>
                <w:lang w:bidi="ar-SA"/>
              </w:rPr>
              <w:fldChar w:fldCharType="end"/>
            </w:r>
            <w:r w:rsidRPr="00131BA8">
              <w:rPr>
                <w:rFonts w:eastAsia="Times New Roman" w:cs="Times New Roman"/>
                <w:b/>
                <w:bCs/>
                <w:color w:val="000000"/>
                <w:sz w:val="18"/>
                <w:szCs w:val="18"/>
                <w:lang w:bidi="ar-SA"/>
              </w:rPr>
              <w:t xml:space="preserve"> Ratio</w:t>
            </w:r>
          </w:p>
        </w:tc>
        <w:tc>
          <w:tcPr>
            <w:tcW w:w="1505" w:type="dxa"/>
            <w:tcBorders>
              <w:top w:val="single" w:sz="4" w:space="0" w:color="auto"/>
              <w:left w:val="nil"/>
              <w:bottom w:val="double" w:sz="6" w:space="0" w:color="auto"/>
              <w:right w:val="nil"/>
            </w:tcBorders>
            <w:noWrap/>
            <w:vAlign w:val="bottom"/>
            <w:hideMark/>
          </w:tcPr>
          <w:p w14:paraId="6955F8CD" w14:textId="77777777" w:rsidR="00F622D6" w:rsidRPr="00131BA8" w:rsidRDefault="00F622D6" w:rsidP="00F622D6">
            <w:pPr>
              <w:keepNext/>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Value</w:t>
            </w:r>
          </w:p>
        </w:tc>
        <w:tc>
          <w:tcPr>
            <w:tcW w:w="1528" w:type="dxa"/>
            <w:tcBorders>
              <w:top w:val="single" w:sz="4" w:space="0" w:color="auto"/>
              <w:left w:val="nil"/>
              <w:bottom w:val="double" w:sz="6" w:space="0" w:color="auto"/>
              <w:right w:val="nil"/>
            </w:tcBorders>
            <w:noWrap/>
            <w:vAlign w:val="bottom"/>
            <w:hideMark/>
          </w:tcPr>
          <w:p w14:paraId="2236C4D7" w14:textId="77777777" w:rsidR="00F622D6" w:rsidRPr="00131BA8" w:rsidRDefault="00F622D6" w:rsidP="00F622D6">
            <w:pPr>
              <w:keepNext/>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+ 20%</w:t>
            </w:r>
          </w:p>
        </w:tc>
      </w:tr>
      <w:tr w:rsidR="00F622D6" w:rsidRPr="00131BA8" w14:paraId="5BCC60BC" w14:textId="77777777" w:rsidTr="00131E40">
        <w:trPr>
          <w:trHeight w:val="173"/>
        </w:trPr>
        <w:tc>
          <w:tcPr>
            <w:tcW w:w="1530" w:type="dxa"/>
            <w:tcBorders>
              <w:top w:val="double" w:sz="6" w:space="0" w:color="auto"/>
              <w:left w:val="nil"/>
              <w:bottom w:val="nil"/>
              <w:right w:val="nil"/>
            </w:tcBorders>
            <w:noWrap/>
            <w:vAlign w:val="bottom"/>
            <w:hideMark/>
          </w:tcPr>
          <w:p w14:paraId="2D8BC2FC"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1,107 </w:t>
            </w:r>
          </w:p>
        </w:tc>
        <w:tc>
          <w:tcPr>
            <w:tcW w:w="1434" w:type="dxa"/>
            <w:tcBorders>
              <w:top w:val="double" w:sz="6" w:space="0" w:color="auto"/>
              <w:left w:val="nil"/>
              <w:bottom w:val="nil"/>
              <w:right w:val="nil"/>
            </w:tcBorders>
            <w:noWrap/>
            <w:vAlign w:val="bottom"/>
            <w:hideMark/>
          </w:tcPr>
          <w:p w14:paraId="65C3F6F1"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28.0%</w:t>
            </w:r>
          </w:p>
        </w:tc>
        <w:tc>
          <w:tcPr>
            <w:tcW w:w="1505" w:type="dxa"/>
            <w:tcBorders>
              <w:top w:val="double" w:sz="6" w:space="0" w:color="auto"/>
              <w:left w:val="nil"/>
              <w:bottom w:val="nil"/>
              <w:right w:val="nil"/>
            </w:tcBorders>
            <w:noWrap/>
            <w:vAlign w:val="bottom"/>
            <w:hideMark/>
          </w:tcPr>
          <w:p w14:paraId="29E55AA3"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184,561 </w:t>
            </w:r>
          </w:p>
        </w:tc>
        <w:tc>
          <w:tcPr>
            <w:tcW w:w="1528" w:type="dxa"/>
            <w:tcBorders>
              <w:top w:val="double" w:sz="6" w:space="0" w:color="auto"/>
              <w:left w:val="nil"/>
              <w:bottom w:val="nil"/>
              <w:right w:val="nil"/>
            </w:tcBorders>
            <w:noWrap/>
            <w:vAlign w:val="bottom"/>
            <w:hideMark/>
          </w:tcPr>
          <w:p w14:paraId="5ED2E5F2"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230,701 </w:t>
            </w:r>
          </w:p>
        </w:tc>
      </w:tr>
      <w:tr w:rsidR="00F622D6" w:rsidRPr="00131BA8" w14:paraId="4B63533A" w14:textId="77777777" w:rsidTr="008F1316">
        <w:trPr>
          <w:trHeight w:val="173"/>
        </w:trPr>
        <w:tc>
          <w:tcPr>
            <w:tcW w:w="1530" w:type="dxa"/>
            <w:tcBorders>
              <w:top w:val="nil"/>
              <w:left w:val="nil"/>
              <w:bottom w:val="nil"/>
              <w:right w:val="nil"/>
            </w:tcBorders>
            <w:noWrap/>
            <w:vAlign w:val="bottom"/>
            <w:hideMark/>
          </w:tcPr>
          <w:p w14:paraId="4AA7F4BF"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1,186 </w:t>
            </w:r>
          </w:p>
        </w:tc>
        <w:tc>
          <w:tcPr>
            <w:tcW w:w="1434" w:type="dxa"/>
            <w:tcBorders>
              <w:top w:val="nil"/>
              <w:left w:val="nil"/>
              <w:bottom w:val="nil"/>
              <w:right w:val="nil"/>
            </w:tcBorders>
            <w:noWrap/>
            <w:vAlign w:val="bottom"/>
            <w:hideMark/>
          </w:tcPr>
          <w:p w14:paraId="2865252B"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30.0%</w:t>
            </w:r>
          </w:p>
        </w:tc>
        <w:tc>
          <w:tcPr>
            <w:tcW w:w="1505" w:type="dxa"/>
            <w:tcBorders>
              <w:top w:val="nil"/>
              <w:left w:val="nil"/>
              <w:bottom w:val="nil"/>
              <w:right w:val="nil"/>
            </w:tcBorders>
            <w:noWrap/>
            <w:vAlign w:val="bottom"/>
            <w:hideMark/>
          </w:tcPr>
          <w:p w14:paraId="4B4FBE09"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197,744 </w:t>
            </w:r>
          </w:p>
        </w:tc>
        <w:tc>
          <w:tcPr>
            <w:tcW w:w="1528" w:type="dxa"/>
            <w:tcBorders>
              <w:top w:val="nil"/>
              <w:left w:val="nil"/>
              <w:bottom w:val="nil"/>
              <w:right w:val="nil"/>
            </w:tcBorders>
            <w:noWrap/>
            <w:vAlign w:val="bottom"/>
            <w:hideMark/>
          </w:tcPr>
          <w:p w14:paraId="4D3A29D3"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247,180 </w:t>
            </w:r>
          </w:p>
        </w:tc>
      </w:tr>
      <w:tr w:rsidR="00F622D6" w:rsidRPr="00131BA8" w14:paraId="6BEC3C78" w14:textId="77777777" w:rsidTr="008F1316">
        <w:trPr>
          <w:trHeight w:val="173"/>
        </w:trPr>
        <w:tc>
          <w:tcPr>
            <w:tcW w:w="1530" w:type="dxa"/>
            <w:tcBorders>
              <w:top w:val="nil"/>
              <w:left w:val="nil"/>
              <w:bottom w:val="nil"/>
              <w:right w:val="nil"/>
            </w:tcBorders>
            <w:noWrap/>
            <w:vAlign w:val="bottom"/>
            <w:hideMark/>
          </w:tcPr>
          <w:p w14:paraId="3C7CAE2A"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1,462 </w:t>
            </w:r>
          </w:p>
        </w:tc>
        <w:tc>
          <w:tcPr>
            <w:tcW w:w="1434" w:type="dxa"/>
            <w:tcBorders>
              <w:top w:val="nil"/>
              <w:left w:val="nil"/>
              <w:bottom w:val="nil"/>
              <w:right w:val="nil"/>
            </w:tcBorders>
            <w:noWrap/>
            <w:vAlign w:val="bottom"/>
            <w:hideMark/>
          </w:tcPr>
          <w:p w14:paraId="16324FC9"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37.0%</w:t>
            </w:r>
          </w:p>
        </w:tc>
        <w:tc>
          <w:tcPr>
            <w:tcW w:w="1505" w:type="dxa"/>
            <w:tcBorders>
              <w:top w:val="nil"/>
              <w:left w:val="nil"/>
              <w:bottom w:val="nil"/>
              <w:right w:val="nil"/>
            </w:tcBorders>
            <w:noWrap/>
            <w:vAlign w:val="bottom"/>
            <w:hideMark/>
          </w:tcPr>
          <w:p w14:paraId="232B9349"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243,884 </w:t>
            </w:r>
          </w:p>
        </w:tc>
        <w:tc>
          <w:tcPr>
            <w:tcW w:w="1528" w:type="dxa"/>
            <w:tcBorders>
              <w:top w:val="nil"/>
              <w:left w:val="nil"/>
              <w:bottom w:val="nil"/>
              <w:right w:val="nil"/>
            </w:tcBorders>
            <w:noWrap/>
            <w:vAlign w:val="bottom"/>
            <w:hideMark/>
          </w:tcPr>
          <w:p w14:paraId="59BE1303"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304,855 </w:t>
            </w:r>
          </w:p>
        </w:tc>
      </w:tr>
    </w:tbl>
    <w:p w14:paraId="60D8B463" w14:textId="77777777" w:rsidR="000144CC" w:rsidRPr="00124B71" w:rsidRDefault="000144CC" w:rsidP="000144CC">
      <w:pPr>
        <w:rPr>
          <w:rFonts w:cs="Times New Roman"/>
        </w:rPr>
      </w:pPr>
    </w:p>
    <w:p w14:paraId="748D3046" w14:textId="69757007" w:rsidR="000144CC" w:rsidRPr="00EF0EDA" w:rsidRDefault="000144CC" w:rsidP="000144CC">
      <w:pPr>
        <w:pStyle w:val="Caption"/>
        <w:rPr>
          <w:sz w:val="24"/>
          <w:szCs w:val="24"/>
        </w:rPr>
      </w:pPr>
      <w:bookmarkStart w:id="210" w:name="_Toc238867439"/>
      <w:r>
        <w:lastRenderedPageBreak/>
        <w:t xml:space="preserve">Table </w:t>
      </w:r>
      <w:fldSimple w:instr=" SEQ Table \* ARABIC ">
        <w:r w:rsidR="00493733">
          <w:rPr>
            <w:noProof/>
          </w:rPr>
          <w:t>13</w:t>
        </w:r>
      </w:fldSimple>
      <w:r w:rsidR="00317936">
        <w:t xml:space="preserve">: </w:t>
      </w:r>
      <w:r>
        <w:t xml:space="preserve">Irvine Payments and Prices at Various </w:t>
      </w:r>
      <w:r w:rsidRPr="00EF0EDA">
        <w:t>Debt-to-Income</w:t>
      </w:r>
      <w:r>
        <w:t xml:space="preserve"> Levels</w:t>
      </w:r>
      <w:bookmarkEnd w:id="210"/>
    </w:p>
    <w:tbl>
      <w:tblPr>
        <w:tblW w:w="5997" w:type="dxa"/>
        <w:tblInd w:w="108" w:type="dxa"/>
        <w:tblLook w:val="04A0" w:firstRow="1" w:lastRow="0" w:firstColumn="1" w:lastColumn="0" w:noHBand="0" w:noVBand="1"/>
      </w:tblPr>
      <w:tblGrid>
        <w:gridCol w:w="1530"/>
        <w:gridCol w:w="1434"/>
        <w:gridCol w:w="1505"/>
        <w:gridCol w:w="1528"/>
      </w:tblGrid>
      <w:tr w:rsidR="00F622D6" w:rsidRPr="00131BA8" w14:paraId="1A51E32A" w14:textId="77777777" w:rsidTr="008F1316">
        <w:trPr>
          <w:trHeight w:val="173"/>
        </w:trPr>
        <w:tc>
          <w:tcPr>
            <w:tcW w:w="1530" w:type="dxa"/>
            <w:tcBorders>
              <w:top w:val="nil"/>
              <w:left w:val="nil"/>
              <w:bottom w:val="nil"/>
              <w:right w:val="nil"/>
            </w:tcBorders>
            <w:noWrap/>
            <w:vAlign w:val="bottom"/>
            <w:hideMark/>
          </w:tcPr>
          <w:p w14:paraId="6781E65D" w14:textId="77777777" w:rsidR="00F622D6" w:rsidRPr="00131BA8" w:rsidRDefault="00F622D6" w:rsidP="00F622D6">
            <w:pPr>
              <w:keepNext/>
              <w:ind w:firstLine="0"/>
              <w:rPr>
                <w:rFonts w:eastAsia="Times New Roman" w:cs="Times New Roman"/>
                <w:color w:val="000000"/>
                <w:sz w:val="18"/>
                <w:szCs w:val="18"/>
                <w:lang w:bidi="ar-SA"/>
              </w:rPr>
            </w:pPr>
          </w:p>
        </w:tc>
        <w:tc>
          <w:tcPr>
            <w:tcW w:w="1434" w:type="dxa"/>
            <w:tcBorders>
              <w:top w:val="nil"/>
              <w:left w:val="nil"/>
              <w:bottom w:val="nil"/>
              <w:right w:val="nil"/>
            </w:tcBorders>
            <w:noWrap/>
            <w:vAlign w:val="bottom"/>
            <w:hideMark/>
          </w:tcPr>
          <w:p w14:paraId="7D6F5E11" w14:textId="77777777" w:rsidR="00F622D6" w:rsidRPr="00131BA8" w:rsidRDefault="00F622D6" w:rsidP="00F622D6">
            <w:pPr>
              <w:keepNext/>
              <w:ind w:firstLine="0"/>
              <w:rPr>
                <w:rFonts w:eastAsia="Times New Roman" w:cs="Times New Roman"/>
                <w:color w:val="000000"/>
                <w:sz w:val="18"/>
                <w:szCs w:val="18"/>
                <w:lang w:bidi="ar-SA"/>
              </w:rPr>
            </w:pPr>
          </w:p>
        </w:tc>
        <w:tc>
          <w:tcPr>
            <w:tcW w:w="1505" w:type="dxa"/>
            <w:tcBorders>
              <w:top w:val="nil"/>
              <w:left w:val="nil"/>
              <w:bottom w:val="nil"/>
              <w:right w:val="nil"/>
            </w:tcBorders>
            <w:noWrap/>
            <w:vAlign w:val="bottom"/>
            <w:hideMark/>
          </w:tcPr>
          <w:p w14:paraId="34789BAD" w14:textId="77777777" w:rsidR="00F622D6" w:rsidRPr="00131BA8" w:rsidRDefault="00F622D6" w:rsidP="00F622D6">
            <w:pPr>
              <w:keepNext/>
              <w:ind w:firstLine="0"/>
              <w:rPr>
                <w:rFonts w:eastAsia="Times New Roman" w:cs="Times New Roman"/>
                <w:color w:val="000000"/>
                <w:sz w:val="18"/>
                <w:szCs w:val="18"/>
                <w:lang w:bidi="ar-SA"/>
              </w:rPr>
            </w:pPr>
          </w:p>
        </w:tc>
        <w:tc>
          <w:tcPr>
            <w:tcW w:w="1528" w:type="dxa"/>
            <w:tcBorders>
              <w:top w:val="nil"/>
              <w:left w:val="nil"/>
              <w:bottom w:val="nil"/>
              <w:right w:val="nil"/>
            </w:tcBorders>
            <w:noWrap/>
            <w:vAlign w:val="bottom"/>
            <w:hideMark/>
          </w:tcPr>
          <w:p w14:paraId="11F90C19" w14:textId="77777777" w:rsidR="00F622D6" w:rsidRPr="00131BA8" w:rsidRDefault="00F622D6" w:rsidP="00F622D6">
            <w:pPr>
              <w:keepNext/>
              <w:ind w:firstLine="0"/>
              <w:rPr>
                <w:rFonts w:eastAsia="Times New Roman" w:cs="Times New Roman"/>
                <w:color w:val="000000"/>
                <w:sz w:val="18"/>
                <w:szCs w:val="18"/>
                <w:lang w:bidi="ar-SA"/>
              </w:rPr>
            </w:pPr>
          </w:p>
        </w:tc>
      </w:tr>
      <w:tr w:rsidR="00F622D6" w:rsidRPr="00131BA8" w14:paraId="2760D4EB" w14:textId="77777777" w:rsidTr="008F1316">
        <w:trPr>
          <w:trHeight w:val="173"/>
        </w:trPr>
        <w:tc>
          <w:tcPr>
            <w:tcW w:w="1530" w:type="dxa"/>
            <w:tcBorders>
              <w:top w:val="nil"/>
              <w:left w:val="nil"/>
              <w:bottom w:val="nil"/>
              <w:right w:val="nil"/>
            </w:tcBorders>
            <w:noWrap/>
            <w:vAlign w:val="bottom"/>
            <w:hideMark/>
          </w:tcPr>
          <w:p w14:paraId="5284920E"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722,928 </w:t>
            </w:r>
          </w:p>
        </w:tc>
        <w:tc>
          <w:tcPr>
            <w:tcW w:w="2939" w:type="dxa"/>
            <w:gridSpan w:val="2"/>
            <w:tcBorders>
              <w:top w:val="nil"/>
              <w:left w:val="nil"/>
              <w:bottom w:val="nil"/>
              <w:right w:val="nil"/>
            </w:tcBorders>
            <w:noWrap/>
            <w:vAlign w:val="bottom"/>
            <w:hideMark/>
          </w:tcPr>
          <w:p w14:paraId="42E40E15" w14:textId="77777777" w:rsidR="00F622D6" w:rsidRPr="00131BA8" w:rsidRDefault="00F622D6" w:rsidP="00F622D6">
            <w:pPr>
              <w:keepNext/>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Irvine Median Home Price</w:t>
            </w:r>
          </w:p>
        </w:tc>
        <w:tc>
          <w:tcPr>
            <w:tcW w:w="1528" w:type="dxa"/>
            <w:tcBorders>
              <w:top w:val="nil"/>
              <w:left w:val="nil"/>
              <w:bottom w:val="nil"/>
              <w:right w:val="nil"/>
            </w:tcBorders>
            <w:noWrap/>
            <w:vAlign w:val="bottom"/>
            <w:hideMark/>
          </w:tcPr>
          <w:p w14:paraId="41FD2427" w14:textId="77777777" w:rsidR="00F622D6" w:rsidRPr="00131BA8" w:rsidRDefault="00F622D6" w:rsidP="00F622D6">
            <w:pPr>
              <w:keepNext/>
              <w:ind w:firstLine="0"/>
              <w:jc w:val="center"/>
              <w:rPr>
                <w:rFonts w:eastAsia="Times New Roman" w:cs="Times New Roman"/>
                <w:color w:val="000000"/>
                <w:sz w:val="18"/>
                <w:szCs w:val="18"/>
                <w:lang w:bidi="ar-SA"/>
              </w:rPr>
            </w:pPr>
          </w:p>
        </w:tc>
      </w:tr>
      <w:tr w:rsidR="00F622D6" w:rsidRPr="00131BA8" w14:paraId="4E482EC3" w14:textId="77777777" w:rsidTr="008F1316">
        <w:trPr>
          <w:trHeight w:val="173"/>
        </w:trPr>
        <w:tc>
          <w:tcPr>
            <w:tcW w:w="1530" w:type="dxa"/>
            <w:tcBorders>
              <w:top w:val="nil"/>
              <w:left w:val="nil"/>
              <w:bottom w:val="nil"/>
              <w:right w:val="nil"/>
            </w:tcBorders>
            <w:noWrap/>
            <w:vAlign w:val="bottom"/>
            <w:hideMark/>
          </w:tcPr>
          <w:p w14:paraId="48D512AA"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83,891 </w:t>
            </w:r>
          </w:p>
        </w:tc>
        <w:tc>
          <w:tcPr>
            <w:tcW w:w="2939" w:type="dxa"/>
            <w:gridSpan w:val="2"/>
            <w:tcBorders>
              <w:top w:val="nil"/>
              <w:left w:val="nil"/>
              <w:bottom w:val="nil"/>
              <w:right w:val="nil"/>
            </w:tcBorders>
            <w:noWrap/>
            <w:vAlign w:val="bottom"/>
            <w:hideMark/>
          </w:tcPr>
          <w:p w14:paraId="3139CEB0" w14:textId="77777777" w:rsidR="00F622D6" w:rsidRPr="00131BA8" w:rsidRDefault="00F622D6" w:rsidP="00F622D6">
            <w:pPr>
              <w:keepNext/>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Irvine Median Income</w:t>
            </w:r>
          </w:p>
        </w:tc>
        <w:tc>
          <w:tcPr>
            <w:tcW w:w="1528" w:type="dxa"/>
            <w:tcBorders>
              <w:top w:val="nil"/>
              <w:left w:val="nil"/>
              <w:bottom w:val="nil"/>
              <w:right w:val="nil"/>
            </w:tcBorders>
            <w:noWrap/>
            <w:vAlign w:val="bottom"/>
            <w:hideMark/>
          </w:tcPr>
          <w:p w14:paraId="11BB01FE" w14:textId="77777777" w:rsidR="00F622D6" w:rsidRPr="00131BA8" w:rsidRDefault="00F622D6" w:rsidP="00F622D6">
            <w:pPr>
              <w:keepNext/>
              <w:ind w:firstLine="0"/>
              <w:jc w:val="center"/>
              <w:rPr>
                <w:rFonts w:eastAsia="Times New Roman" w:cs="Times New Roman"/>
                <w:color w:val="000000"/>
                <w:sz w:val="18"/>
                <w:szCs w:val="18"/>
                <w:lang w:bidi="ar-SA"/>
              </w:rPr>
            </w:pPr>
          </w:p>
        </w:tc>
      </w:tr>
      <w:tr w:rsidR="00F622D6" w:rsidRPr="00131BA8" w14:paraId="5DE19D73" w14:textId="77777777" w:rsidTr="008F1316">
        <w:trPr>
          <w:trHeight w:val="173"/>
        </w:trPr>
        <w:tc>
          <w:tcPr>
            <w:tcW w:w="1530" w:type="dxa"/>
            <w:tcBorders>
              <w:top w:val="nil"/>
              <w:left w:val="nil"/>
              <w:bottom w:val="nil"/>
              <w:right w:val="nil"/>
            </w:tcBorders>
            <w:noWrap/>
            <w:vAlign w:val="bottom"/>
            <w:hideMark/>
          </w:tcPr>
          <w:p w14:paraId="4236BF3D"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6,991 </w:t>
            </w:r>
          </w:p>
        </w:tc>
        <w:tc>
          <w:tcPr>
            <w:tcW w:w="2939" w:type="dxa"/>
            <w:gridSpan w:val="2"/>
            <w:tcBorders>
              <w:top w:val="nil"/>
              <w:left w:val="nil"/>
              <w:bottom w:val="nil"/>
              <w:right w:val="nil"/>
            </w:tcBorders>
            <w:noWrap/>
            <w:vAlign w:val="bottom"/>
            <w:hideMark/>
          </w:tcPr>
          <w:p w14:paraId="49535D2D" w14:textId="77777777" w:rsidR="00F622D6" w:rsidRPr="00131BA8" w:rsidRDefault="00F622D6" w:rsidP="00F622D6">
            <w:pPr>
              <w:keepNext/>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Monthly Median Income</w:t>
            </w:r>
          </w:p>
        </w:tc>
        <w:tc>
          <w:tcPr>
            <w:tcW w:w="1528" w:type="dxa"/>
            <w:tcBorders>
              <w:top w:val="nil"/>
              <w:left w:val="nil"/>
              <w:bottom w:val="nil"/>
              <w:right w:val="nil"/>
            </w:tcBorders>
            <w:noWrap/>
            <w:vAlign w:val="bottom"/>
            <w:hideMark/>
          </w:tcPr>
          <w:p w14:paraId="1E2A7545" w14:textId="77777777" w:rsidR="00F622D6" w:rsidRPr="00131BA8" w:rsidRDefault="00F622D6" w:rsidP="00F622D6">
            <w:pPr>
              <w:keepNext/>
              <w:ind w:firstLine="0"/>
              <w:jc w:val="center"/>
              <w:rPr>
                <w:rFonts w:eastAsia="Times New Roman" w:cs="Times New Roman"/>
                <w:color w:val="000000"/>
                <w:sz w:val="18"/>
                <w:szCs w:val="18"/>
                <w:lang w:bidi="ar-SA"/>
              </w:rPr>
            </w:pPr>
          </w:p>
        </w:tc>
      </w:tr>
      <w:tr w:rsidR="00F622D6" w:rsidRPr="00131BA8" w14:paraId="2496AF54" w14:textId="77777777" w:rsidTr="008F1316">
        <w:trPr>
          <w:trHeight w:val="173"/>
        </w:trPr>
        <w:tc>
          <w:tcPr>
            <w:tcW w:w="1530" w:type="dxa"/>
            <w:tcBorders>
              <w:top w:val="nil"/>
              <w:left w:val="nil"/>
              <w:bottom w:val="nil"/>
              <w:right w:val="nil"/>
            </w:tcBorders>
            <w:noWrap/>
            <w:vAlign w:val="bottom"/>
            <w:hideMark/>
          </w:tcPr>
          <w:p w14:paraId="33622643"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6.0%</w:t>
            </w:r>
          </w:p>
        </w:tc>
        <w:tc>
          <w:tcPr>
            <w:tcW w:w="1434" w:type="dxa"/>
            <w:tcBorders>
              <w:top w:val="nil"/>
              <w:left w:val="nil"/>
              <w:bottom w:val="nil"/>
              <w:right w:val="nil"/>
            </w:tcBorders>
            <w:noWrap/>
            <w:vAlign w:val="bottom"/>
            <w:hideMark/>
          </w:tcPr>
          <w:p w14:paraId="576297E1" w14:textId="77777777" w:rsidR="00F622D6" w:rsidRPr="00131BA8" w:rsidRDefault="00F622D6" w:rsidP="00F622D6">
            <w:pPr>
              <w:keepNext/>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Interest Rate</w:t>
            </w:r>
          </w:p>
        </w:tc>
        <w:tc>
          <w:tcPr>
            <w:tcW w:w="1505" w:type="dxa"/>
            <w:tcBorders>
              <w:top w:val="nil"/>
              <w:left w:val="nil"/>
              <w:bottom w:val="nil"/>
              <w:right w:val="nil"/>
            </w:tcBorders>
            <w:noWrap/>
            <w:vAlign w:val="bottom"/>
            <w:hideMark/>
          </w:tcPr>
          <w:p w14:paraId="7C696DC6" w14:textId="77777777" w:rsidR="00F622D6" w:rsidRPr="00131BA8" w:rsidRDefault="00F622D6" w:rsidP="00F622D6">
            <w:pPr>
              <w:keepNext/>
              <w:ind w:firstLine="0"/>
              <w:jc w:val="center"/>
              <w:rPr>
                <w:rFonts w:eastAsia="Times New Roman" w:cs="Times New Roman"/>
                <w:color w:val="000000"/>
                <w:sz w:val="18"/>
                <w:szCs w:val="18"/>
                <w:lang w:bidi="ar-SA"/>
              </w:rPr>
            </w:pPr>
          </w:p>
        </w:tc>
        <w:tc>
          <w:tcPr>
            <w:tcW w:w="1528" w:type="dxa"/>
            <w:tcBorders>
              <w:top w:val="nil"/>
              <w:left w:val="nil"/>
              <w:bottom w:val="nil"/>
              <w:right w:val="nil"/>
            </w:tcBorders>
            <w:noWrap/>
            <w:vAlign w:val="bottom"/>
            <w:hideMark/>
          </w:tcPr>
          <w:p w14:paraId="73A5395E" w14:textId="77777777" w:rsidR="00F622D6" w:rsidRPr="00131BA8" w:rsidRDefault="00F622D6" w:rsidP="00F622D6">
            <w:pPr>
              <w:keepNext/>
              <w:ind w:firstLine="0"/>
              <w:jc w:val="center"/>
              <w:rPr>
                <w:rFonts w:eastAsia="Times New Roman" w:cs="Times New Roman"/>
                <w:color w:val="000000"/>
                <w:sz w:val="18"/>
                <w:szCs w:val="18"/>
                <w:lang w:bidi="ar-SA"/>
              </w:rPr>
            </w:pPr>
          </w:p>
        </w:tc>
      </w:tr>
      <w:tr w:rsidR="00F622D6" w:rsidRPr="00131BA8" w14:paraId="4CB367AF" w14:textId="77777777" w:rsidTr="00131E40">
        <w:trPr>
          <w:trHeight w:val="173"/>
        </w:trPr>
        <w:tc>
          <w:tcPr>
            <w:tcW w:w="1530" w:type="dxa"/>
            <w:tcBorders>
              <w:top w:val="nil"/>
              <w:left w:val="nil"/>
              <w:bottom w:val="single" w:sz="4" w:space="0" w:color="auto"/>
              <w:right w:val="nil"/>
            </w:tcBorders>
            <w:noWrap/>
            <w:vAlign w:val="bottom"/>
            <w:hideMark/>
          </w:tcPr>
          <w:p w14:paraId="43D0FDCF" w14:textId="77777777" w:rsidR="00F622D6" w:rsidRPr="00131BA8" w:rsidRDefault="00F622D6" w:rsidP="00F622D6">
            <w:pPr>
              <w:keepNext/>
              <w:ind w:firstLine="0"/>
              <w:jc w:val="center"/>
              <w:rPr>
                <w:rFonts w:eastAsia="Times New Roman" w:cs="Times New Roman"/>
                <w:color w:val="000000"/>
                <w:sz w:val="18"/>
                <w:szCs w:val="18"/>
                <w:lang w:bidi="ar-SA"/>
              </w:rPr>
            </w:pPr>
          </w:p>
        </w:tc>
        <w:tc>
          <w:tcPr>
            <w:tcW w:w="1434" w:type="dxa"/>
            <w:tcBorders>
              <w:top w:val="nil"/>
              <w:left w:val="nil"/>
              <w:bottom w:val="single" w:sz="4" w:space="0" w:color="auto"/>
              <w:right w:val="nil"/>
            </w:tcBorders>
            <w:noWrap/>
            <w:vAlign w:val="bottom"/>
            <w:hideMark/>
          </w:tcPr>
          <w:p w14:paraId="43A5D54D" w14:textId="77777777" w:rsidR="00F622D6" w:rsidRPr="00131BA8" w:rsidRDefault="00F622D6" w:rsidP="00F622D6">
            <w:pPr>
              <w:keepNext/>
              <w:ind w:firstLine="0"/>
              <w:jc w:val="center"/>
              <w:rPr>
                <w:rFonts w:eastAsia="Times New Roman" w:cs="Times New Roman"/>
                <w:color w:val="000000"/>
                <w:sz w:val="18"/>
                <w:szCs w:val="18"/>
                <w:lang w:bidi="ar-SA"/>
              </w:rPr>
            </w:pPr>
          </w:p>
        </w:tc>
        <w:tc>
          <w:tcPr>
            <w:tcW w:w="1505" w:type="dxa"/>
            <w:tcBorders>
              <w:top w:val="nil"/>
              <w:left w:val="nil"/>
              <w:bottom w:val="single" w:sz="4" w:space="0" w:color="auto"/>
              <w:right w:val="nil"/>
            </w:tcBorders>
            <w:noWrap/>
            <w:vAlign w:val="bottom"/>
            <w:hideMark/>
          </w:tcPr>
          <w:p w14:paraId="4BF4C26A" w14:textId="77777777" w:rsidR="00F622D6" w:rsidRPr="00131BA8" w:rsidRDefault="00F622D6" w:rsidP="00F622D6">
            <w:pPr>
              <w:keepNext/>
              <w:ind w:firstLine="0"/>
              <w:jc w:val="center"/>
              <w:rPr>
                <w:rFonts w:eastAsia="Times New Roman" w:cs="Times New Roman"/>
                <w:color w:val="000000"/>
                <w:sz w:val="18"/>
                <w:szCs w:val="18"/>
                <w:lang w:bidi="ar-SA"/>
              </w:rPr>
            </w:pPr>
          </w:p>
        </w:tc>
        <w:tc>
          <w:tcPr>
            <w:tcW w:w="1528" w:type="dxa"/>
            <w:tcBorders>
              <w:top w:val="nil"/>
              <w:left w:val="nil"/>
              <w:bottom w:val="single" w:sz="4" w:space="0" w:color="auto"/>
              <w:right w:val="nil"/>
            </w:tcBorders>
            <w:noWrap/>
            <w:vAlign w:val="bottom"/>
            <w:hideMark/>
          </w:tcPr>
          <w:p w14:paraId="07D33560"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w:t>
            </w:r>
          </w:p>
        </w:tc>
      </w:tr>
      <w:tr w:rsidR="00F622D6" w:rsidRPr="00131BA8" w14:paraId="73CAE500" w14:textId="77777777" w:rsidTr="00131E40">
        <w:trPr>
          <w:trHeight w:val="173"/>
        </w:trPr>
        <w:tc>
          <w:tcPr>
            <w:tcW w:w="1530" w:type="dxa"/>
            <w:tcBorders>
              <w:top w:val="single" w:sz="4" w:space="0" w:color="auto"/>
              <w:left w:val="nil"/>
              <w:bottom w:val="double" w:sz="6" w:space="0" w:color="auto"/>
              <w:right w:val="nil"/>
            </w:tcBorders>
            <w:noWrap/>
            <w:vAlign w:val="bottom"/>
            <w:hideMark/>
          </w:tcPr>
          <w:p w14:paraId="199D8D2D" w14:textId="77777777" w:rsidR="00F622D6" w:rsidRPr="00131BA8" w:rsidRDefault="00F622D6" w:rsidP="00F622D6">
            <w:pPr>
              <w:keepNext/>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Payment</w:t>
            </w:r>
          </w:p>
        </w:tc>
        <w:tc>
          <w:tcPr>
            <w:tcW w:w="1434" w:type="dxa"/>
            <w:tcBorders>
              <w:top w:val="single" w:sz="4" w:space="0" w:color="auto"/>
              <w:left w:val="nil"/>
              <w:bottom w:val="double" w:sz="6" w:space="0" w:color="auto"/>
              <w:right w:val="nil"/>
            </w:tcBorders>
            <w:noWrap/>
            <w:vAlign w:val="bottom"/>
            <w:hideMark/>
          </w:tcPr>
          <w:p w14:paraId="4C3DC0B4" w14:textId="77777777" w:rsidR="00F622D6" w:rsidRPr="00131BA8" w:rsidRDefault="00F622D6" w:rsidP="00F622D6">
            <w:pPr>
              <w:keepNext/>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DTI</w:t>
            </w:r>
            <w:r w:rsidR="001858B5" w:rsidRPr="00131BA8">
              <w:rPr>
                <w:rFonts w:eastAsia="Times New Roman" w:cs="Times New Roman"/>
                <w:b/>
                <w:bCs/>
                <w:color w:val="000000"/>
                <w:sz w:val="18"/>
                <w:szCs w:val="18"/>
                <w:lang w:bidi="ar-SA"/>
              </w:rPr>
              <w:fldChar w:fldCharType="begin"/>
            </w:r>
            <w:r w:rsidR="003247C5" w:rsidRPr="00131BA8">
              <w:rPr>
                <w:sz w:val="18"/>
              </w:rPr>
              <w:instrText xml:space="preserve"> XE "</w:instrText>
            </w:r>
            <w:r w:rsidR="003247C5" w:rsidRPr="00131BA8">
              <w:rPr>
                <w:rFonts w:cs="Times New Roman"/>
                <w:sz w:val="18"/>
              </w:rPr>
              <w:instrText>DTI</w:instrText>
            </w:r>
            <w:r w:rsidR="003247C5" w:rsidRPr="00131BA8">
              <w:rPr>
                <w:sz w:val="18"/>
              </w:rPr>
              <w:instrText xml:space="preserve">" </w:instrText>
            </w:r>
            <w:r w:rsidR="001858B5" w:rsidRPr="00131BA8">
              <w:rPr>
                <w:rFonts w:eastAsia="Times New Roman" w:cs="Times New Roman"/>
                <w:b/>
                <w:bCs/>
                <w:color w:val="000000"/>
                <w:sz w:val="18"/>
                <w:szCs w:val="18"/>
                <w:lang w:bidi="ar-SA"/>
              </w:rPr>
              <w:fldChar w:fldCharType="end"/>
            </w:r>
            <w:r w:rsidRPr="00131BA8">
              <w:rPr>
                <w:rFonts w:eastAsia="Times New Roman" w:cs="Times New Roman"/>
                <w:b/>
                <w:bCs/>
                <w:color w:val="000000"/>
                <w:sz w:val="18"/>
                <w:szCs w:val="18"/>
                <w:lang w:bidi="ar-SA"/>
              </w:rPr>
              <w:t xml:space="preserve"> Ratio</w:t>
            </w:r>
          </w:p>
        </w:tc>
        <w:tc>
          <w:tcPr>
            <w:tcW w:w="1505" w:type="dxa"/>
            <w:tcBorders>
              <w:top w:val="single" w:sz="4" w:space="0" w:color="auto"/>
              <w:left w:val="nil"/>
              <w:bottom w:val="double" w:sz="6" w:space="0" w:color="auto"/>
              <w:right w:val="nil"/>
            </w:tcBorders>
            <w:noWrap/>
            <w:vAlign w:val="bottom"/>
            <w:hideMark/>
          </w:tcPr>
          <w:p w14:paraId="78168C8F" w14:textId="77777777" w:rsidR="00F622D6" w:rsidRPr="00131BA8" w:rsidRDefault="00F622D6" w:rsidP="00F622D6">
            <w:pPr>
              <w:keepNext/>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Value</w:t>
            </w:r>
          </w:p>
        </w:tc>
        <w:tc>
          <w:tcPr>
            <w:tcW w:w="1528" w:type="dxa"/>
            <w:tcBorders>
              <w:top w:val="single" w:sz="4" w:space="0" w:color="auto"/>
              <w:left w:val="nil"/>
              <w:bottom w:val="double" w:sz="6" w:space="0" w:color="auto"/>
              <w:right w:val="nil"/>
            </w:tcBorders>
            <w:noWrap/>
            <w:vAlign w:val="bottom"/>
            <w:hideMark/>
          </w:tcPr>
          <w:p w14:paraId="141B3B9E" w14:textId="77777777" w:rsidR="00F622D6" w:rsidRPr="00131BA8" w:rsidRDefault="00F622D6" w:rsidP="00F622D6">
            <w:pPr>
              <w:keepNext/>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+ 20%</w:t>
            </w:r>
          </w:p>
        </w:tc>
      </w:tr>
      <w:tr w:rsidR="00F622D6" w:rsidRPr="00131BA8" w14:paraId="6BAC9AFF" w14:textId="77777777" w:rsidTr="00131E40">
        <w:trPr>
          <w:trHeight w:val="173"/>
        </w:trPr>
        <w:tc>
          <w:tcPr>
            <w:tcW w:w="1530" w:type="dxa"/>
            <w:tcBorders>
              <w:top w:val="double" w:sz="6" w:space="0" w:color="auto"/>
              <w:left w:val="nil"/>
              <w:bottom w:val="nil"/>
              <w:right w:val="nil"/>
            </w:tcBorders>
            <w:noWrap/>
            <w:vAlign w:val="bottom"/>
            <w:hideMark/>
          </w:tcPr>
          <w:p w14:paraId="49C03194"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1,957 </w:t>
            </w:r>
          </w:p>
        </w:tc>
        <w:tc>
          <w:tcPr>
            <w:tcW w:w="1434" w:type="dxa"/>
            <w:tcBorders>
              <w:top w:val="double" w:sz="6" w:space="0" w:color="auto"/>
              <w:left w:val="nil"/>
              <w:bottom w:val="nil"/>
              <w:right w:val="nil"/>
            </w:tcBorders>
            <w:noWrap/>
            <w:vAlign w:val="bottom"/>
            <w:hideMark/>
          </w:tcPr>
          <w:p w14:paraId="6D3AC8EA"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28.0%</w:t>
            </w:r>
          </w:p>
        </w:tc>
        <w:tc>
          <w:tcPr>
            <w:tcW w:w="1505" w:type="dxa"/>
            <w:tcBorders>
              <w:top w:val="double" w:sz="6" w:space="0" w:color="auto"/>
              <w:left w:val="nil"/>
              <w:bottom w:val="nil"/>
              <w:right w:val="nil"/>
            </w:tcBorders>
            <w:noWrap/>
            <w:vAlign w:val="bottom"/>
            <w:hideMark/>
          </w:tcPr>
          <w:p w14:paraId="033AA429"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326,487 </w:t>
            </w:r>
          </w:p>
        </w:tc>
        <w:tc>
          <w:tcPr>
            <w:tcW w:w="1528" w:type="dxa"/>
            <w:tcBorders>
              <w:top w:val="double" w:sz="6" w:space="0" w:color="auto"/>
              <w:left w:val="nil"/>
              <w:bottom w:val="nil"/>
              <w:right w:val="nil"/>
            </w:tcBorders>
            <w:noWrap/>
            <w:vAlign w:val="bottom"/>
            <w:hideMark/>
          </w:tcPr>
          <w:p w14:paraId="7BB862A0"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408,109 </w:t>
            </w:r>
          </w:p>
        </w:tc>
      </w:tr>
      <w:tr w:rsidR="00F622D6" w:rsidRPr="00131BA8" w14:paraId="0941F8A3" w14:textId="77777777" w:rsidTr="008F1316">
        <w:trPr>
          <w:trHeight w:val="173"/>
        </w:trPr>
        <w:tc>
          <w:tcPr>
            <w:tcW w:w="1530" w:type="dxa"/>
            <w:tcBorders>
              <w:top w:val="nil"/>
              <w:left w:val="nil"/>
              <w:bottom w:val="nil"/>
              <w:right w:val="nil"/>
            </w:tcBorders>
            <w:noWrap/>
            <w:vAlign w:val="bottom"/>
            <w:hideMark/>
          </w:tcPr>
          <w:p w14:paraId="57C3179B"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3,495 </w:t>
            </w:r>
          </w:p>
        </w:tc>
        <w:tc>
          <w:tcPr>
            <w:tcW w:w="1434" w:type="dxa"/>
            <w:tcBorders>
              <w:top w:val="nil"/>
              <w:left w:val="nil"/>
              <w:bottom w:val="nil"/>
              <w:right w:val="nil"/>
            </w:tcBorders>
            <w:noWrap/>
            <w:vAlign w:val="bottom"/>
            <w:hideMark/>
          </w:tcPr>
          <w:p w14:paraId="726D6F98"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50.0%</w:t>
            </w:r>
          </w:p>
        </w:tc>
        <w:tc>
          <w:tcPr>
            <w:tcW w:w="1505" w:type="dxa"/>
            <w:tcBorders>
              <w:top w:val="nil"/>
              <w:left w:val="nil"/>
              <w:bottom w:val="nil"/>
              <w:right w:val="nil"/>
            </w:tcBorders>
            <w:noWrap/>
            <w:vAlign w:val="bottom"/>
            <w:hideMark/>
          </w:tcPr>
          <w:p w14:paraId="6B5F15B3"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583,013 </w:t>
            </w:r>
          </w:p>
        </w:tc>
        <w:tc>
          <w:tcPr>
            <w:tcW w:w="1528" w:type="dxa"/>
            <w:tcBorders>
              <w:top w:val="nil"/>
              <w:left w:val="nil"/>
              <w:bottom w:val="nil"/>
              <w:right w:val="nil"/>
            </w:tcBorders>
            <w:noWrap/>
            <w:vAlign w:val="bottom"/>
            <w:hideMark/>
          </w:tcPr>
          <w:p w14:paraId="39D05B0E"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728,766 </w:t>
            </w:r>
          </w:p>
        </w:tc>
      </w:tr>
      <w:tr w:rsidR="00F622D6" w:rsidRPr="00131BA8" w14:paraId="536F6104" w14:textId="77777777" w:rsidTr="008F1316">
        <w:trPr>
          <w:trHeight w:val="173"/>
        </w:trPr>
        <w:tc>
          <w:tcPr>
            <w:tcW w:w="1530" w:type="dxa"/>
            <w:tcBorders>
              <w:top w:val="nil"/>
              <w:left w:val="nil"/>
              <w:bottom w:val="nil"/>
              <w:right w:val="nil"/>
            </w:tcBorders>
            <w:noWrap/>
            <w:vAlign w:val="bottom"/>
            <w:hideMark/>
          </w:tcPr>
          <w:p w14:paraId="42EC42CE"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4,334 </w:t>
            </w:r>
          </w:p>
        </w:tc>
        <w:tc>
          <w:tcPr>
            <w:tcW w:w="1434" w:type="dxa"/>
            <w:tcBorders>
              <w:top w:val="nil"/>
              <w:left w:val="nil"/>
              <w:bottom w:val="nil"/>
              <w:right w:val="nil"/>
            </w:tcBorders>
            <w:noWrap/>
            <w:vAlign w:val="bottom"/>
            <w:hideMark/>
          </w:tcPr>
          <w:p w14:paraId="7CCBBE83"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62.0%</w:t>
            </w:r>
          </w:p>
        </w:tc>
        <w:tc>
          <w:tcPr>
            <w:tcW w:w="1505" w:type="dxa"/>
            <w:tcBorders>
              <w:top w:val="nil"/>
              <w:left w:val="nil"/>
              <w:bottom w:val="nil"/>
              <w:right w:val="nil"/>
            </w:tcBorders>
            <w:noWrap/>
            <w:vAlign w:val="bottom"/>
            <w:hideMark/>
          </w:tcPr>
          <w:p w14:paraId="2F589416"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722,936 </w:t>
            </w:r>
          </w:p>
        </w:tc>
        <w:tc>
          <w:tcPr>
            <w:tcW w:w="1528" w:type="dxa"/>
            <w:tcBorders>
              <w:top w:val="nil"/>
              <w:left w:val="nil"/>
              <w:bottom w:val="nil"/>
              <w:right w:val="nil"/>
            </w:tcBorders>
            <w:noWrap/>
            <w:vAlign w:val="bottom"/>
            <w:hideMark/>
          </w:tcPr>
          <w:p w14:paraId="7435EA6E" w14:textId="77777777" w:rsidR="00F622D6" w:rsidRPr="00131BA8" w:rsidRDefault="00F622D6" w:rsidP="00F622D6">
            <w:pPr>
              <w:keepNext/>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903,670 </w:t>
            </w:r>
          </w:p>
        </w:tc>
      </w:tr>
    </w:tbl>
    <w:p w14:paraId="72E9B53C" w14:textId="77777777" w:rsidR="00F622D6" w:rsidRPr="00124B71" w:rsidRDefault="00F622D6" w:rsidP="00C02EF1">
      <w:pPr>
        <w:rPr>
          <w:rFonts w:cs="Times New Roman"/>
        </w:rPr>
      </w:pPr>
    </w:p>
    <w:p w14:paraId="0ADAB663" w14:textId="77777777" w:rsidR="00CE2D42" w:rsidRPr="00124B71" w:rsidRDefault="00F622D6" w:rsidP="00A80B70">
      <w:pPr>
        <w:rPr>
          <w:rFonts w:cs="Times New Roman"/>
        </w:rPr>
      </w:pPr>
      <w:r w:rsidRPr="00124B71">
        <w:rPr>
          <w:rFonts w:cs="Times New Roman"/>
        </w:rPr>
        <w:t>House prices are sensitive to small changes in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ratios when interest rates are very low as they were during the Great Housing Bubble. For instance, a 2% increase in the debt-to-income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Pr="00124B71">
        <w:rPr>
          <w:rFonts w:cs="Times New Roman"/>
        </w:rPr>
        <w:t xml:space="preserve"> can finance a loan that is 10% larger. Each borrower deciding to put a little more of their income toward housing can bid up prices very quickly. Prior to the bubble rally, lenders would limit DTIs to 28%, but during the bubble rally the only limit to DTIs were the degree to which borrowers were willing to exaggerate their income on their stated-income</w:t>
      </w:r>
      <w:r w:rsidR="001858B5">
        <w:rPr>
          <w:rFonts w:cs="Times New Roman"/>
        </w:rPr>
        <w:fldChar w:fldCharType="begin"/>
      </w:r>
      <w:r w:rsidR="00FA2AEF">
        <w:instrText xml:space="preserve"> XE "</w:instrText>
      </w:r>
      <w:r w:rsidR="00FA2AEF" w:rsidRPr="004E3026">
        <w:rPr>
          <w:rFonts w:cs="Times New Roman"/>
        </w:rPr>
        <w:instrText>stated-income</w:instrText>
      </w:r>
      <w:r w:rsidR="00FA2AEF">
        <w:instrText xml:space="preserve">" </w:instrText>
      </w:r>
      <w:r w:rsidR="001858B5">
        <w:rPr>
          <w:rFonts w:cs="Times New Roman"/>
        </w:rPr>
        <w:fldChar w:fldCharType="end"/>
      </w:r>
      <w:r w:rsidRPr="00124B71">
        <w:rPr>
          <w:rFonts w:cs="Times New Roman"/>
        </w:rPr>
        <w:t xml:space="preserve"> loan application. T</w:t>
      </w:r>
      <w:r w:rsidR="0056372B" w:rsidRPr="00124B71">
        <w:rPr>
          <w:rFonts w:cs="Times New Roman"/>
        </w:rPr>
        <w:t>he debt-to-income ratio in Irvine, California, in 2007</w:t>
      </w:r>
      <w:r w:rsidRPr="00124B71">
        <w:rPr>
          <w:rFonts w:cs="Times New Roman"/>
        </w:rPr>
        <w:t>,</w:t>
      </w:r>
      <w:r w:rsidR="0056372B" w:rsidRPr="00124B71">
        <w:rPr>
          <w:rFonts w:cs="Times New Roman"/>
        </w:rPr>
        <w:t xml:space="preserve"> was 64.4%. Even if it is assumed every buyer </w:t>
      </w:r>
      <w:r w:rsidR="00CE2D42" w:rsidRPr="00124B71">
        <w:rPr>
          <w:rFonts w:cs="Times New Roman"/>
        </w:rPr>
        <w:t>wa</w:t>
      </w:r>
      <w:r w:rsidR="0056372B" w:rsidRPr="00124B71">
        <w:rPr>
          <w:rFonts w:cs="Times New Roman"/>
        </w:rPr>
        <w:t xml:space="preserve">s putting 20% down (which </w:t>
      </w:r>
      <w:r w:rsidRPr="00124B71">
        <w:rPr>
          <w:rFonts w:cs="Times New Roman"/>
        </w:rPr>
        <w:t xml:space="preserve">they </w:t>
      </w:r>
      <w:r w:rsidR="00CE2D42" w:rsidRPr="00124B71">
        <w:rPr>
          <w:rFonts w:cs="Times New Roman"/>
        </w:rPr>
        <w:t>were</w:t>
      </w:r>
      <w:r w:rsidRPr="00124B71">
        <w:rPr>
          <w:rFonts w:cs="Times New Roman"/>
        </w:rPr>
        <w:t xml:space="preserve"> not</w:t>
      </w:r>
      <w:r w:rsidR="0056372B" w:rsidRPr="00124B71">
        <w:rPr>
          <w:rFonts w:cs="Times New Roman"/>
        </w:rPr>
        <w:t>), the DTI</w:t>
      </w:r>
      <w:r w:rsidR="001858B5">
        <w:rPr>
          <w:rFonts w:cs="Times New Roman"/>
        </w:rPr>
        <w:fldChar w:fldCharType="begin"/>
      </w:r>
      <w:r w:rsidR="003247C5">
        <w:instrText xml:space="preserve"> XE "</w:instrText>
      </w:r>
      <w:r w:rsidR="003247C5" w:rsidRPr="00DB5C51">
        <w:rPr>
          <w:rFonts w:cs="Times New Roman"/>
        </w:rPr>
        <w:instrText>DTI</w:instrText>
      </w:r>
      <w:r w:rsidR="003247C5">
        <w:instrText xml:space="preserve">" </w:instrText>
      </w:r>
      <w:r w:rsidR="001858B5">
        <w:rPr>
          <w:rFonts w:cs="Times New Roman"/>
        </w:rPr>
        <w:fldChar w:fldCharType="end"/>
      </w:r>
      <w:r w:rsidR="0056372B" w:rsidRPr="00124B71">
        <w:rPr>
          <w:rFonts w:cs="Times New Roman"/>
        </w:rPr>
        <w:t xml:space="preserve"> ratio is 50.1%. </w:t>
      </w:r>
      <w:r w:rsidR="00AE0CBC" w:rsidRPr="00124B71">
        <w:rPr>
          <w:rFonts w:cs="Times New Roman"/>
        </w:rPr>
        <w:t>T</w:t>
      </w:r>
      <w:r w:rsidR="0056372B" w:rsidRPr="00124B71">
        <w:rPr>
          <w:rFonts w:cs="Times New Roman"/>
        </w:rPr>
        <w:t xml:space="preserve">his is </w:t>
      </w:r>
      <w:r w:rsidR="0056372B" w:rsidRPr="00124B71">
        <w:rPr>
          <w:rStyle w:val="Emphasis"/>
          <w:rFonts w:cs="Times New Roman"/>
          <w:b w:val="0"/>
          <w:i w:val="0"/>
        </w:rPr>
        <w:t>gross</w:t>
      </w:r>
      <w:r w:rsidR="0056372B" w:rsidRPr="00124B71">
        <w:rPr>
          <w:rStyle w:val="Emphasis"/>
          <w:rFonts w:cs="Times New Roman"/>
        </w:rPr>
        <w:t xml:space="preserve"> </w:t>
      </w:r>
      <w:r w:rsidR="0056372B" w:rsidRPr="00124B71">
        <w:rPr>
          <w:rFonts w:cs="Times New Roman"/>
        </w:rPr>
        <w:t xml:space="preserve">income; as a percentage of take-home pay, the number is much higher. </w:t>
      </w:r>
      <w:r w:rsidR="00CE2D42" w:rsidRPr="00124B71">
        <w:rPr>
          <w:rFonts w:cs="Times New Roman"/>
        </w:rPr>
        <w:t>Most financed these sums through some combination of “liar loans” and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00CE2D42" w:rsidRPr="00124B71">
        <w:rPr>
          <w:rFonts w:cs="Times New Roman"/>
        </w:rPr>
        <w:t xml:space="preserve"> loan terms.</w:t>
      </w:r>
      <w:r w:rsidR="00BC1968" w:rsidRPr="00124B71">
        <w:rPr>
          <w:rFonts w:cs="Times New Roman"/>
        </w:rPr>
        <w:t xml:space="preserve"> Since these two “innovations” </w:t>
      </w:r>
      <w:r w:rsidR="00AE0CBC" w:rsidRPr="00124B71">
        <w:rPr>
          <w:rFonts w:cs="Times New Roman"/>
        </w:rPr>
        <w:t>have likely been</w:t>
      </w:r>
      <w:r w:rsidR="00BC1968" w:rsidRPr="00124B71">
        <w:rPr>
          <w:rFonts w:cs="Times New Roman"/>
        </w:rPr>
        <w:t xml:space="preserve"> eliminated forever, bubble buyers who used these techniques are not going to be bought out by a future buyer using the same financing methods and thereby using the same debt-to-income ratio.</w:t>
      </w:r>
    </w:p>
    <w:p w14:paraId="0393A38C" w14:textId="77777777" w:rsidR="001767A9" w:rsidRPr="00EF0EDA" w:rsidRDefault="00AE5BC0" w:rsidP="00A80B70">
      <w:pPr>
        <w:pStyle w:val="Heading3"/>
      </w:pPr>
      <w:bookmarkStart w:id="211" w:name="_Toc238867389"/>
      <w:r w:rsidRPr="00EF0EDA">
        <w:t xml:space="preserve">Higher </w:t>
      </w:r>
      <w:r w:rsidR="001767A9" w:rsidRPr="00EF0EDA">
        <w:t>Interest Rates</w:t>
      </w:r>
      <w:bookmarkEnd w:id="211"/>
      <w:r w:rsidR="001767A9" w:rsidRPr="00EF0EDA">
        <w:t xml:space="preserve"> </w:t>
      </w:r>
    </w:p>
    <w:p w14:paraId="51F5F272" w14:textId="77777777" w:rsidR="001767A9" w:rsidRPr="00124B71" w:rsidRDefault="001767A9" w:rsidP="00C02EF1">
      <w:pPr>
        <w:rPr>
          <w:rFonts w:cs="Times New Roman"/>
        </w:rPr>
      </w:pPr>
      <w:r w:rsidRPr="00124B71">
        <w:rPr>
          <w:rFonts w:cs="Times New Roman"/>
        </w:rPr>
        <w:t>Another key factor impacting the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Pr="00124B71">
        <w:rPr>
          <w:rFonts w:cs="Times New Roman"/>
        </w:rPr>
        <w:t xml:space="preserve"> and thereby the bottom is interest rates. Interest rates went down during the price decline</w:t>
      </w:r>
      <w:r w:rsidR="001D26CA" w:rsidRPr="00124B71">
        <w:rPr>
          <w:rFonts w:cs="Times New Roman"/>
        </w:rPr>
        <w:t xml:space="preserve"> in the early 90s</w:t>
      </w:r>
      <w:r w:rsidR="004E79CA" w:rsidRPr="00124B71">
        <w:rPr>
          <w:rFonts w:cs="Times New Roman"/>
        </w:rPr>
        <w:t>. That</w:t>
      </w:r>
      <w:r w:rsidRPr="00124B71">
        <w:rPr>
          <w:rFonts w:cs="Times New Roman"/>
        </w:rPr>
        <w:t xml:space="preserve"> softened the impact</w:t>
      </w:r>
      <w:r w:rsidR="004E79CA" w:rsidRPr="00124B71">
        <w:rPr>
          <w:rFonts w:cs="Times New Roman"/>
        </w:rPr>
        <w:t xml:space="preserve"> and made the decline take somewhat longer. When interest rates are declining, bubbles take longer to deflate, and the bottom is</w:t>
      </w:r>
      <w:r w:rsidR="000B33F0" w:rsidRPr="00124B71">
        <w:rPr>
          <w:rFonts w:cs="Times New Roman"/>
        </w:rPr>
        <w:t xml:space="preserve"> at a somewhat higher price point. When interest rates are increasing, bubbles deflate faster, and the bottom is at a lower price point</w:t>
      </w:r>
      <w:r w:rsidRPr="00124B71">
        <w:rPr>
          <w:rFonts w:cs="Times New Roman"/>
        </w:rPr>
        <w:t xml:space="preserve">. Mortgage Interest rates </w:t>
      </w:r>
      <w:r w:rsidR="001D26CA" w:rsidRPr="00124B71">
        <w:rPr>
          <w:rFonts w:cs="Times New Roman"/>
        </w:rPr>
        <w:t>during the Great Housing Bubble wer</w:t>
      </w:r>
      <w:r w:rsidRPr="00124B71">
        <w:rPr>
          <w:rFonts w:cs="Times New Roman"/>
        </w:rPr>
        <w:t xml:space="preserve">e </w:t>
      </w:r>
      <w:r w:rsidR="001D26CA" w:rsidRPr="00124B71">
        <w:rPr>
          <w:rFonts w:cs="Times New Roman"/>
        </w:rPr>
        <w:t>at</w:t>
      </w:r>
      <w:r w:rsidRPr="00124B71">
        <w:rPr>
          <w:rFonts w:cs="Times New Roman"/>
        </w:rPr>
        <w:t xml:space="preserve"> historic lows</w:t>
      </w:r>
      <w:r w:rsidR="00B0536A" w:rsidRPr="00124B71">
        <w:rPr>
          <w:rFonts w:cs="Times New Roman"/>
        </w:rPr>
        <w:t xml:space="preserve"> so a repeat of the steady decline in rates witnessed during the 90s </w:t>
      </w:r>
      <w:r w:rsidR="00D54A43" w:rsidRPr="00124B71">
        <w:rPr>
          <w:rFonts w:cs="Times New Roman"/>
        </w:rPr>
        <w:t>i</w:t>
      </w:r>
      <w:r w:rsidR="00B0536A" w:rsidRPr="00124B71">
        <w:rPr>
          <w:rFonts w:cs="Times New Roman"/>
        </w:rPr>
        <w:t>s not very likely</w:t>
      </w:r>
      <w:r w:rsidRPr="00124B71">
        <w:rPr>
          <w:rFonts w:cs="Times New Roman"/>
        </w:rPr>
        <w:t>.</w:t>
      </w:r>
      <w:r w:rsidR="00B0536A" w:rsidRPr="00124B71">
        <w:rPr>
          <w:rFonts w:cs="Times New Roman"/>
        </w:rPr>
        <w:t xml:space="preserve"> </w:t>
      </w:r>
      <w:r w:rsidRPr="00124B71">
        <w:rPr>
          <w:rFonts w:cs="Times New Roman"/>
        </w:rPr>
        <w:t xml:space="preserve">Higher interest rates </w:t>
      </w:r>
      <w:r w:rsidR="00B0536A" w:rsidRPr="00124B71">
        <w:rPr>
          <w:rFonts w:cs="Times New Roman"/>
        </w:rPr>
        <w:t>translate into diminished borrowing,</w:t>
      </w:r>
      <w:r w:rsidRPr="00124B71">
        <w:rPr>
          <w:rFonts w:cs="Times New Roman"/>
        </w:rPr>
        <w:t xml:space="preserve"> lower prices and a lower bottom.</w:t>
      </w:r>
    </w:p>
    <w:p w14:paraId="6362EF48" w14:textId="77777777" w:rsidR="006A2806" w:rsidRDefault="006A2806" w:rsidP="006A2806">
      <w:r w:rsidRPr="00124B71">
        <w:t xml:space="preserve">The lowering of the fed funds rate to 1% during the bubble prompted the lowering of mortgage interest rates to 5.8% by driving down the yield on the 10-year Treasury bill. </w:t>
      </w:r>
      <w:r w:rsidRPr="00124B71">
        <w:rPr>
          <w:rStyle w:val="EndnoteReference"/>
          <w:rFonts w:cs="Times New Roman"/>
        </w:rPr>
        <w:endnoteReference w:id="128"/>
      </w:r>
      <w:r w:rsidRPr="00124B71">
        <w:t xml:space="preserve"> The difference between the 10-year Treasury bill and mortgage interest rates is due primarily to the risk premium</w:t>
      </w:r>
      <w:r w:rsidR="001858B5">
        <w:fldChar w:fldCharType="begin"/>
      </w:r>
      <w:r>
        <w:instrText xml:space="preserve"> XE "</w:instrText>
      </w:r>
      <w:r w:rsidRPr="00886CD4">
        <w:instrText>risk premium</w:instrText>
      </w:r>
      <w:r>
        <w:instrText xml:space="preserve">" </w:instrText>
      </w:r>
      <w:r w:rsidR="001858B5">
        <w:fldChar w:fldCharType="end"/>
      </w:r>
      <w:r w:rsidRPr="00124B71">
        <w:t xml:space="preserve"> which was near historic lows during the Great Housing Bubble. As lenders and investors in Mortgage Backed Securities</w:t>
      </w:r>
      <w:r w:rsidR="001858B5">
        <w:fldChar w:fldCharType="begin"/>
      </w:r>
      <w:r>
        <w:instrText xml:space="preserve"> XE "</w:instrText>
      </w:r>
      <w:r w:rsidRPr="006619F1">
        <w:instrText>Mortgage Backed Securities</w:instrText>
      </w:r>
      <w:r>
        <w:instrText>" \t "</w:instrText>
      </w:r>
      <w:r w:rsidRPr="00E747DC">
        <w:rPr>
          <w:rFonts w:asciiTheme="minorHAnsi" w:hAnsiTheme="minorHAnsi"/>
          <w:i/>
        </w:rPr>
        <w:instrText>See</w:instrText>
      </w:r>
      <w:r w:rsidRPr="00E747DC">
        <w:rPr>
          <w:rFonts w:asciiTheme="minorHAnsi" w:hAnsiTheme="minorHAnsi"/>
        </w:rPr>
        <w:instrText xml:space="preserve"> MBS</w:instrText>
      </w:r>
      <w:r>
        <w:instrText xml:space="preserve">" </w:instrText>
      </w:r>
      <w:r w:rsidR="001858B5">
        <w:fldChar w:fldCharType="end"/>
      </w:r>
      <w:r w:rsidRPr="00124B71">
        <w:t xml:space="preserve"> (MBS</w:t>
      </w:r>
      <w:r w:rsidR="001858B5">
        <w:fldChar w:fldCharType="begin"/>
      </w:r>
      <w:r>
        <w:instrText xml:space="preserve"> XE "</w:instrText>
      </w:r>
      <w:r w:rsidRPr="00080DDF">
        <w:instrText>MBS</w:instrText>
      </w:r>
      <w:r>
        <w:instrText xml:space="preserve">" </w:instrText>
      </w:r>
      <w:r w:rsidR="001858B5">
        <w:fldChar w:fldCharType="end"/>
      </w:r>
      <w:r w:rsidRPr="00124B71">
        <w:t>) lost money during the decline, they de</w:t>
      </w:r>
      <w:r w:rsidRPr="00124B71">
        <w:lastRenderedPageBreak/>
        <w:t>manded higher risk premiums. This increased the spread between the 10-year Treasury bill yield and mortgage interest rates. The spreads for jumbo and subprime both became larger, and the funding for many exotic loan programs dried up.</w:t>
      </w:r>
    </w:p>
    <w:p w14:paraId="65827E43" w14:textId="1D884A50" w:rsidR="001841D8" w:rsidRPr="00EF0EDA" w:rsidRDefault="006A2806" w:rsidP="00A80B70">
      <w:pPr>
        <w:pStyle w:val="Caption"/>
        <w:rPr>
          <w:sz w:val="24"/>
          <w:szCs w:val="24"/>
        </w:rPr>
      </w:pPr>
      <w:r w:rsidRPr="00124B71">
        <w:rPr>
          <w:rFonts w:cs="Times New Roman"/>
        </w:rPr>
        <w:t xml:space="preserve"> </w:t>
      </w:r>
      <w:bookmarkStart w:id="212" w:name="_Toc238867497"/>
      <w:r w:rsidR="00CF05FE">
        <w:t>Figure</w:t>
      </w:r>
      <w:r w:rsidR="001841D8" w:rsidRPr="00EF0EDA">
        <w:t xml:space="preserve"> </w:t>
      </w:r>
      <w:fldSimple w:instr=" SEQ Figure \* ARABIC ">
        <w:r w:rsidR="00493733">
          <w:rPr>
            <w:noProof/>
          </w:rPr>
          <w:t>56</w:t>
        </w:r>
      </w:fldSimple>
      <w:r w:rsidR="00317936">
        <w:t xml:space="preserve">: </w:t>
      </w:r>
      <w:r w:rsidR="001841D8" w:rsidRPr="00EF0EDA">
        <w:t>Mortgage Interest Rates</w:t>
      </w:r>
      <w:r w:rsidR="00D24C1E">
        <w:t>,</w:t>
      </w:r>
      <w:r w:rsidR="001841D8" w:rsidRPr="00EF0EDA">
        <w:t xml:space="preserve"> 197</w:t>
      </w:r>
      <w:r w:rsidR="00C863CF">
        <w:t>2</w:t>
      </w:r>
      <w:r w:rsidR="001841D8" w:rsidRPr="00EF0EDA">
        <w:t>-2006</w:t>
      </w:r>
      <w:bookmarkEnd w:id="212"/>
    </w:p>
    <w:p w14:paraId="5A32B9C3" w14:textId="77777777" w:rsidR="001841D8" w:rsidRPr="00EF0EDA" w:rsidRDefault="00C863CF" w:rsidP="008F1316">
      <w:pPr>
        <w:pStyle w:val="Graphics"/>
      </w:pPr>
      <w:r>
        <w:drawing>
          <wp:inline distT="0" distB="0" distL="0" distR="0" wp14:anchorId="2C701065" wp14:editId="6231C1AA">
            <wp:extent cx="3657600" cy="2880360"/>
            <wp:effectExtent l="19050" t="0" r="0" b="0"/>
            <wp:docPr id="121" name="Picture 120" descr="Mortgage Interest Rates 1971-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tgage Interest Rates 1971-2007.jpg"/>
                    <pic:cNvPicPr/>
                  </pic:nvPicPr>
                  <pic:blipFill>
                    <a:blip r:embed="rId94"/>
                    <a:stretch>
                      <a:fillRect/>
                    </a:stretch>
                  </pic:blipFill>
                  <pic:spPr>
                    <a:xfrm>
                      <a:off x="0" y="0"/>
                      <a:ext cx="3657600" cy="2880360"/>
                    </a:xfrm>
                    <a:prstGeom prst="rect">
                      <a:avLst/>
                    </a:prstGeom>
                  </pic:spPr>
                </pic:pic>
              </a:graphicData>
            </a:graphic>
          </wp:inline>
        </w:drawing>
      </w:r>
    </w:p>
    <w:p w14:paraId="670D5D7B" w14:textId="77777777" w:rsidR="001D26CA" w:rsidRPr="00124B71" w:rsidRDefault="00F303B2" w:rsidP="00C02EF1">
      <w:pPr>
        <w:rPr>
          <w:rFonts w:cs="Times New Roman"/>
        </w:rPr>
      </w:pPr>
      <w:r w:rsidRPr="00124B71">
        <w:rPr>
          <w:rFonts w:cs="Times New Roman"/>
        </w:rPr>
        <w:t>As the FED</w:t>
      </w:r>
      <w:r w:rsidR="001858B5">
        <w:rPr>
          <w:rFonts w:cs="Times New Roman"/>
        </w:rPr>
        <w:fldChar w:fldCharType="begin"/>
      </w:r>
      <w:r w:rsidR="005E6B29">
        <w:instrText xml:space="preserve"> XE "</w:instrText>
      </w:r>
      <w:r w:rsidR="005E6B29" w:rsidRPr="00A95B0B">
        <w:rPr>
          <w:rFonts w:cs="Times New Roman"/>
        </w:rPr>
        <w:instrText>FED</w:instrText>
      </w:r>
      <w:r w:rsidR="005E6B29">
        <w:instrText xml:space="preserve">" </w:instrText>
      </w:r>
      <w:r w:rsidR="001858B5">
        <w:rPr>
          <w:rFonts w:cs="Times New Roman"/>
        </w:rPr>
        <w:fldChar w:fldCharType="end"/>
      </w:r>
      <w:r w:rsidRPr="00124B71">
        <w:rPr>
          <w:rFonts w:cs="Times New Roman"/>
        </w:rPr>
        <w:t xml:space="preserve"> lowered interest rates, the increased risk premiums demanded by lenders and MBS buyers drove up mortgage interest rates</w:t>
      </w:r>
      <w:r w:rsidR="00B0536A" w:rsidRPr="00124B71">
        <w:rPr>
          <w:rFonts w:cs="Times New Roman"/>
        </w:rPr>
        <w:t xml:space="preserve"> along with the heightened inflation expectation the lower FED funds rate caused during the cycle</w:t>
      </w:r>
      <w:r w:rsidRPr="00124B71">
        <w:rPr>
          <w:rFonts w:cs="Times New Roman"/>
        </w:rPr>
        <w:t xml:space="preserve">. </w:t>
      </w:r>
      <w:r w:rsidR="00815D59" w:rsidRPr="00124B71">
        <w:rPr>
          <w:rFonts w:cs="Times New Roman"/>
        </w:rPr>
        <w:t xml:space="preserve">Unless the FED wants to start paying people to borrow by lowering rates below 0%, base rates cannot go much lower. If all three parameters that make up mortgage interest rates were at historic lows during the bubble rally, there </w:t>
      </w:r>
      <w:r w:rsidR="00B0536A" w:rsidRPr="00124B71">
        <w:rPr>
          <w:rFonts w:cs="Times New Roman"/>
        </w:rPr>
        <w:t>wa</w:t>
      </w:r>
      <w:r w:rsidR="00815D59" w:rsidRPr="00124B71">
        <w:rPr>
          <w:rFonts w:cs="Times New Roman"/>
        </w:rPr>
        <w:t>s little or no hope of mortgage interest rates falling below 5.8%</w:t>
      </w:r>
      <w:r w:rsidR="00B0536A" w:rsidRPr="00124B71">
        <w:rPr>
          <w:rFonts w:cs="Times New Roman"/>
        </w:rPr>
        <w:t xml:space="preserve"> in the bubble’s aftermath</w:t>
      </w:r>
      <w:r w:rsidR="00815D59" w:rsidRPr="00124B71">
        <w:rPr>
          <w:rFonts w:cs="Times New Roman"/>
        </w:rPr>
        <w:t xml:space="preserve">. </w:t>
      </w:r>
      <w:r w:rsidR="001D26CA" w:rsidRPr="00124B71">
        <w:rPr>
          <w:rFonts w:cs="Times New Roman"/>
        </w:rPr>
        <w:t>The combination of a higher FED rate</w:t>
      </w:r>
      <w:r w:rsidR="00B0536A" w:rsidRPr="00124B71">
        <w:rPr>
          <w:rFonts w:cs="Times New Roman"/>
        </w:rPr>
        <w:t xml:space="preserve">, higher inflation </w:t>
      </w:r>
      <w:r w:rsidR="00625E31" w:rsidRPr="00124B71">
        <w:rPr>
          <w:rFonts w:cs="Times New Roman"/>
        </w:rPr>
        <w:t>expectations</w:t>
      </w:r>
      <w:r w:rsidR="001D26CA" w:rsidRPr="00124B71">
        <w:rPr>
          <w:rFonts w:cs="Times New Roman"/>
        </w:rPr>
        <w:t xml:space="preserve"> and larger risk premiums could easily push interest rates back up to near the 8% historic norm or even much higher. An increase in interest rates from 6% to 8% </w:t>
      </w:r>
      <w:r w:rsidRPr="00124B71">
        <w:rPr>
          <w:rFonts w:cs="Times New Roman"/>
        </w:rPr>
        <w:t>would reduce buying power 18%, and an increase to 10% would reduce buying power 32%.</w:t>
      </w:r>
      <w:r w:rsidR="001D26CA" w:rsidRPr="00124B71">
        <w:rPr>
          <w:rFonts w:cs="Times New Roman"/>
        </w:rPr>
        <w:t xml:space="preserve"> This would be disastrous for housing prices.</w:t>
      </w:r>
    </w:p>
    <w:p w14:paraId="06C82A41" w14:textId="77777777" w:rsidR="006A2806" w:rsidRPr="00124B71" w:rsidRDefault="006A2806" w:rsidP="006A2806">
      <w:pPr>
        <w:rPr>
          <w:rFonts w:cs="Times New Roman"/>
        </w:rPr>
      </w:pPr>
      <w:r w:rsidRPr="00124B71">
        <w:rPr>
          <w:rFonts w:cs="Times New Roman"/>
        </w:rPr>
        <w:t>Mortgage interest rates</w:t>
      </w:r>
      <w:r w:rsidR="001858B5">
        <w:rPr>
          <w:rFonts w:cs="Times New Roman"/>
        </w:rPr>
        <w:fldChar w:fldCharType="begin"/>
      </w:r>
      <w:r>
        <w:instrText xml:space="preserve"> XE "</w:instrText>
      </w:r>
      <w:r w:rsidRPr="00D10AE8">
        <w:rPr>
          <w:rFonts w:cs="Times New Roman"/>
        </w:rPr>
        <w:instrText>Mortgage interest rates</w:instrText>
      </w:r>
      <w:r>
        <w:instrText xml:space="preserve">" </w:instrText>
      </w:r>
      <w:r w:rsidR="001858B5">
        <w:rPr>
          <w:rFonts w:cs="Times New Roman"/>
        </w:rPr>
        <w:fldChar w:fldCharType="end"/>
      </w:r>
      <w:r w:rsidRPr="00124B71">
        <w:rPr>
          <w:rFonts w:cs="Times New Roman"/>
        </w:rPr>
        <w:t xml:space="preserve"> have been on a slow but steady decline since the early 1980s. Interest rates were at historical highs in the early 80s to curb inflation, and the decline from these peaks to the 7% to 9% range was to be expected. This initial decline in interest rates coupled with low inflation caused house prices to begin rising again in the late 80s culminating in the bubble that burst in 1990 leading to six consecutive years of declining prices.</w:t>
      </w:r>
    </w:p>
    <w:p w14:paraId="4809A8AC" w14:textId="0536CD8F" w:rsidR="001767A9" w:rsidRPr="00EF0EDA" w:rsidRDefault="00732642" w:rsidP="00732642">
      <w:pPr>
        <w:pStyle w:val="Caption"/>
        <w:rPr>
          <w:sz w:val="24"/>
          <w:szCs w:val="24"/>
        </w:rPr>
      </w:pPr>
      <w:bookmarkStart w:id="213" w:name="_Toc238867440"/>
      <w:r>
        <w:lastRenderedPageBreak/>
        <w:t xml:space="preserve">Table </w:t>
      </w:r>
      <w:fldSimple w:instr=" SEQ Table \* ARABIC ">
        <w:r w:rsidR="00493733">
          <w:rPr>
            <w:noProof/>
          </w:rPr>
          <w:t>14</w:t>
        </w:r>
      </w:fldSimple>
      <w:r w:rsidR="00317936">
        <w:t xml:space="preserve">: </w:t>
      </w:r>
      <w:r w:rsidR="00F303B2" w:rsidRPr="00EF0EDA">
        <w:t>Impact of Rising Interest Rates</w:t>
      </w:r>
      <w:r w:rsidR="00D24C1E">
        <w:t xml:space="preserve"> on Prices</w:t>
      </w:r>
      <w:bookmarkEnd w:id="213"/>
    </w:p>
    <w:tbl>
      <w:tblPr>
        <w:tblW w:w="5580" w:type="dxa"/>
        <w:tblInd w:w="108" w:type="dxa"/>
        <w:tblLook w:val="04A0" w:firstRow="1" w:lastRow="0" w:firstColumn="1" w:lastColumn="0" w:noHBand="0" w:noVBand="1"/>
      </w:tblPr>
      <w:tblGrid>
        <w:gridCol w:w="1440"/>
        <w:gridCol w:w="1440"/>
        <w:gridCol w:w="1440"/>
        <w:gridCol w:w="1260"/>
      </w:tblGrid>
      <w:tr w:rsidR="00F303B2" w:rsidRPr="00131BA8" w14:paraId="5458D52F" w14:textId="77777777" w:rsidTr="008F1316">
        <w:trPr>
          <w:trHeight w:val="173"/>
        </w:trPr>
        <w:tc>
          <w:tcPr>
            <w:tcW w:w="1440" w:type="dxa"/>
            <w:tcBorders>
              <w:top w:val="nil"/>
              <w:left w:val="nil"/>
              <w:bottom w:val="nil"/>
              <w:right w:val="nil"/>
            </w:tcBorders>
            <w:noWrap/>
            <w:vAlign w:val="bottom"/>
            <w:hideMark/>
          </w:tcPr>
          <w:p w14:paraId="3598BD01"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244,900 </w:t>
            </w:r>
          </w:p>
        </w:tc>
        <w:tc>
          <w:tcPr>
            <w:tcW w:w="2880" w:type="dxa"/>
            <w:gridSpan w:val="2"/>
            <w:tcBorders>
              <w:top w:val="nil"/>
              <w:left w:val="nil"/>
              <w:bottom w:val="nil"/>
              <w:right w:val="nil"/>
            </w:tcBorders>
            <w:noWrap/>
            <w:vAlign w:val="bottom"/>
            <w:hideMark/>
          </w:tcPr>
          <w:p w14:paraId="3F97A621" w14:textId="77777777" w:rsidR="00F303B2" w:rsidRPr="00131BA8" w:rsidRDefault="00F303B2" w:rsidP="00B0536A">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National Median Home Price</w:t>
            </w:r>
          </w:p>
        </w:tc>
        <w:tc>
          <w:tcPr>
            <w:tcW w:w="1260" w:type="dxa"/>
            <w:tcBorders>
              <w:top w:val="nil"/>
              <w:left w:val="nil"/>
              <w:bottom w:val="nil"/>
              <w:right w:val="nil"/>
            </w:tcBorders>
            <w:noWrap/>
            <w:vAlign w:val="bottom"/>
            <w:hideMark/>
          </w:tcPr>
          <w:p w14:paraId="37CD26DE" w14:textId="77777777" w:rsidR="00F303B2" w:rsidRPr="00131BA8" w:rsidRDefault="00F303B2" w:rsidP="00B0536A">
            <w:pPr>
              <w:keepNext/>
              <w:keepLines/>
              <w:ind w:firstLine="0"/>
              <w:jc w:val="center"/>
              <w:rPr>
                <w:rFonts w:eastAsia="Times New Roman" w:cs="Times New Roman"/>
                <w:color w:val="000000"/>
                <w:sz w:val="18"/>
                <w:szCs w:val="18"/>
                <w:lang w:bidi="ar-SA"/>
              </w:rPr>
            </w:pPr>
          </w:p>
        </w:tc>
      </w:tr>
      <w:tr w:rsidR="00F303B2" w:rsidRPr="00131BA8" w14:paraId="3CCE07FE" w14:textId="77777777" w:rsidTr="008F1316">
        <w:trPr>
          <w:trHeight w:val="173"/>
        </w:trPr>
        <w:tc>
          <w:tcPr>
            <w:tcW w:w="1440" w:type="dxa"/>
            <w:tcBorders>
              <w:top w:val="nil"/>
              <w:left w:val="nil"/>
              <w:bottom w:val="nil"/>
              <w:right w:val="nil"/>
            </w:tcBorders>
            <w:noWrap/>
            <w:vAlign w:val="bottom"/>
            <w:hideMark/>
          </w:tcPr>
          <w:p w14:paraId="6EF7514D"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47,423 </w:t>
            </w:r>
          </w:p>
        </w:tc>
        <w:tc>
          <w:tcPr>
            <w:tcW w:w="2880" w:type="dxa"/>
            <w:gridSpan w:val="2"/>
            <w:tcBorders>
              <w:top w:val="nil"/>
              <w:left w:val="nil"/>
              <w:bottom w:val="nil"/>
              <w:right w:val="nil"/>
            </w:tcBorders>
            <w:noWrap/>
            <w:vAlign w:val="bottom"/>
            <w:hideMark/>
          </w:tcPr>
          <w:p w14:paraId="20F6E006" w14:textId="77777777" w:rsidR="00F303B2" w:rsidRPr="00131BA8" w:rsidRDefault="00F303B2" w:rsidP="00B0536A">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National Median Income</w:t>
            </w:r>
          </w:p>
        </w:tc>
        <w:tc>
          <w:tcPr>
            <w:tcW w:w="1260" w:type="dxa"/>
            <w:tcBorders>
              <w:top w:val="nil"/>
              <w:left w:val="nil"/>
              <w:bottom w:val="nil"/>
              <w:right w:val="nil"/>
            </w:tcBorders>
            <w:noWrap/>
            <w:vAlign w:val="bottom"/>
            <w:hideMark/>
          </w:tcPr>
          <w:p w14:paraId="39FD12FB" w14:textId="77777777" w:rsidR="00F303B2" w:rsidRPr="00131BA8" w:rsidRDefault="00F303B2" w:rsidP="00B0536A">
            <w:pPr>
              <w:keepNext/>
              <w:keepLines/>
              <w:ind w:firstLine="0"/>
              <w:jc w:val="center"/>
              <w:rPr>
                <w:rFonts w:eastAsia="Times New Roman" w:cs="Times New Roman"/>
                <w:color w:val="000000"/>
                <w:sz w:val="18"/>
                <w:szCs w:val="18"/>
                <w:lang w:bidi="ar-SA"/>
              </w:rPr>
            </w:pPr>
          </w:p>
        </w:tc>
      </w:tr>
      <w:tr w:rsidR="00F303B2" w:rsidRPr="00131BA8" w14:paraId="49AB1393" w14:textId="77777777" w:rsidTr="008F1316">
        <w:trPr>
          <w:trHeight w:val="173"/>
        </w:trPr>
        <w:tc>
          <w:tcPr>
            <w:tcW w:w="1440" w:type="dxa"/>
            <w:tcBorders>
              <w:top w:val="nil"/>
              <w:left w:val="nil"/>
              <w:bottom w:val="nil"/>
              <w:right w:val="nil"/>
            </w:tcBorders>
            <w:noWrap/>
            <w:vAlign w:val="bottom"/>
            <w:hideMark/>
          </w:tcPr>
          <w:p w14:paraId="471568D3"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3,952 </w:t>
            </w:r>
          </w:p>
        </w:tc>
        <w:tc>
          <w:tcPr>
            <w:tcW w:w="4140" w:type="dxa"/>
            <w:gridSpan w:val="3"/>
            <w:tcBorders>
              <w:top w:val="nil"/>
              <w:left w:val="nil"/>
              <w:bottom w:val="nil"/>
              <w:right w:val="nil"/>
            </w:tcBorders>
            <w:noWrap/>
            <w:vAlign w:val="bottom"/>
            <w:hideMark/>
          </w:tcPr>
          <w:p w14:paraId="1B63406B" w14:textId="77777777" w:rsidR="00F303B2" w:rsidRPr="00131BA8" w:rsidRDefault="00F303B2" w:rsidP="00B0536A">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National Monthly Median Income</w:t>
            </w:r>
          </w:p>
        </w:tc>
      </w:tr>
      <w:tr w:rsidR="00F303B2" w:rsidRPr="00131BA8" w14:paraId="26D8EEC0" w14:textId="77777777" w:rsidTr="008F1316">
        <w:trPr>
          <w:trHeight w:val="173"/>
        </w:trPr>
        <w:tc>
          <w:tcPr>
            <w:tcW w:w="1440" w:type="dxa"/>
            <w:tcBorders>
              <w:top w:val="nil"/>
              <w:left w:val="nil"/>
              <w:bottom w:val="nil"/>
              <w:right w:val="nil"/>
            </w:tcBorders>
            <w:noWrap/>
            <w:vAlign w:val="bottom"/>
            <w:hideMark/>
          </w:tcPr>
          <w:p w14:paraId="431ACBEA"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28.0%</w:t>
            </w:r>
          </w:p>
        </w:tc>
        <w:tc>
          <w:tcPr>
            <w:tcW w:w="2880" w:type="dxa"/>
            <w:gridSpan w:val="2"/>
            <w:tcBorders>
              <w:top w:val="nil"/>
              <w:left w:val="nil"/>
              <w:bottom w:val="nil"/>
              <w:right w:val="nil"/>
            </w:tcBorders>
            <w:noWrap/>
            <w:vAlign w:val="bottom"/>
            <w:hideMark/>
          </w:tcPr>
          <w:p w14:paraId="760D9DDB" w14:textId="77777777" w:rsidR="00F303B2" w:rsidRPr="00131BA8" w:rsidRDefault="00F303B2" w:rsidP="00B0536A">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Debt-To-Income Ratio</w:t>
            </w:r>
          </w:p>
        </w:tc>
        <w:tc>
          <w:tcPr>
            <w:tcW w:w="1260" w:type="dxa"/>
            <w:tcBorders>
              <w:top w:val="nil"/>
              <w:left w:val="nil"/>
              <w:bottom w:val="nil"/>
              <w:right w:val="nil"/>
            </w:tcBorders>
            <w:noWrap/>
            <w:vAlign w:val="bottom"/>
            <w:hideMark/>
          </w:tcPr>
          <w:p w14:paraId="036DD033" w14:textId="77777777" w:rsidR="00F303B2" w:rsidRPr="00131BA8" w:rsidRDefault="00F303B2" w:rsidP="00B0536A">
            <w:pPr>
              <w:keepNext/>
              <w:keepLines/>
              <w:ind w:firstLine="0"/>
              <w:jc w:val="center"/>
              <w:rPr>
                <w:rFonts w:eastAsia="Times New Roman" w:cs="Times New Roman"/>
                <w:color w:val="000000"/>
                <w:sz w:val="18"/>
                <w:szCs w:val="18"/>
                <w:lang w:bidi="ar-SA"/>
              </w:rPr>
            </w:pPr>
          </w:p>
        </w:tc>
      </w:tr>
      <w:tr w:rsidR="00F303B2" w:rsidRPr="00131BA8" w14:paraId="09F0B599" w14:textId="77777777" w:rsidTr="008F1316">
        <w:trPr>
          <w:trHeight w:val="173"/>
        </w:trPr>
        <w:tc>
          <w:tcPr>
            <w:tcW w:w="1440" w:type="dxa"/>
            <w:tcBorders>
              <w:top w:val="nil"/>
              <w:left w:val="nil"/>
              <w:bottom w:val="nil"/>
              <w:right w:val="nil"/>
            </w:tcBorders>
            <w:noWrap/>
            <w:vAlign w:val="bottom"/>
            <w:hideMark/>
          </w:tcPr>
          <w:p w14:paraId="6B4BF465"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1,106.54 </w:t>
            </w:r>
          </w:p>
        </w:tc>
        <w:tc>
          <w:tcPr>
            <w:tcW w:w="2880" w:type="dxa"/>
            <w:gridSpan w:val="2"/>
            <w:tcBorders>
              <w:top w:val="nil"/>
              <w:left w:val="nil"/>
              <w:bottom w:val="nil"/>
              <w:right w:val="nil"/>
            </w:tcBorders>
            <w:noWrap/>
            <w:vAlign w:val="bottom"/>
            <w:hideMark/>
          </w:tcPr>
          <w:p w14:paraId="5BEBACD1" w14:textId="77777777" w:rsidR="00F303B2" w:rsidRPr="00131BA8" w:rsidRDefault="00F303B2" w:rsidP="00B0536A">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Monthly Payment</w:t>
            </w:r>
          </w:p>
        </w:tc>
        <w:tc>
          <w:tcPr>
            <w:tcW w:w="1260" w:type="dxa"/>
            <w:tcBorders>
              <w:top w:val="nil"/>
              <w:left w:val="nil"/>
              <w:bottom w:val="nil"/>
              <w:right w:val="nil"/>
            </w:tcBorders>
            <w:noWrap/>
            <w:vAlign w:val="bottom"/>
            <w:hideMark/>
          </w:tcPr>
          <w:p w14:paraId="7B51BDF1" w14:textId="77777777" w:rsidR="00F303B2" w:rsidRPr="00131BA8" w:rsidRDefault="00F303B2" w:rsidP="00B0536A">
            <w:pPr>
              <w:keepNext/>
              <w:keepLines/>
              <w:ind w:firstLine="0"/>
              <w:jc w:val="center"/>
              <w:rPr>
                <w:rFonts w:eastAsia="Times New Roman" w:cs="Times New Roman"/>
                <w:color w:val="000000"/>
                <w:sz w:val="18"/>
                <w:szCs w:val="18"/>
                <w:lang w:bidi="ar-SA"/>
              </w:rPr>
            </w:pPr>
          </w:p>
        </w:tc>
      </w:tr>
      <w:tr w:rsidR="00F303B2" w:rsidRPr="00131BA8" w14:paraId="37EDD81B" w14:textId="77777777" w:rsidTr="00131E40">
        <w:trPr>
          <w:trHeight w:val="173"/>
        </w:trPr>
        <w:tc>
          <w:tcPr>
            <w:tcW w:w="1440" w:type="dxa"/>
            <w:tcBorders>
              <w:top w:val="nil"/>
              <w:left w:val="nil"/>
              <w:bottom w:val="single" w:sz="4" w:space="0" w:color="auto"/>
              <w:right w:val="nil"/>
            </w:tcBorders>
            <w:noWrap/>
            <w:vAlign w:val="bottom"/>
            <w:hideMark/>
          </w:tcPr>
          <w:p w14:paraId="72736966" w14:textId="77777777" w:rsidR="00F303B2" w:rsidRPr="00131BA8" w:rsidRDefault="00F303B2" w:rsidP="00B0536A">
            <w:pPr>
              <w:keepNext/>
              <w:keepLines/>
              <w:ind w:firstLine="0"/>
              <w:jc w:val="center"/>
              <w:rPr>
                <w:rFonts w:eastAsia="Times New Roman" w:cs="Times New Roman"/>
                <w:color w:val="000000"/>
                <w:sz w:val="18"/>
                <w:szCs w:val="18"/>
                <w:lang w:bidi="ar-SA"/>
              </w:rPr>
            </w:pPr>
          </w:p>
        </w:tc>
        <w:tc>
          <w:tcPr>
            <w:tcW w:w="1440" w:type="dxa"/>
            <w:tcBorders>
              <w:top w:val="nil"/>
              <w:left w:val="nil"/>
              <w:bottom w:val="single" w:sz="4" w:space="0" w:color="auto"/>
              <w:right w:val="nil"/>
            </w:tcBorders>
            <w:noWrap/>
            <w:vAlign w:val="bottom"/>
            <w:hideMark/>
          </w:tcPr>
          <w:p w14:paraId="509F5E72" w14:textId="77777777" w:rsidR="00F303B2" w:rsidRPr="00131BA8" w:rsidRDefault="00F303B2" w:rsidP="00B0536A">
            <w:pPr>
              <w:keepNext/>
              <w:keepLines/>
              <w:ind w:firstLine="0"/>
              <w:jc w:val="center"/>
              <w:rPr>
                <w:rFonts w:eastAsia="Times New Roman" w:cs="Times New Roman"/>
                <w:color w:val="000000"/>
                <w:sz w:val="18"/>
                <w:szCs w:val="18"/>
                <w:lang w:bidi="ar-SA"/>
              </w:rPr>
            </w:pPr>
          </w:p>
        </w:tc>
        <w:tc>
          <w:tcPr>
            <w:tcW w:w="1440" w:type="dxa"/>
            <w:tcBorders>
              <w:top w:val="nil"/>
              <w:left w:val="nil"/>
              <w:bottom w:val="single" w:sz="4" w:space="0" w:color="auto"/>
              <w:right w:val="nil"/>
            </w:tcBorders>
            <w:noWrap/>
            <w:vAlign w:val="bottom"/>
            <w:hideMark/>
          </w:tcPr>
          <w:p w14:paraId="0CF726F1" w14:textId="77777777" w:rsidR="00F303B2" w:rsidRPr="00131BA8" w:rsidRDefault="00F303B2" w:rsidP="00B0536A">
            <w:pPr>
              <w:keepNext/>
              <w:keepLines/>
              <w:ind w:firstLine="0"/>
              <w:jc w:val="center"/>
              <w:rPr>
                <w:rFonts w:eastAsia="Times New Roman" w:cs="Times New Roman"/>
                <w:color w:val="000000"/>
                <w:sz w:val="18"/>
                <w:szCs w:val="18"/>
                <w:lang w:bidi="ar-SA"/>
              </w:rPr>
            </w:pPr>
          </w:p>
        </w:tc>
        <w:tc>
          <w:tcPr>
            <w:tcW w:w="1260" w:type="dxa"/>
            <w:tcBorders>
              <w:top w:val="nil"/>
              <w:left w:val="nil"/>
              <w:bottom w:val="single" w:sz="4" w:space="0" w:color="auto"/>
              <w:right w:val="nil"/>
            </w:tcBorders>
            <w:noWrap/>
            <w:vAlign w:val="bottom"/>
            <w:hideMark/>
          </w:tcPr>
          <w:p w14:paraId="009D91C5" w14:textId="77777777" w:rsidR="00F303B2" w:rsidRPr="00131BA8" w:rsidRDefault="00F303B2" w:rsidP="00B0536A">
            <w:pPr>
              <w:keepNext/>
              <w:keepLines/>
              <w:ind w:firstLine="0"/>
              <w:jc w:val="center"/>
              <w:rPr>
                <w:rFonts w:eastAsia="Times New Roman" w:cs="Times New Roman"/>
                <w:color w:val="000000"/>
                <w:sz w:val="18"/>
                <w:szCs w:val="18"/>
                <w:lang w:bidi="ar-SA"/>
              </w:rPr>
            </w:pPr>
          </w:p>
        </w:tc>
      </w:tr>
      <w:tr w:rsidR="00F303B2" w:rsidRPr="00131BA8" w14:paraId="5E53539D" w14:textId="77777777" w:rsidTr="00131E40">
        <w:trPr>
          <w:trHeight w:val="173"/>
        </w:trPr>
        <w:tc>
          <w:tcPr>
            <w:tcW w:w="1440" w:type="dxa"/>
            <w:tcBorders>
              <w:top w:val="single" w:sz="4" w:space="0" w:color="auto"/>
              <w:left w:val="nil"/>
              <w:bottom w:val="double" w:sz="6" w:space="0" w:color="auto"/>
              <w:right w:val="nil"/>
            </w:tcBorders>
            <w:noWrap/>
            <w:vAlign w:val="bottom"/>
            <w:hideMark/>
          </w:tcPr>
          <w:p w14:paraId="3A885DB9" w14:textId="77777777" w:rsidR="00F303B2" w:rsidRPr="00131BA8" w:rsidRDefault="00F303B2" w:rsidP="00B0536A">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Interest Rate</w:t>
            </w:r>
          </w:p>
        </w:tc>
        <w:tc>
          <w:tcPr>
            <w:tcW w:w="1440" w:type="dxa"/>
            <w:tcBorders>
              <w:top w:val="single" w:sz="4" w:space="0" w:color="auto"/>
              <w:left w:val="nil"/>
              <w:bottom w:val="double" w:sz="6" w:space="0" w:color="auto"/>
              <w:right w:val="nil"/>
            </w:tcBorders>
            <w:noWrap/>
            <w:vAlign w:val="bottom"/>
            <w:hideMark/>
          </w:tcPr>
          <w:p w14:paraId="1C806650" w14:textId="77777777" w:rsidR="00F303B2" w:rsidRPr="00131BA8" w:rsidRDefault="00F303B2" w:rsidP="00B0536A">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Loan Amount</w:t>
            </w:r>
          </w:p>
        </w:tc>
        <w:tc>
          <w:tcPr>
            <w:tcW w:w="1440" w:type="dxa"/>
            <w:tcBorders>
              <w:top w:val="single" w:sz="4" w:space="0" w:color="auto"/>
              <w:left w:val="nil"/>
              <w:bottom w:val="double" w:sz="6" w:space="0" w:color="auto"/>
              <w:right w:val="nil"/>
            </w:tcBorders>
            <w:noWrap/>
            <w:vAlign w:val="bottom"/>
            <w:hideMark/>
          </w:tcPr>
          <w:p w14:paraId="04E1D851" w14:textId="77777777" w:rsidR="00F303B2" w:rsidRPr="00131BA8" w:rsidRDefault="00F303B2" w:rsidP="00B0536A">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Value</w:t>
            </w:r>
          </w:p>
        </w:tc>
        <w:tc>
          <w:tcPr>
            <w:tcW w:w="1260" w:type="dxa"/>
            <w:tcBorders>
              <w:top w:val="single" w:sz="4" w:space="0" w:color="auto"/>
              <w:left w:val="nil"/>
              <w:bottom w:val="double" w:sz="6" w:space="0" w:color="auto"/>
              <w:right w:val="nil"/>
            </w:tcBorders>
            <w:noWrap/>
            <w:vAlign w:val="bottom"/>
            <w:hideMark/>
          </w:tcPr>
          <w:p w14:paraId="67345951" w14:textId="77777777" w:rsidR="00F303B2" w:rsidRPr="00131BA8" w:rsidRDefault="00F303B2" w:rsidP="00B0536A">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Value Change</w:t>
            </w:r>
          </w:p>
        </w:tc>
      </w:tr>
      <w:tr w:rsidR="00F303B2" w:rsidRPr="00131BA8" w14:paraId="2651C25A" w14:textId="77777777" w:rsidTr="00131E40">
        <w:trPr>
          <w:trHeight w:val="173"/>
        </w:trPr>
        <w:tc>
          <w:tcPr>
            <w:tcW w:w="1440" w:type="dxa"/>
            <w:tcBorders>
              <w:top w:val="double" w:sz="6" w:space="0" w:color="auto"/>
              <w:left w:val="nil"/>
              <w:bottom w:val="nil"/>
              <w:right w:val="nil"/>
            </w:tcBorders>
            <w:noWrap/>
            <w:vAlign w:val="bottom"/>
            <w:hideMark/>
          </w:tcPr>
          <w:p w14:paraId="3DBB8A0C"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4.5%</w:t>
            </w:r>
          </w:p>
        </w:tc>
        <w:tc>
          <w:tcPr>
            <w:tcW w:w="1440" w:type="dxa"/>
            <w:tcBorders>
              <w:top w:val="double" w:sz="6" w:space="0" w:color="auto"/>
              <w:left w:val="nil"/>
              <w:bottom w:val="nil"/>
              <w:right w:val="nil"/>
            </w:tcBorders>
            <w:noWrap/>
            <w:vAlign w:val="bottom"/>
            <w:hideMark/>
          </w:tcPr>
          <w:p w14:paraId="5EABCA4B"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218,387 </w:t>
            </w:r>
          </w:p>
        </w:tc>
        <w:tc>
          <w:tcPr>
            <w:tcW w:w="1440" w:type="dxa"/>
            <w:tcBorders>
              <w:top w:val="double" w:sz="6" w:space="0" w:color="auto"/>
              <w:left w:val="nil"/>
              <w:bottom w:val="nil"/>
              <w:right w:val="nil"/>
            </w:tcBorders>
            <w:noWrap/>
            <w:vAlign w:val="bottom"/>
            <w:hideMark/>
          </w:tcPr>
          <w:p w14:paraId="7F7C9A93"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272,984 </w:t>
            </w:r>
          </w:p>
        </w:tc>
        <w:tc>
          <w:tcPr>
            <w:tcW w:w="1260" w:type="dxa"/>
            <w:tcBorders>
              <w:top w:val="double" w:sz="6" w:space="0" w:color="auto"/>
              <w:left w:val="nil"/>
              <w:bottom w:val="nil"/>
              <w:right w:val="nil"/>
            </w:tcBorders>
            <w:noWrap/>
            <w:vAlign w:val="bottom"/>
            <w:hideMark/>
          </w:tcPr>
          <w:p w14:paraId="6A42F8DA"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18%</w:t>
            </w:r>
          </w:p>
        </w:tc>
      </w:tr>
      <w:tr w:rsidR="00F303B2" w:rsidRPr="00131BA8" w14:paraId="224919BF" w14:textId="77777777" w:rsidTr="008F1316">
        <w:trPr>
          <w:trHeight w:val="173"/>
        </w:trPr>
        <w:tc>
          <w:tcPr>
            <w:tcW w:w="1440" w:type="dxa"/>
            <w:tcBorders>
              <w:top w:val="nil"/>
              <w:left w:val="nil"/>
              <w:bottom w:val="nil"/>
              <w:right w:val="nil"/>
            </w:tcBorders>
            <w:noWrap/>
            <w:vAlign w:val="bottom"/>
            <w:hideMark/>
          </w:tcPr>
          <w:p w14:paraId="2999B38A"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5.0%</w:t>
            </w:r>
          </w:p>
        </w:tc>
        <w:tc>
          <w:tcPr>
            <w:tcW w:w="1440" w:type="dxa"/>
            <w:tcBorders>
              <w:top w:val="nil"/>
              <w:left w:val="nil"/>
              <w:bottom w:val="nil"/>
              <w:right w:val="nil"/>
            </w:tcBorders>
            <w:noWrap/>
            <w:vAlign w:val="bottom"/>
            <w:hideMark/>
          </w:tcPr>
          <w:p w14:paraId="08897B7F"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206,127 </w:t>
            </w:r>
          </w:p>
        </w:tc>
        <w:tc>
          <w:tcPr>
            <w:tcW w:w="1440" w:type="dxa"/>
            <w:tcBorders>
              <w:top w:val="nil"/>
              <w:left w:val="nil"/>
              <w:bottom w:val="nil"/>
              <w:right w:val="nil"/>
            </w:tcBorders>
            <w:noWrap/>
            <w:vAlign w:val="bottom"/>
            <w:hideMark/>
          </w:tcPr>
          <w:p w14:paraId="1D5359C2"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257,659 </w:t>
            </w:r>
          </w:p>
        </w:tc>
        <w:tc>
          <w:tcPr>
            <w:tcW w:w="1260" w:type="dxa"/>
            <w:tcBorders>
              <w:top w:val="nil"/>
              <w:left w:val="nil"/>
              <w:bottom w:val="nil"/>
              <w:right w:val="nil"/>
            </w:tcBorders>
            <w:noWrap/>
            <w:vAlign w:val="bottom"/>
            <w:hideMark/>
          </w:tcPr>
          <w:p w14:paraId="21A717CF"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12%</w:t>
            </w:r>
          </w:p>
        </w:tc>
      </w:tr>
      <w:tr w:rsidR="00F303B2" w:rsidRPr="00131BA8" w14:paraId="7A676395" w14:textId="77777777" w:rsidTr="008F1316">
        <w:trPr>
          <w:trHeight w:val="173"/>
        </w:trPr>
        <w:tc>
          <w:tcPr>
            <w:tcW w:w="1440" w:type="dxa"/>
            <w:tcBorders>
              <w:top w:val="nil"/>
              <w:left w:val="nil"/>
              <w:bottom w:val="nil"/>
              <w:right w:val="nil"/>
            </w:tcBorders>
            <w:noWrap/>
            <w:vAlign w:val="bottom"/>
            <w:hideMark/>
          </w:tcPr>
          <w:p w14:paraId="696D7B0B"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5.5%</w:t>
            </w:r>
          </w:p>
        </w:tc>
        <w:tc>
          <w:tcPr>
            <w:tcW w:w="1440" w:type="dxa"/>
            <w:tcBorders>
              <w:top w:val="nil"/>
              <w:left w:val="nil"/>
              <w:bottom w:val="nil"/>
              <w:right w:val="nil"/>
            </w:tcBorders>
            <w:noWrap/>
            <w:vAlign w:val="bottom"/>
            <w:hideMark/>
          </w:tcPr>
          <w:p w14:paraId="281639DA"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194,885 </w:t>
            </w:r>
          </w:p>
        </w:tc>
        <w:tc>
          <w:tcPr>
            <w:tcW w:w="1440" w:type="dxa"/>
            <w:tcBorders>
              <w:top w:val="nil"/>
              <w:left w:val="nil"/>
              <w:bottom w:val="nil"/>
              <w:right w:val="nil"/>
            </w:tcBorders>
            <w:noWrap/>
            <w:vAlign w:val="bottom"/>
            <w:hideMark/>
          </w:tcPr>
          <w:p w14:paraId="77B62666"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243,606 </w:t>
            </w:r>
          </w:p>
        </w:tc>
        <w:tc>
          <w:tcPr>
            <w:tcW w:w="1260" w:type="dxa"/>
            <w:tcBorders>
              <w:top w:val="nil"/>
              <w:left w:val="nil"/>
              <w:bottom w:val="nil"/>
              <w:right w:val="nil"/>
            </w:tcBorders>
            <w:noWrap/>
            <w:vAlign w:val="bottom"/>
            <w:hideMark/>
          </w:tcPr>
          <w:p w14:paraId="21EC1ED4"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w:t>
            </w:r>
          </w:p>
        </w:tc>
      </w:tr>
      <w:tr w:rsidR="00F303B2" w:rsidRPr="00131BA8" w14:paraId="79873E2E" w14:textId="77777777" w:rsidTr="008F1316">
        <w:trPr>
          <w:trHeight w:val="173"/>
        </w:trPr>
        <w:tc>
          <w:tcPr>
            <w:tcW w:w="1440" w:type="dxa"/>
            <w:tcBorders>
              <w:top w:val="nil"/>
              <w:left w:val="nil"/>
              <w:bottom w:val="nil"/>
              <w:right w:val="nil"/>
            </w:tcBorders>
            <w:shd w:val="clear" w:color="000000" w:fill="D8D8D8"/>
            <w:noWrap/>
            <w:vAlign w:val="bottom"/>
            <w:hideMark/>
          </w:tcPr>
          <w:p w14:paraId="6B6450A6"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6.0%</w:t>
            </w:r>
          </w:p>
        </w:tc>
        <w:tc>
          <w:tcPr>
            <w:tcW w:w="1440" w:type="dxa"/>
            <w:tcBorders>
              <w:top w:val="nil"/>
              <w:left w:val="nil"/>
              <w:bottom w:val="nil"/>
              <w:right w:val="nil"/>
            </w:tcBorders>
            <w:shd w:val="clear" w:color="000000" w:fill="D8D8D8"/>
            <w:noWrap/>
            <w:vAlign w:val="bottom"/>
            <w:hideMark/>
          </w:tcPr>
          <w:p w14:paraId="0276E45F"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184,561 </w:t>
            </w:r>
          </w:p>
        </w:tc>
        <w:tc>
          <w:tcPr>
            <w:tcW w:w="1440" w:type="dxa"/>
            <w:tcBorders>
              <w:top w:val="nil"/>
              <w:left w:val="nil"/>
              <w:bottom w:val="nil"/>
              <w:right w:val="nil"/>
            </w:tcBorders>
            <w:shd w:val="clear" w:color="000000" w:fill="D8D8D8"/>
            <w:noWrap/>
            <w:vAlign w:val="bottom"/>
            <w:hideMark/>
          </w:tcPr>
          <w:p w14:paraId="2623D1ED"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230,701 </w:t>
            </w:r>
          </w:p>
        </w:tc>
        <w:tc>
          <w:tcPr>
            <w:tcW w:w="1260" w:type="dxa"/>
            <w:tcBorders>
              <w:top w:val="nil"/>
              <w:left w:val="nil"/>
              <w:bottom w:val="nil"/>
              <w:right w:val="nil"/>
            </w:tcBorders>
            <w:shd w:val="clear" w:color="000000" w:fill="D8D8D8"/>
            <w:noWrap/>
            <w:vAlign w:val="bottom"/>
            <w:hideMark/>
          </w:tcPr>
          <w:p w14:paraId="47393A88"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0%</w:t>
            </w:r>
          </w:p>
        </w:tc>
      </w:tr>
      <w:tr w:rsidR="00F303B2" w:rsidRPr="00131BA8" w14:paraId="672C8469" w14:textId="77777777" w:rsidTr="008F1316">
        <w:trPr>
          <w:trHeight w:val="173"/>
        </w:trPr>
        <w:tc>
          <w:tcPr>
            <w:tcW w:w="1440" w:type="dxa"/>
            <w:tcBorders>
              <w:top w:val="nil"/>
              <w:left w:val="nil"/>
              <w:bottom w:val="nil"/>
              <w:right w:val="nil"/>
            </w:tcBorders>
            <w:noWrap/>
            <w:vAlign w:val="bottom"/>
            <w:hideMark/>
          </w:tcPr>
          <w:p w14:paraId="5469758D"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6.4%</w:t>
            </w:r>
          </w:p>
        </w:tc>
        <w:tc>
          <w:tcPr>
            <w:tcW w:w="1440" w:type="dxa"/>
            <w:tcBorders>
              <w:top w:val="nil"/>
              <w:left w:val="nil"/>
              <w:bottom w:val="nil"/>
              <w:right w:val="nil"/>
            </w:tcBorders>
            <w:noWrap/>
            <w:vAlign w:val="bottom"/>
            <w:hideMark/>
          </w:tcPr>
          <w:p w14:paraId="6CCF9263"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177,046 </w:t>
            </w:r>
          </w:p>
        </w:tc>
        <w:tc>
          <w:tcPr>
            <w:tcW w:w="1440" w:type="dxa"/>
            <w:tcBorders>
              <w:top w:val="nil"/>
              <w:left w:val="nil"/>
              <w:bottom w:val="nil"/>
              <w:right w:val="nil"/>
            </w:tcBorders>
            <w:noWrap/>
            <w:vAlign w:val="bottom"/>
            <w:hideMark/>
          </w:tcPr>
          <w:p w14:paraId="722FDCF1"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221,307 </w:t>
            </w:r>
          </w:p>
        </w:tc>
        <w:tc>
          <w:tcPr>
            <w:tcW w:w="1260" w:type="dxa"/>
            <w:tcBorders>
              <w:top w:val="nil"/>
              <w:left w:val="nil"/>
              <w:bottom w:val="nil"/>
              <w:right w:val="nil"/>
            </w:tcBorders>
            <w:noWrap/>
            <w:vAlign w:val="bottom"/>
            <w:hideMark/>
          </w:tcPr>
          <w:p w14:paraId="313C08DB"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w:t>
            </w:r>
          </w:p>
        </w:tc>
      </w:tr>
      <w:tr w:rsidR="00F303B2" w:rsidRPr="00131BA8" w14:paraId="234F0D26" w14:textId="77777777" w:rsidTr="008F1316">
        <w:trPr>
          <w:trHeight w:val="173"/>
        </w:trPr>
        <w:tc>
          <w:tcPr>
            <w:tcW w:w="1440" w:type="dxa"/>
            <w:tcBorders>
              <w:top w:val="nil"/>
              <w:left w:val="nil"/>
              <w:bottom w:val="nil"/>
              <w:right w:val="nil"/>
            </w:tcBorders>
            <w:noWrap/>
            <w:vAlign w:val="bottom"/>
            <w:hideMark/>
          </w:tcPr>
          <w:p w14:paraId="31E09B98"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7.0%</w:t>
            </w:r>
          </w:p>
        </w:tc>
        <w:tc>
          <w:tcPr>
            <w:tcW w:w="1440" w:type="dxa"/>
            <w:tcBorders>
              <w:top w:val="nil"/>
              <w:left w:val="nil"/>
              <w:bottom w:val="nil"/>
              <w:right w:val="nil"/>
            </w:tcBorders>
            <w:noWrap/>
            <w:vAlign w:val="bottom"/>
            <w:hideMark/>
          </w:tcPr>
          <w:p w14:paraId="10BDDBD5"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166,321 </w:t>
            </w:r>
          </w:p>
        </w:tc>
        <w:tc>
          <w:tcPr>
            <w:tcW w:w="1440" w:type="dxa"/>
            <w:tcBorders>
              <w:top w:val="nil"/>
              <w:left w:val="nil"/>
              <w:bottom w:val="nil"/>
              <w:right w:val="nil"/>
            </w:tcBorders>
            <w:noWrap/>
            <w:vAlign w:val="bottom"/>
            <w:hideMark/>
          </w:tcPr>
          <w:p w14:paraId="5EA7240A"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207,901 </w:t>
            </w:r>
          </w:p>
        </w:tc>
        <w:tc>
          <w:tcPr>
            <w:tcW w:w="1260" w:type="dxa"/>
            <w:tcBorders>
              <w:top w:val="nil"/>
              <w:left w:val="nil"/>
              <w:bottom w:val="nil"/>
              <w:right w:val="nil"/>
            </w:tcBorders>
            <w:noWrap/>
            <w:vAlign w:val="bottom"/>
            <w:hideMark/>
          </w:tcPr>
          <w:p w14:paraId="4D1E6D2C"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-10%</w:t>
            </w:r>
          </w:p>
        </w:tc>
      </w:tr>
      <w:tr w:rsidR="00F303B2" w:rsidRPr="00131BA8" w14:paraId="4C4AE864" w14:textId="77777777" w:rsidTr="008F1316">
        <w:trPr>
          <w:trHeight w:val="173"/>
        </w:trPr>
        <w:tc>
          <w:tcPr>
            <w:tcW w:w="1440" w:type="dxa"/>
            <w:tcBorders>
              <w:top w:val="nil"/>
              <w:left w:val="nil"/>
              <w:bottom w:val="nil"/>
              <w:right w:val="nil"/>
            </w:tcBorders>
            <w:noWrap/>
            <w:vAlign w:val="bottom"/>
            <w:hideMark/>
          </w:tcPr>
          <w:p w14:paraId="2AB82E51"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7.5%</w:t>
            </w:r>
          </w:p>
        </w:tc>
        <w:tc>
          <w:tcPr>
            <w:tcW w:w="1440" w:type="dxa"/>
            <w:tcBorders>
              <w:top w:val="nil"/>
              <w:left w:val="nil"/>
              <w:bottom w:val="nil"/>
              <w:right w:val="nil"/>
            </w:tcBorders>
            <w:noWrap/>
            <w:vAlign w:val="bottom"/>
            <w:hideMark/>
          </w:tcPr>
          <w:p w14:paraId="76D5A626"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158,254 </w:t>
            </w:r>
          </w:p>
        </w:tc>
        <w:tc>
          <w:tcPr>
            <w:tcW w:w="1440" w:type="dxa"/>
            <w:tcBorders>
              <w:top w:val="nil"/>
              <w:left w:val="nil"/>
              <w:bottom w:val="nil"/>
              <w:right w:val="nil"/>
            </w:tcBorders>
            <w:noWrap/>
            <w:vAlign w:val="bottom"/>
            <w:hideMark/>
          </w:tcPr>
          <w:p w14:paraId="7D540001"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197,818 </w:t>
            </w:r>
          </w:p>
        </w:tc>
        <w:tc>
          <w:tcPr>
            <w:tcW w:w="1260" w:type="dxa"/>
            <w:tcBorders>
              <w:top w:val="nil"/>
              <w:left w:val="nil"/>
              <w:bottom w:val="nil"/>
              <w:right w:val="nil"/>
            </w:tcBorders>
            <w:noWrap/>
            <w:vAlign w:val="bottom"/>
            <w:hideMark/>
          </w:tcPr>
          <w:p w14:paraId="1A911E7A"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-14%</w:t>
            </w:r>
          </w:p>
        </w:tc>
      </w:tr>
      <w:tr w:rsidR="00F303B2" w:rsidRPr="00131BA8" w14:paraId="12963886" w14:textId="77777777" w:rsidTr="008F1316">
        <w:trPr>
          <w:trHeight w:val="173"/>
        </w:trPr>
        <w:tc>
          <w:tcPr>
            <w:tcW w:w="1440" w:type="dxa"/>
            <w:tcBorders>
              <w:top w:val="nil"/>
              <w:left w:val="nil"/>
              <w:bottom w:val="nil"/>
              <w:right w:val="nil"/>
            </w:tcBorders>
            <w:noWrap/>
            <w:vAlign w:val="bottom"/>
            <w:hideMark/>
          </w:tcPr>
          <w:p w14:paraId="70C21566"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8.0%</w:t>
            </w:r>
          </w:p>
        </w:tc>
        <w:tc>
          <w:tcPr>
            <w:tcW w:w="1440" w:type="dxa"/>
            <w:tcBorders>
              <w:top w:val="nil"/>
              <w:left w:val="nil"/>
              <w:bottom w:val="nil"/>
              <w:right w:val="nil"/>
            </w:tcBorders>
            <w:noWrap/>
            <w:vAlign w:val="bottom"/>
            <w:hideMark/>
          </w:tcPr>
          <w:p w14:paraId="60BBD86C"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150,803 </w:t>
            </w:r>
          </w:p>
        </w:tc>
        <w:tc>
          <w:tcPr>
            <w:tcW w:w="1440" w:type="dxa"/>
            <w:tcBorders>
              <w:top w:val="nil"/>
              <w:left w:val="nil"/>
              <w:bottom w:val="nil"/>
              <w:right w:val="nil"/>
            </w:tcBorders>
            <w:noWrap/>
            <w:vAlign w:val="bottom"/>
            <w:hideMark/>
          </w:tcPr>
          <w:p w14:paraId="216A9681"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188,503 </w:t>
            </w:r>
          </w:p>
        </w:tc>
        <w:tc>
          <w:tcPr>
            <w:tcW w:w="1260" w:type="dxa"/>
            <w:tcBorders>
              <w:top w:val="nil"/>
              <w:left w:val="nil"/>
              <w:bottom w:val="nil"/>
              <w:right w:val="nil"/>
            </w:tcBorders>
            <w:noWrap/>
            <w:vAlign w:val="bottom"/>
            <w:hideMark/>
          </w:tcPr>
          <w:p w14:paraId="111CA297"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-18%</w:t>
            </w:r>
          </w:p>
        </w:tc>
      </w:tr>
      <w:tr w:rsidR="00F303B2" w:rsidRPr="00131BA8" w14:paraId="6584D10C" w14:textId="77777777" w:rsidTr="008F1316">
        <w:trPr>
          <w:trHeight w:val="173"/>
        </w:trPr>
        <w:tc>
          <w:tcPr>
            <w:tcW w:w="1440" w:type="dxa"/>
            <w:tcBorders>
              <w:top w:val="nil"/>
              <w:left w:val="nil"/>
              <w:bottom w:val="nil"/>
              <w:right w:val="nil"/>
            </w:tcBorders>
            <w:noWrap/>
            <w:vAlign w:val="bottom"/>
            <w:hideMark/>
          </w:tcPr>
          <w:p w14:paraId="280332F7"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8.5%</w:t>
            </w:r>
          </w:p>
        </w:tc>
        <w:tc>
          <w:tcPr>
            <w:tcW w:w="1440" w:type="dxa"/>
            <w:tcBorders>
              <w:top w:val="nil"/>
              <w:left w:val="nil"/>
              <w:bottom w:val="nil"/>
              <w:right w:val="nil"/>
            </w:tcBorders>
            <w:noWrap/>
            <w:vAlign w:val="bottom"/>
            <w:hideMark/>
          </w:tcPr>
          <w:p w14:paraId="1DC6EFBF"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143,909 </w:t>
            </w:r>
          </w:p>
        </w:tc>
        <w:tc>
          <w:tcPr>
            <w:tcW w:w="1440" w:type="dxa"/>
            <w:tcBorders>
              <w:top w:val="nil"/>
              <w:left w:val="nil"/>
              <w:bottom w:val="nil"/>
              <w:right w:val="nil"/>
            </w:tcBorders>
            <w:noWrap/>
            <w:vAlign w:val="bottom"/>
            <w:hideMark/>
          </w:tcPr>
          <w:p w14:paraId="73E826D5"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179,886 </w:t>
            </w:r>
          </w:p>
        </w:tc>
        <w:tc>
          <w:tcPr>
            <w:tcW w:w="1260" w:type="dxa"/>
            <w:tcBorders>
              <w:top w:val="nil"/>
              <w:left w:val="nil"/>
              <w:bottom w:val="nil"/>
              <w:right w:val="nil"/>
            </w:tcBorders>
            <w:noWrap/>
            <w:vAlign w:val="bottom"/>
            <w:hideMark/>
          </w:tcPr>
          <w:p w14:paraId="2C26BF47"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-22%</w:t>
            </w:r>
          </w:p>
        </w:tc>
      </w:tr>
      <w:tr w:rsidR="00F303B2" w:rsidRPr="00131BA8" w14:paraId="6B5C8670" w14:textId="77777777" w:rsidTr="008F1316">
        <w:trPr>
          <w:trHeight w:val="173"/>
        </w:trPr>
        <w:tc>
          <w:tcPr>
            <w:tcW w:w="1440" w:type="dxa"/>
            <w:tcBorders>
              <w:top w:val="nil"/>
              <w:left w:val="nil"/>
              <w:bottom w:val="nil"/>
              <w:right w:val="nil"/>
            </w:tcBorders>
            <w:noWrap/>
            <w:vAlign w:val="bottom"/>
            <w:hideMark/>
          </w:tcPr>
          <w:p w14:paraId="3354936D"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9.0%</w:t>
            </w:r>
          </w:p>
        </w:tc>
        <w:tc>
          <w:tcPr>
            <w:tcW w:w="1440" w:type="dxa"/>
            <w:tcBorders>
              <w:top w:val="nil"/>
              <w:left w:val="nil"/>
              <w:bottom w:val="nil"/>
              <w:right w:val="nil"/>
            </w:tcBorders>
            <w:noWrap/>
            <w:vAlign w:val="bottom"/>
            <w:hideMark/>
          </w:tcPr>
          <w:p w14:paraId="4EA87CD0"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137,522 </w:t>
            </w:r>
          </w:p>
        </w:tc>
        <w:tc>
          <w:tcPr>
            <w:tcW w:w="1440" w:type="dxa"/>
            <w:tcBorders>
              <w:top w:val="nil"/>
              <w:left w:val="nil"/>
              <w:bottom w:val="nil"/>
              <w:right w:val="nil"/>
            </w:tcBorders>
            <w:noWrap/>
            <w:vAlign w:val="bottom"/>
            <w:hideMark/>
          </w:tcPr>
          <w:p w14:paraId="30C90497"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171,903 </w:t>
            </w:r>
          </w:p>
        </w:tc>
        <w:tc>
          <w:tcPr>
            <w:tcW w:w="1260" w:type="dxa"/>
            <w:tcBorders>
              <w:top w:val="nil"/>
              <w:left w:val="nil"/>
              <w:bottom w:val="nil"/>
              <w:right w:val="nil"/>
            </w:tcBorders>
            <w:noWrap/>
            <w:vAlign w:val="bottom"/>
            <w:hideMark/>
          </w:tcPr>
          <w:p w14:paraId="2AC1E435"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-25%</w:t>
            </w:r>
          </w:p>
        </w:tc>
      </w:tr>
      <w:tr w:rsidR="00F303B2" w:rsidRPr="00131BA8" w14:paraId="79213234" w14:textId="77777777" w:rsidTr="008F1316">
        <w:trPr>
          <w:trHeight w:val="173"/>
        </w:trPr>
        <w:tc>
          <w:tcPr>
            <w:tcW w:w="1440" w:type="dxa"/>
            <w:tcBorders>
              <w:top w:val="nil"/>
              <w:left w:val="nil"/>
              <w:bottom w:val="nil"/>
              <w:right w:val="nil"/>
            </w:tcBorders>
            <w:noWrap/>
            <w:vAlign w:val="bottom"/>
            <w:hideMark/>
          </w:tcPr>
          <w:p w14:paraId="579E77F0"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9.5%</w:t>
            </w:r>
          </w:p>
        </w:tc>
        <w:tc>
          <w:tcPr>
            <w:tcW w:w="1440" w:type="dxa"/>
            <w:tcBorders>
              <w:top w:val="nil"/>
              <w:left w:val="nil"/>
              <w:bottom w:val="nil"/>
              <w:right w:val="nil"/>
            </w:tcBorders>
            <w:noWrap/>
            <w:vAlign w:val="bottom"/>
            <w:hideMark/>
          </w:tcPr>
          <w:p w14:paraId="756C18C3"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131,597 </w:t>
            </w:r>
          </w:p>
        </w:tc>
        <w:tc>
          <w:tcPr>
            <w:tcW w:w="1440" w:type="dxa"/>
            <w:tcBorders>
              <w:top w:val="nil"/>
              <w:left w:val="nil"/>
              <w:bottom w:val="nil"/>
              <w:right w:val="nil"/>
            </w:tcBorders>
            <w:noWrap/>
            <w:vAlign w:val="bottom"/>
            <w:hideMark/>
          </w:tcPr>
          <w:p w14:paraId="4EFEE43B"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164,496 </w:t>
            </w:r>
          </w:p>
        </w:tc>
        <w:tc>
          <w:tcPr>
            <w:tcW w:w="1260" w:type="dxa"/>
            <w:tcBorders>
              <w:top w:val="nil"/>
              <w:left w:val="nil"/>
              <w:bottom w:val="nil"/>
              <w:right w:val="nil"/>
            </w:tcBorders>
            <w:noWrap/>
            <w:vAlign w:val="bottom"/>
            <w:hideMark/>
          </w:tcPr>
          <w:p w14:paraId="23867AC9"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-29%</w:t>
            </w:r>
          </w:p>
        </w:tc>
      </w:tr>
      <w:tr w:rsidR="00F303B2" w:rsidRPr="00131BA8" w14:paraId="299026BD" w14:textId="77777777" w:rsidTr="008F1316">
        <w:trPr>
          <w:trHeight w:val="173"/>
        </w:trPr>
        <w:tc>
          <w:tcPr>
            <w:tcW w:w="1440" w:type="dxa"/>
            <w:tcBorders>
              <w:top w:val="nil"/>
              <w:left w:val="nil"/>
              <w:bottom w:val="nil"/>
              <w:right w:val="nil"/>
            </w:tcBorders>
            <w:noWrap/>
            <w:vAlign w:val="bottom"/>
            <w:hideMark/>
          </w:tcPr>
          <w:p w14:paraId="098FF625"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10.0%</w:t>
            </w:r>
          </w:p>
        </w:tc>
        <w:tc>
          <w:tcPr>
            <w:tcW w:w="1440" w:type="dxa"/>
            <w:tcBorders>
              <w:top w:val="nil"/>
              <w:left w:val="nil"/>
              <w:bottom w:val="nil"/>
              <w:right w:val="nil"/>
            </w:tcBorders>
            <w:noWrap/>
            <w:vAlign w:val="bottom"/>
            <w:hideMark/>
          </w:tcPr>
          <w:p w14:paraId="72E2A9A7"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126,091 </w:t>
            </w:r>
          </w:p>
        </w:tc>
        <w:tc>
          <w:tcPr>
            <w:tcW w:w="1440" w:type="dxa"/>
            <w:tcBorders>
              <w:top w:val="nil"/>
              <w:left w:val="nil"/>
              <w:bottom w:val="nil"/>
              <w:right w:val="nil"/>
            </w:tcBorders>
            <w:noWrap/>
            <w:vAlign w:val="bottom"/>
            <w:hideMark/>
          </w:tcPr>
          <w:p w14:paraId="7C935F0E"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157,613 </w:t>
            </w:r>
          </w:p>
        </w:tc>
        <w:tc>
          <w:tcPr>
            <w:tcW w:w="1260" w:type="dxa"/>
            <w:tcBorders>
              <w:top w:val="nil"/>
              <w:left w:val="nil"/>
              <w:bottom w:val="nil"/>
              <w:right w:val="nil"/>
            </w:tcBorders>
            <w:noWrap/>
            <w:vAlign w:val="bottom"/>
            <w:hideMark/>
          </w:tcPr>
          <w:p w14:paraId="3CB291CC" w14:textId="77777777" w:rsidR="00F303B2" w:rsidRPr="00131BA8" w:rsidRDefault="00F303B2" w:rsidP="00B0536A">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-32%</w:t>
            </w:r>
          </w:p>
        </w:tc>
      </w:tr>
      <w:tr w:rsidR="00F303B2" w:rsidRPr="00131BA8" w14:paraId="794CA68C" w14:textId="77777777" w:rsidTr="008F1316">
        <w:trPr>
          <w:trHeight w:val="173"/>
        </w:trPr>
        <w:tc>
          <w:tcPr>
            <w:tcW w:w="5580" w:type="dxa"/>
            <w:gridSpan w:val="4"/>
            <w:tcBorders>
              <w:top w:val="nil"/>
              <w:left w:val="nil"/>
              <w:bottom w:val="nil"/>
              <w:right w:val="nil"/>
            </w:tcBorders>
            <w:vAlign w:val="bottom"/>
            <w:hideMark/>
          </w:tcPr>
          <w:p w14:paraId="1A2ADC28" w14:textId="77777777" w:rsidR="00F303B2" w:rsidRPr="00131BA8" w:rsidRDefault="00F303B2" w:rsidP="00B0536A">
            <w:pPr>
              <w:keepNext/>
              <w:keepLines/>
              <w:ind w:firstLine="0"/>
              <w:rPr>
                <w:rFonts w:eastAsia="Times New Roman" w:cs="Times New Roman"/>
                <w:i/>
                <w:iCs/>
                <w:color w:val="000000"/>
                <w:sz w:val="18"/>
                <w:szCs w:val="18"/>
                <w:lang w:bidi="ar-SA"/>
              </w:rPr>
            </w:pPr>
            <w:r w:rsidRPr="00131BA8">
              <w:rPr>
                <w:rFonts w:eastAsia="Times New Roman" w:cs="Times New Roman"/>
                <w:i/>
                <w:iCs/>
                <w:color w:val="000000"/>
                <w:sz w:val="18"/>
                <w:szCs w:val="18"/>
                <w:lang w:bidi="ar-SA"/>
              </w:rPr>
              <w:t>Note: An increase in interest rates will have a strongly negative impact on house prices.</w:t>
            </w:r>
          </w:p>
        </w:tc>
      </w:tr>
    </w:tbl>
    <w:p w14:paraId="0C9E35A9" w14:textId="77777777" w:rsidR="00F303B2" w:rsidRPr="00124B71" w:rsidRDefault="00F303B2" w:rsidP="00C02EF1">
      <w:pPr>
        <w:rPr>
          <w:rFonts w:cs="Times New Roman"/>
        </w:rPr>
      </w:pPr>
    </w:p>
    <w:p w14:paraId="2C7D3DFB" w14:textId="77777777" w:rsidR="006A2806" w:rsidRPr="00124B71" w:rsidRDefault="006A2806" w:rsidP="006A2806">
      <w:pPr>
        <w:rPr>
          <w:rFonts w:cs="Times New Roman"/>
        </w:rPr>
      </w:pPr>
      <w:r w:rsidRPr="00124B71">
        <w:rPr>
          <w:rFonts w:cs="Times New Roman"/>
        </w:rPr>
        <w:t>During the early 90s while prices were declining, interest rates were also declining from 10.6% in 1989 to 7.2% in 1996. These 30% declines in interest rates made housing more affordable and helped limit the price declines in the early 90s. If interest rates had not declined, house prices certainly would have dropped further than they did. It is not very likely that interest rates will decline 30% from the 5.8% they were during the bubble down to an unprecedented 4.1% to match the debt relief of the early 90s. The actions of the FED</w:t>
      </w:r>
      <w:r w:rsidR="001858B5">
        <w:rPr>
          <w:rFonts w:cs="Times New Roman"/>
        </w:rPr>
        <w:fldChar w:fldCharType="begin"/>
      </w:r>
      <w:r>
        <w:instrText xml:space="preserve"> XE "</w:instrText>
      </w:r>
      <w:r w:rsidRPr="00A95B0B">
        <w:rPr>
          <w:rFonts w:cs="Times New Roman"/>
        </w:rPr>
        <w:instrText>FED</w:instrText>
      </w:r>
      <w:r>
        <w:instrText xml:space="preserve">" </w:instrText>
      </w:r>
      <w:r w:rsidR="001858B5">
        <w:rPr>
          <w:rFonts w:cs="Times New Roman"/>
        </w:rPr>
        <w:fldChar w:fldCharType="end"/>
      </w:r>
      <w:r w:rsidRPr="00124B71">
        <w:rPr>
          <w:rFonts w:cs="Times New Roman"/>
        </w:rPr>
        <w:t xml:space="preserve"> </w:t>
      </w:r>
      <w:r w:rsidRPr="00124B71">
        <w:rPr>
          <w:rStyle w:val="Emphasis"/>
          <w:rFonts w:cs="Times New Roman"/>
          <w:b w:val="0"/>
          <w:i w:val="0"/>
        </w:rPr>
        <w:t>could not</w:t>
      </w:r>
      <w:r w:rsidRPr="00124B71">
        <w:rPr>
          <w:rFonts w:cs="Times New Roman"/>
        </w:rPr>
        <w:t xml:space="preserve"> and did not keep house prices from falling. </w:t>
      </w:r>
    </w:p>
    <w:p w14:paraId="5BBF98C1" w14:textId="4C9F43F8" w:rsidR="00DC1774" w:rsidRPr="00EF0EDA" w:rsidRDefault="00CF05FE" w:rsidP="00A80B70">
      <w:pPr>
        <w:pStyle w:val="Caption"/>
      </w:pPr>
      <w:bookmarkStart w:id="214" w:name="_Toc238867498"/>
      <w:r>
        <w:t>Figure</w:t>
      </w:r>
      <w:r w:rsidR="00DC1774" w:rsidRPr="00EF0EDA">
        <w:t xml:space="preserve"> </w:t>
      </w:r>
      <w:fldSimple w:instr=" SEQ Figure \* ARABIC ">
        <w:r w:rsidR="00493733">
          <w:rPr>
            <w:noProof/>
          </w:rPr>
          <w:t>57</w:t>
        </w:r>
      </w:fldSimple>
      <w:r w:rsidR="00317936">
        <w:t xml:space="preserve">: </w:t>
      </w:r>
      <w:r w:rsidR="00DC1774" w:rsidRPr="00EF0EDA">
        <w:t>Mortgage Interest Rates</w:t>
      </w:r>
      <w:r w:rsidR="00D24C1E">
        <w:t>,</w:t>
      </w:r>
      <w:r w:rsidR="00DC1774" w:rsidRPr="00EF0EDA">
        <w:t xml:space="preserve"> 1986-2006</w:t>
      </w:r>
      <w:bookmarkEnd w:id="214"/>
    </w:p>
    <w:p w14:paraId="60540465" w14:textId="77777777" w:rsidR="00DC1774" w:rsidRPr="00EF0EDA" w:rsidRDefault="00C863CF" w:rsidP="002D7DDD">
      <w:pPr>
        <w:pStyle w:val="Graphics"/>
      </w:pPr>
      <w:r>
        <w:drawing>
          <wp:inline distT="0" distB="0" distL="0" distR="0" wp14:anchorId="29DF81D5" wp14:editId="7E849181">
            <wp:extent cx="3657600" cy="2143125"/>
            <wp:effectExtent l="19050" t="0" r="0" b="0"/>
            <wp:docPr id="122" name="Picture 121" descr="Mortgage Interest Rates 1986-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tgage Interest Rates 1986-2007.jpg"/>
                    <pic:cNvPicPr/>
                  </pic:nvPicPr>
                  <pic:blipFill>
                    <a:blip r:embed="rId95"/>
                    <a:stretch>
                      <a:fillRect/>
                    </a:stretch>
                  </pic:blipFill>
                  <pic:spPr>
                    <a:xfrm>
                      <a:off x="0" y="0"/>
                      <a:ext cx="3657600" cy="2143125"/>
                    </a:xfrm>
                    <a:prstGeom prst="rect">
                      <a:avLst/>
                    </a:prstGeom>
                  </pic:spPr>
                </pic:pic>
              </a:graphicData>
            </a:graphic>
          </wp:inline>
        </w:drawing>
      </w:r>
    </w:p>
    <w:p w14:paraId="12398032" w14:textId="77777777" w:rsidR="0056372B" w:rsidRPr="00EF0EDA" w:rsidRDefault="0056372B" w:rsidP="00A80B70">
      <w:pPr>
        <w:pStyle w:val="Heading3"/>
      </w:pPr>
      <w:bookmarkStart w:id="215" w:name="_Toc238867390"/>
      <w:r w:rsidRPr="00EF0EDA">
        <w:lastRenderedPageBreak/>
        <w:t>Future Loan Terms</w:t>
      </w:r>
      <w:bookmarkEnd w:id="215"/>
    </w:p>
    <w:p w14:paraId="42F7A80D" w14:textId="77777777" w:rsidR="00FF0C55" w:rsidRPr="00124B71" w:rsidRDefault="00FF0C55" w:rsidP="00FF0C55">
      <w:pPr>
        <w:rPr>
          <w:rFonts w:cs="Times New Roman"/>
        </w:rPr>
      </w:pPr>
      <w:r w:rsidRPr="00124B71">
        <w:rPr>
          <w:rFonts w:cs="Times New Roman"/>
        </w:rPr>
        <w:t xml:space="preserve">One of the primary mechanisms for inflating the Great Housing Bubble was the widespread use of exotic loan terms including interest-only and negative-amortization adjustable rate mortgages. The appeal of interest-only and negative-amortization loans is the lower payments they offer, or their ability to finance larger sums of money with the same payment. Adjustable rate mortgages are very risky; it is a risk that has been forgotten, ignored, or not understood by a great many buyers. In an era of steadily declining interest rates, the risks </w:t>
      </w:r>
      <w:r w:rsidR="00442F83" w:rsidRPr="00124B71">
        <w:rPr>
          <w:rFonts w:cs="Times New Roman"/>
        </w:rPr>
        <w:t xml:space="preserve">of </w:t>
      </w:r>
      <w:r w:rsidR="00027320">
        <w:rPr>
          <w:rFonts w:cs="Times New Roman"/>
        </w:rPr>
        <w:t>adjustable rate</w:t>
      </w:r>
      <w:r w:rsidRPr="00124B71">
        <w:rPr>
          <w:rFonts w:cs="Times New Roman"/>
        </w:rPr>
        <w:t xml:space="preserve"> mortgages do not become problems and many forget (or never realized) the risk</w:t>
      </w:r>
      <w:r w:rsidR="00442F83" w:rsidRPr="00124B71">
        <w:rPr>
          <w:rFonts w:cs="Times New Roman"/>
        </w:rPr>
        <w:t>s</w:t>
      </w:r>
      <w:r w:rsidRPr="00124B71">
        <w:rPr>
          <w:rFonts w:cs="Times New Roman"/>
        </w:rPr>
        <w:t xml:space="preserve"> w</w:t>
      </w:r>
      <w:r w:rsidR="00442F83" w:rsidRPr="00124B71">
        <w:rPr>
          <w:rFonts w:cs="Times New Roman"/>
        </w:rPr>
        <w:t>ere</w:t>
      </w:r>
      <w:r w:rsidRPr="00124B71">
        <w:rPr>
          <w:rFonts w:cs="Times New Roman"/>
        </w:rPr>
        <w:t xml:space="preserve"> there. Once prices decline to a point where the loan balance is greater than the value of the property, mortgage holders are unable to refinance when their mortgage reset comes due. Most often this will result in a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In fact, this is the primary mechanism of the decline, and it will also prevent any meaningful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for years to come.</w:t>
      </w:r>
    </w:p>
    <w:p w14:paraId="31F6C2CE" w14:textId="77777777" w:rsidR="006B209A" w:rsidRPr="00124B71" w:rsidRDefault="00FF0C55" w:rsidP="00A80B70">
      <w:pPr>
        <w:rPr>
          <w:rFonts w:cs="Times New Roman"/>
        </w:rPr>
      </w:pPr>
      <w:r w:rsidRPr="00124B71">
        <w:rPr>
          <w:rFonts w:cs="Times New Roman"/>
        </w:rPr>
        <w:t xml:space="preserve"> Of all the factors that contributed to the inflation of the Great Housing Bubble, the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 with its offers of extremely low initial payment rates was the primary factor that pushed prices higher than anyone could previously imagine.</w:t>
      </w:r>
      <w:r w:rsidR="00442F83" w:rsidRPr="00124B71">
        <w:rPr>
          <w:rFonts w:cs="Times New Roman"/>
        </w:rPr>
        <w:t xml:space="preserve"> </w:t>
      </w:r>
      <w:r w:rsidR="00AE0CBC" w:rsidRPr="00124B71">
        <w:rPr>
          <w:rFonts w:cs="Times New Roman"/>
        </w:rPr>
        <w:t>Toxic loan products</w:t>
      </w:r>
      <w:r w:rsidR="00442F83" w:rsidRPr="00124B71">
        <w:rPr>
          <w:rFonts w:cs="Times New Roman"/>
        </w:rPr>
        <w:t xml:space="preserve">, or as the lending industry likes to call </w:t>
      </w:r>
      <w:r w:rsidR="00AE0CBC" w:rsidRPr="00124B71">
        <w:rPr>
          <w:rFonts w:cs="Times New Roman"/>
        </w:rPr>
        <w:t>them</w:t>
      </w:r>
      <w:r w:rsidR="00442F83" w:rsidRPr="00124B71">
        <w:rPr>
          <w:rFonts w:cs="Times New Roman"/>
        </w:rPr>
        <w:t>,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00442F83" w:rsidRPr="00124B71">
        <w:rPr>
          <w:rFonts w:cs="Times New Roman"/>
        </w:rPr>
        <w:t xml:space="preserve"> products, distort the traditional measure of the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442F83" w:rsidRPr="00124B71">
        <w:rPr>
          <w:rFonts w:cs="Times New Roman"/>
        </w:rPr>
        <w:t xml:space="preserv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00442F83" w:rsidRPr="00124B71">
        <w:rPr>
          <w:rFonts w:cs="Times New Roman"/>
        </w:rPr>
        <w:t>. The debt-to-income ratio is calculated with an assumption of a 30-year fixed rate mortgage, when in reality, borrowers were using interest-only and negative amortization loans to keep their debt-to-income ratio to manageable levels.</w:t>
      </w:r>
    </w:p>
    <w:p w14:paraId="629C28A2" w14:textId="1EC20C18" w:rsidR="00FF0C55" w:rsidRPr="00EF0EDA" w:rsidRDefault="00732642" w:rsidP="00732642">
      <w:pPr>
        <w:pStyle w:val="Caption"/>
      </w:pPr>
      <w:bookmarkStart w:id="216" w:name="_Toc238867441"/>
      <w:r>
        <w:t xml:space="preserve">Table </w:t>
      </w:r>
      <w:fldSimple w:instr=" SEQ Table \* ARABIC ">
        <w:r w:rsidR="00493733">
          <w:rPr>
            <w:noProof/>
          </w:rPr>
          <w:t>15</w:t>
        </w:r>
      </w:fldSimple>
      <w:r w:rsidR="00317936">
        <w:t xml:space="preserve">: </w:t>
      </w:r>
      <w:r w:rsidR="00442F83" w:rsidRPr="00EF0EDA">
        <w:t>Loan Amounts based on Amortization Method and Debt-to-Income Ratio</w:t>
      </w:r>
      <w:bookmarkEnd w:id="216"/>
    </w:p>
    <w:tbl>
      <w:tblPr>
        <w:tblW w:w="7380" w:type="dxa"/>
        <w:tblInd w:w="108" w:type="dxa"/>
        <w:tblLook w:val="04A0" w:firstRow="1" w:lastRow="0" w:firstColumn="1" w:lastColumn="0" w:noHBand="0" w:noVBand="1"/>
      </w:tblPr>
      <w:tblGrid>
        <w:gridCol w:w="1530"/>
        <w:gridCol w:w="891"/>
        <w:gridCol w:w="1899"/>
        <w:gridCol w:w="1528"/>
        <w:gridCol w:w="1532"/>
      </w:tblGrid>
      <w:tr w:rsidR="004C197D" w:rsidRPr="00131BA8" w14:paraId="563CE5C7" w14:textId="77777777" w:rsidTr="002D7DDD">
        <w:trPr>
          <w:trHeight w:val="173"/>
        </w:trPr>
        <w:tc>
          <w:tcPr>
            <w:tcW w:w="1530" w:type="dxa"/>
            <w:tcBorders>
              <w:top w:val="nil"/>
              <w:left w:val="nil"/>
              <w:bottom w:val="nil"/>
              <w:right w:val="nil"/>
            </w:tcBorders>
            <w:shd w:val="clear" w:color="000000" w:fill="D8D8D8"/>
            <w:noWrap/>
            <w:vAlign w:val="bottom"/>
            <w:hideMark/>
          </w:tcPr>
          <w:p w14:paraId="1BCFB9DA"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722,928 </w:t>
            </w:r>
          </w:p>
        </w:tc>
        <w:tc>
          <w:tcPr>
            <w:tcW w:w="2790" w:type="dxa"/>
            <w:gridSpan w:val="2"/>
            <w:tcBorders>
              <w:top w:val="nil"/>
              <w:left w:val="nil"/>
              <w:bottom w:val="nil"/>
              <w:right w:val="nil"/>
            </w:tcBorders>
            <w:noWrap/>
            <w:vAlign w:val="bottom"/>
            <w:hideMark/>
          </w:tcPr>
          <w:p w14:paraId="0B19A25C" w14:textId="77777777" w:rsidR="004C197D" w:rsidRPr="00131BA8" w:rsidRDefault="004C197D" w:rsidP="004C197D">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Irvine Median Home Price</w:t>
            </w:r>
          </w:p>
        </w:tc>
        <w:tc>
          <w:tcPr>
            <w:tcW w:w="1528" w:type="dxa"/>
            <w:tcBorders>
              <w:top w:val="nil"/>
              <w:left w:val="nil"/>
              <w:bottom w:val="nil"/>
              <w:right w:val="nil"/>
            </w:tcBorders>
            <w:noWrap/>
            <w:vAlign w:val="bottom"/>
            <w:hideMark/>
          </w:tcPr>
          <w:p w14:paraId="717665CE"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c>
          <w:tcPr>
            <w:tcW w:w="1532" w:type="dxa"/>
            <w:tcBorders>
              <w:top w:val="nil"/>
              <w:left w:val="nil"/>
              <w:bottom w:val="nil"/>
              <w:right w:val="nil"/>
            </w:tcBorders>
            <w:noWrap/>
            <w:vAlign w:val="bottom"/>
            <w:hideMark/>
          </w:tcPr>
          <w:p w14:paraId="662C8D7D"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r>
      <w:tr w:rsidR="004C197D" w:rsidRPr="00131BA8" w14:paraId="065260C6" w14:textId="77777777" w:rsidTr="002D7DDD">
        <w:trPr>
          <w:trHeight w:val="173"/>
        </w:trPr>
        <w:tc>
          <w:tcPr>
            <w:tcW w:w="1530" w:type="dxa"/>
            <w:tcBorders>
              <w:top w:val="nil"/>
              <w:left w:val="nil"/>
              <w:bottom w:val="nil"/>
              <w:right w:val="nil"/>
            </w:tcBorders>
            <w:noWrap/>
            <w:vAlign w:val="bottom"/>
            <w:hideMark/>
          </w:tcPr>
          <w:p w14:paraId="7947D64F"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83,891 </w:t>
            </w:r>
          </w:p>
        </w:tc>
        <w:tc>
          <w:tcPr>
            <w:tcW w:w="2790" w:type="dxa"/>
            <w:gridSpan w:val="2"/>
            <w:tcBorders>
              <w:top w:val="nil"/>
              <w:left w:val="nil"/>
              <w:bottom w:val="nil"/>
              <w:right w:val="nil"/>
            </w:tcBorders>
            <w:noWrap/>
            <w:vAlign w:val="bottom"/>
            <w:hideMark/>
          </w:tcPr>
          <w:p w14:paraId="53F59ECB" w14:textId="77777777" w:rsidR="004C197D" w:rsidRPr="00131BA8" w:rsidRDefault="004C197D" w:rsidP="004C197D">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Irvine Median Income</w:t>
            </w:r>
          </w:p>
        </w:tc>
        <w:tc>
          <w:tcPr>
            <w:tcW w:w="1528" w:type="dxa"/>
            <w:tcBorders>
              <w:top w:val="nil"/>
              <w:left w:val="nil"/>
              <w:bottom w:val="nil"/>
              <w:right w:val="nil"/>
            </w:tcBorders>
            <w:noWrap/>
            <w:vAlign w:val="bottom"/>
            <w:hideMark/>
          </w:tcPr>
          <w:p w14:paraId="10D9A299"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c>
          <w:tcPr>
            <w:tcW w:w="1532" w:type="dxa"/>
            <w:tcBorders>
              <w:top w:val="nil"/>
              <w:left w:val="nil"/>
              <w:bottom w:val="nil"/>
              <w:right w:val="nil"/>
            </w:tcBorders>
            <w:noWrap/>
            <w:vAlign w:val="bottom"/>
            <w:hideMark/>
          </w:tcPr>
          <w:p w14:paraId="083F7AB0"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r>
      <w:tr w:rsidR="004C197D" w:rsidRPr="00131BA8" w14:paraId="09657BF1" w14:textId="77777777" w:rsidTr="002D7DDD">
        <w:trPr>
          <w:trHeight w:val="173"/>
        </w:trPr>
        <w:tc>
          <w:tcPr>
            <w:tcW w:w="1530" w:type="dxa"/>
            <w:tcBorders>
              <w:top w:val="nil"/>
              <w:left w:val="nil"/>
              <w:bottom w:val="nil"/>
              <w:right w:val="nil"/>
            </w:tcBorders>
            <w:noWrap/>
            <w:vAlign w:val="bottom"/>
            <w:hideMark/>
          </w:tcPr>
          <w:p w14:paraId="21572D33"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6,991 </w:t>
            </w:r>
          </w:p>
        </w:tc>
        <w:tc>
          <w:tcPr>
            <w:tcW w:w="2790" w:type="dxa"/>
            <w:gridSpan w:val="2"/>
            <w:tcBorders>
              <w:top w:val="nil"/>
              <w:left w:val="nil"/>
              <w:bottom w:val="nil"/>
              <w:right w:val="nil"/>
            </w:tcBorders>
            <w:noWrap/>
            <w:vAlign w:val="bottom"/>
            <w:hideMark/>
          </w:tcPr>
          <w:p w14:paraId="286DC9E2" w14:textId="77777777" w:rsidR="004C197D" w:rsidRPr="00131BA8" w:rsidRDefault="004C197D" w:rsidP="004C197D">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Monthly Median Income</w:t>
            </w:r>
          </w:p>
        </w:tc>
        <w:tc>
          <w:tcPr>
            <w:tcW w:w="1528" w:type="dxa"/>
            <w:tcBorders>
              <w:top w:val="nil"/>
              <w:left w:val="nil"/>
              <w:bottom w:val="nil"/>
              <w:right w:val="nil"/>
            </w:tcBorders>
            <w:noWrap/>
            <w:vAlign w:val="bottom"/>
            <w:hideMark/>
          </w:tcPr>
          <w:p w14:paraId="16E69A1A"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c>
          <w:tcPr>
            <w:tcW w:w="1532" w:type="dxa"/>
            <w:tcBorders>
              <w:top w:val="nil"/>
              <w:left w:val="nil"/>
              <w:bottom w:val="nil"/>
              <w:right w:val="nil"/>
            </w:tcBorders>
            <w:noWrap/>
            <w:vAlign w:val="bottom"/>
            <w:hideMark/>
          </w:tcPr>
          <w:p w14:paraId="27B2975C"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r>
      <w:tr w:rsidR="004C197D" w:rsidRPr="00131BA8" w14:paraId="229E8801" w14:textId="77777777" w:rsidTr="002D7DDD">
        <w:trPr>
          <w:trHeight w:val="173"/>
        </w:trPr>
        <w:tc>
          <w:tcPr>
            <w:tcW w:w="1530" w:type="dxa"/>
            <w:tcBorders>
              <w:top w:val="nil"/>
              <w:left w:val="nil"/>
              <w:bottom w:val="nil"/>
              <w:right w:val="nil"/>
            </w:tcBorders>
            <w:noWrap/>
            <w:vAlign w:val="bottom"/>
            <w:hideMark/>
          </w:tcPr>
          <w:p w14:paraId="15508606"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c>
          <w:tcPr>
            <w:tcW w:w="891" w:type="dxa"/>
            <w:tcBorders>
              <w:top w:val="nil"/>
              <w:left w:val="nil"/>
              <w:bottom w:val="nil"/>
              <w:right w:val="nil"/>
            </w:tcBorders>
            <w:noWrap/>
            <w:vAlign w:val="bottom"/>
            <w:hideMark/>
          </w:tcPr>
          <w:p w14:paraId="4D3253DE" w14:textId="77777777" w:rsidR="004C197D" w:rsidRPr="00131BA8" w:rsidRDefault="004C197D" w:rsidP="004C197D">
            <w:pPr>
              <w:keepNext/>
              <w:keepLines/>
              <w:ind w:firstLine="0"/>
              <w:rPr>
                <w:rFonts w:eastAsia="Times New Roman" w:cs="Times New Roman"/>
                <w:color w:val="000000"/>
                <w:sz w:val="18"/>
                <w:szCs w:val="18"/>
                <w:lang w:bidi="ar-SA"/>
              </w:rPr>
            </w:pPr>
          </w:p>
        </w:tc>
        <w:tc>
          <w:tcPr>
            <w:tcW w:w="1899" w:type="dxa"/>
            <w:tcBorders>
              <w:top w:val="nil"/>
              <w:left w:val="nil"/>
              <w:bottom w:val="nil"/>
              <w:right w:val="nil"/>
            </w:tcBorders>
            <w:noWrap/>
            <w:vAlign w:val="bottom"/>
            <w:hideMark/>
          </w:tcPr>
          <w:p w14:paraId="1EC854A0"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c>
          <w:tcPr>
            <w:tcW w:w="1528" w:type="dxa"/>
            <w:tcBorders>
              <w:top w:val="nil"/>
              <w:left w:val="nil"/>
              <w:bottom w:val="nil"/>
              <w:right w:val="nil"/>
            </w:tcBorders>
            <w:noWrap/>
            <w:vAlign w:val="bottom"/>
            <w:hideMark/>
          </w:tcPr>
          <w:p w14:paraId="066343F6"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c>
          <w:tcPr>
            <w:tcW w:w="1532" w:type="dxa"/>
            <w:tcBorders>
              <w:top w:val="nil"/>
              <w:left w:val="nil"/>
              <w:bottom w:val="nil"/>
              <w:right w:val="nil"/>
            </w:tcBorders>
            <w:noWrap/>
            <w:vAlign w:val="bottom"/>
            <w:hideMark/>
          </w:tcPr>
          <w:p w14:paraId="2932F2EF"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r>
      <w:tr w:rsidR="004C197D" w:rsidRPr="00131BA8" w14:paraId="3A2800A7" w14:textId="77777777" w:rsidTr="002D7DDD">
        <w:trPr>
          <w:trHeight w:val="173"/>
        </w:trPr>
        <w:tc>
          <w:tcPr>
            <w:tcW w:w="1530" w:type="dxa"/>
            <w:tcBorders>
              <w:top w:val="nil"/>
              <w:left w:val="nil"/>
              <w:bottom w:val="nil"/>
              <w:right w:val="nil"/>
            </w:tcBorders>
            <w:noWrap/>
            <w:vAlign w:val="bottom"/>
            <w:hideMark/>
          </w:tcPr>
          <w:p w14:paraId="36D44549"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6.0%</w:t>
            </w:r>
          </w:p>
        </w:tc>
        <w:tc>
          <w:tcPr>
            <w:tcW w:w="5850" w:type="dxa"/>
            <w:gridSpan w:val="4"/>
            <w:tcBorders>
              <w:top w:val="nil"/>
              <w:left w:val="nil"/>
              <w:bottom w:val="nil"/>
              <w:right w:val="nil"/>
            </w:tcBorders>
            <w:noWrap/>
            <w:vAlign w:val="bottom"/>
            <w:hideMark/>
          </w:tcPr>
          <w:p w14:paraId="0872E0D5" w14:textId="77777777" w:rsidR="004C197D" w:rsidRPr="00131BA8" w:rsidRDefault="004C197D" w:rsidP="004C197D">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Interest Rate on 30-Year Fixed-Rate Mortgage</w:t>
            </w:r>
          </w:p>
        </w:tc>
      </w:tr>
      <w:tr w:rsidR="004C197D" w:rsidRPr="00131BA8" w14:paraId="30FBFF82" w14:textId="77777777" w:rsidTr="002D7DDD">
        <w:trPr>
          <w:trHeight w:val="173"/>
        </w:trPr>
        <w:tc>
          <w:tcPr>
            <w:tcW w:w="1530" w:type="dxa"/>
            <w:tcBorders>
              <w:top w:val="nil"/>
              <w:left w:val="nil"/>
              <w:bottom w:val="nil"/>
              <w:right w:val="nil"/>
            </w:tcBorders>
            <w:noWrap/>
            <w:vAlign w:val="bottom"/>
            <w:hideMark/>
          </w:tcPr>
          <w:p w14:paraId="2BADE621"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5.0%</w:t>
            </w:r>
          </w:p>
        </w:tc>
        <w:tc>
          <w:tcPr>
            <w:tcW w:w="2790" w:type="dxa"/>
            <w:gridSpan w:val="2"/>
            <w:tcBorders>
              <w:top w:val="nil"/>
              <w:left w:val="nil"/>
              <w:bottom w:val="nil"/>
              <w:right w:val="nil"/>
            </w:tcBorders>
            <w:noWrap/>
            <w:vAlign w:val="bottom"/>
            <w:hideMark/>
          </w:tcPr>
          <w:p w14:paraId="49624333" w14:textId="77777777" w:rsidR="004C197D" w:rsidRPr="00131BA8" w:rsidRDefault="004C197D" w:rsidP="004C197D">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Interest Rate on 5-Year ARM</w:t>
            </w:r>
          </w:p>
        </w:tc>
        <w:tc>
          <w:tcPr>
            <w:tcW w:w="1528" w:type="dxa"/>
            <w:tcBorders>
              <w:top w:val="nil"/>
              <w:left w:val="nil"/>
              <w:bottom w:val="nil"/>
              <w:right w:val="nil"/>
            </w:tcBorders>
            <w:noWrap/>
            <w:vAlign w:val="bottom"/>
            <w:hideMark/>
          </w:tcPr>
          <w:p w14:paraId="59B8D2BE"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c>
          <w:tcPr>
            <w:tcW w:w="1532" w:type="dxa"/>
            <w:tcBorders>
              <w:top w:val="nil"/>
              <w:left w:val="nil"/>
              <w:bottom w:val="nil"/>
              <w:right w:val="nil"/>
            </w:tcBorders>
            <w:noWrap/>
            <w:vAlign w:val="bottom"/>
            <w:hideMark/>
          </w:tcPr>
          <w:p w14:paraId="2279AD59"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r>
      <w:tr w:rsidR="004C197D" w:rsidRPr="00131BA8" w14:paraId="0A3BF906" w14:textId="77777777" w:rsidTr="002D7DDD">
        <w:trPr>
          <w:trHeight w:val="173"/>
        </w:trPr>
        <w:tc>
          <w:tcPr>
            <w:tcW w:w="1530" w:type="dxa"/>
            <w:tcBorders>
              <w:top w:val="nil"/>
              <w:left w:val="nil"/>
              <w:bottom w:val="nil"/>
              <w:right w:val="nil"/>
            </w:tcBorders>
            <w:noWrap/>
            <w:vAlign w:val="bottom"/>
            <w:hideMark/>
          </w:tcPr>
          <w:p w14:paraId="4E85DF57"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3.8%</w:t>
            </w:r>
          </w:p>
        </w:tc>
        <w:tc>
          <w:tcPr>
            <w:tcW w:w="4318" w:type="dxa"/>
            <w:gridSpan w:val="3"/>
            <w:tcBorders>
              <w:top w:val="nil"/>
              <w:left w:val="nil"/>
              <w:bottom w:val="nil"/>
              <w:right w:val="nil"/>
            </w:tcBorders>
            <w:noWrap/>
            <w:vAlign w:val="bottom"/>
            <w:hideMark/>
          </w:tcPr>
          <w:p w14:paraId="00D5E088" w14:textId="77777777" w:rsidR="004C197D" w:rsidRPr="00131BA8" w:rsidRDefault="004C197D" w:rsidP="004C197D">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Payment Rate on Option ARM</w:t>
            </w:r>
            <w:r w:rsidR="001858B5" w:rsidRPr="00131BA8">
              <w:rPr>
                <w:rFonts w:eastAsia="Times New Roman" w:cs="Times New Roman"/>
                <w:color w:val="000000"/>
                <w:sz w:val="18"/>
                <w:szCs w:val="18"/>
                <w:lang w:bidi="ar-SA"/>
              </w:rPr>
              <w:fldChar w:fldCharType="begin"/>
            </w:r>
            <w:r w:rsidR="00C12412" w:rsidRPr="00131BA8">
              <w:rPr>
                <w:sz w:val="18"/>
              </w:rPr>
              <w:instrText xml:space="preserve"> XE "</w:instrText>
            </w:r>
            <w:r w:rsidR="00C12412" w:rsidRPr="00131BA8">
              <w:rPr>
                <w:rFonts w:cs="Times New Roman"/>
                <w:sz w:val="18"/>
              </w:rPr>
              <w:instrText>Option ARM</w:instrText>
            </w:r>
            <w:r w:rsidR="00C12412" w:rsidRPr="00131BA8">
              <w:rPr>
                <w:sz w:val="18"/>
              </w:rPr>
              <w:instrText xml:space="preserve">" </w:instrText>
            </w:r>
            <w:r w:rsidR="001858B5" w:rsidRPr="00131BA8">
              <w:rPr>
                <w:rFonts w:eastAsia="Times New Roman" w:cs="Times New Roman"/>
                <w:color w:val="000000"/>
                <w:sz w:val="18"/>
                <w:szCs w:val="18"/>
                <w:lang w:bidi="ar-SA"/>
              </w:rPr>
              <w:fldChar w:fldCharType="end"/>
            </w:r>
          </w:p>
        </w:tc>
        <w:tc>
          <w:tcPr>
            <w:tcW w:w="1532" w:type="dxa"/>
            <w:tcBorders>
              <w:top w:val="nil"/>
              <w:left w:val="nil"/>
              <w:bottom w:val="nil"/>
              <w:right w:val="nil"/>
            </w:tcBorders>
            <w:noWrap/>
            <w:vAlign w:val="bottom"/>
            <w:hideMark/>
          </w:tcPr>
          <w:p w14:paraId="28135F4E"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r>
    </w:tbl>
    <w:p w14:paraId="39CD174F" w14:textId="77777777" w:rsidR="00326791" w:rsidRPr="00124B71" w:rsidRDefault="00326791" w:rsidP="00326791">
      <w:pPr>
        <w:keepNext/>
        <w:keepLines/>
        <w:rPr>
          <w:rFonts w:cs="Times New Roman"/>
        </w:rPr>
      </w:pPr>
    </w:p>
    <w:tbl>
      <w:tblPr>
        <w:tblW w:w="0" w:type="auto"/>
        <w:tblInd w:w="108" w:type="dxa"/>
        <w:tblLook w:val="04A0" w:firstRow="1" w:lastRow="0" w:firstColumn="1" w:lastColumn="0" w:noHBand="0" w:noVBand="1"/>
      </w:tblPr>
      <w:tblGrid>
        <w:gridCol w:w="1298"/>
        <w:gridCol w:w="997"/>
        <w:gridCol w:w="1331"/>
        <w:gridCol w:w="1299"/>
        <w:gridCol w:w="1299"/>
      </w:tblGrid>
      <w:tr w:rsidR="004C197D" w:rsidRPr="00131BA8" w14:paraId="7537142C" w14:textId="77777777" w:rsidTr="00131E40">
        <w:trPr>
          <w:trHeight w:val="173"/>
        </w:trPr>
        <w:tc>
          <w:tcPr>
            <w:tcW w:w="0" w:type="auto"/>
            <w:tcBorders>
              <w:top w:val="nil"/>
              <w:left w:val="nil"/>
              <w:bottom w:val="single" w:sz="4" w:space="0" w:color="auto"/>
              <w:right w:val="nil"/>
            </w:tcBorders>
            <w:noWrap/>
            <w:vAlign w:val="bottom"/>
            <w:hideMark/>
          </w:tcPr>
          <w:p w14:paraId="0C0415C5"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c>
          <w:tcPr>
            <w:tcW w:w="0" w:type="auto"/>
            <w:tcBorders>
              <w:top w:val="nil"/>
              <w:left w:val="nil"/>
              <w:bottom w:val="single" w:sz="4" w:space="0" w:color="auto"/>
              <w:right w:val="nil"/>
            </w:tcBorders>
            <w:noWrap/>
            <w:vAlign w:val="bottom"/>
            <w:hideMark/>
          </w:tcPr>
          <w:p w14:paraId="13C3DD31"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c>
          <w:tcPr>
            <w:tcW w:w="0" w:type="auto"/>
            <w:tcBorders>
              <w:top w:val="nil"/>
              <w:left w:val="nil"/>
              <w:bottom w:val="single" w:sz="4" w:space="0" w:color="auto"/>
              <w:right w:val="nil"/>
            </w:tcBorders>
            <w:noWrap/>
            <w:vAlign w:val="bottom"/>
            <w:hideMark/>
          </w:tcPr>
          <w:p w14:paraId="5C09643C"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c>
          <w:tcPr>
            <w:tcW w:w="0" w:type="auto"/>
            <w:tcBorders>
              <w:top w:val="nil"/>
              <w:left w:val="nil"/>
              <w:bottom w:val="single" w:sz="4" w:space="0" w:color="auto"/>
              <w:right w:val="nil"/>
            </w:tcBorders>
            <w:noWrap/>
            <w:vAlign w:val="bottom"/>
            <w:hideMark/>
          </w:tcPr>
          <w:p w14:paraId="6F573DEA"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c>
          <w:tcPr>
            <w:tcW w:w="0" w:type="auto"/>
            <w:tcBorders>
              <w:top w:val="nil"/>
              <w:left w:val="nil"/>
              <w:bottom w:val="single" w:sz="4" w:space="0" w:color="auto"/>
              <w:right w:val="nil"/>
            </w:tcBorders>
            <w:noWrap/>
            <w:vAlign w:val="bottom"/>
            <w:hideMark/>
          </w:tcPr>
          <w:p w14:paraId="00EF3E56" w14:textId="77777777" w:rsidR="004C197D" w:rsidRPr="00131BA8" w:rsidRDefault="004C197D" w:rsidP="004C197D">
            <w:pPr>
              <w:keepNext/>
              <w:keepLines/>
              <w:ind w:firstLine="0"/>
              <w:jc w:val="center"/>
              <w:rPr>
                <w:rFonts w:eastAsia="Times New Roman" w:cs="Times New Roman"/>
                <w:color w:val="000000"/>
                <w:sz w:val="18"/>
                <w:szCs w:val="18"/>
                <w:lang w:bidi="ar-SA"/>
              </w:rPr>
            </w:pPr>
          </w:p>
        </w:tc>
      </w:tr>
      <w:tr w:rsidR="004C197D" w:rsidRPr="00131BA8" w14:paraId="1EA6536F" w14:textId="77777777" w:rsidTr="00131E40">
        <w:trPr>
          <w:trHeight w:val="173"/>
        </w:trPr>
        <w:tc>
          <w:tcPr>
            <w:tcW w:w="0" w:type="auto"/>
            <w:tcBorders>
              <w:top w:val="single" w:sz="4" w:space="0" w:color="auto"/>
              <w:left w:val="nil"/>
              <w:bottom w:val="double" w:sz="6" w:space="0" w:color="auto"/>
              <w:right w:val="nil"/>
            </w:tcBorders>
            <w:noWrap/>
            <w:vAlign w:val="bottom"/>
            <w:hideMark/>
          </w:tcPr>
          <w:p w14:paraId="5D0DDF42" w14:textId="77777777" w:rsidR="004C197D" w:rsidRPr="00131BA8" w:rsidRDefault="004C197D" w:rsidP="004C197D">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Payment</w:t>
            </w:r>
          </w:p>
        </w:tc>
        <w:tc>
          <w:tcPr>
            <w:tcW w:w="0" w:type="auto"/>
            <w:tcBorders>
              <w:top w:val="single" w:sz="4" w:space="0" w:color="auto"/>
              <w:left w:val="nil"/>
              <w:bottom w:val="double" w:sz="6" w:space="0" w:color="auto"/>
              <w:right w:val="nil"/>
            </w:tcBorders>
            <w:noWrap/>
            <w:vAlign w:val="bottom"/>
            <w:hideMark/>
          </w:tcPr>
          <w:p w14:paraId="783AD558" w14:textId="77777777" w:rsidR="004C197D" w:rsidRPr="00131BA8" w:rsidRDefault="004C197D" w:rsidP="004C197D">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DTI</w:t>
            </w:r>
            <w:r w:rsidR="001858B5" w:rsidRPr="00131BA8">
              <w:rPr>
                <w:rFonts w:eastAsia="Times New Roman" w:cs="Times New Roman"/>
                <w:b/>
                <w:bCs/>
                <w:color w:val="000000"/>
                <w:sz w:val="18"/>
                <w:szCs w:val="18"/>
                <w:lang w:bidi="ar-SA"/>
              </w:rPr>
              <w:fldChar w:fldCharType="begin"/>
            </w:r>
            <w:r w:rsidR="003247C5" w:rsidRPr="00131BA8">
              <w:rPr>
                <w:sz w:val="18"/>
              </w:rPr>
              <w:instrText xml:space="preserve"> XE "</w:instrText>
            </w:r>
            <w:r w:rsidR="003247C5" w:rsidRPr="00131BA8">
              <w:rPr>
                <w:rFonts w:cs="Times New Roman"/>
                <w:sz w:val="18"/>
              </w:rPr>
              <w:instrText>DTI</w:instrText>
            </w:r>
            <w:r w:rsidR="003247C5" w:rsidRPr="00131BA8">
              <w:rPr>
                <w:sz w:val="18"/>
              </w:rPr>
              <w:instrText xml:space="preserve">" </w:instrText>
            </w:r>
            <w:r w:rsidR="001858B5" w:rsidRPr="00131BA8">
              <w:rPr>
                <w:rFonts w:eastAsia="Times New Roman" w:cs="Times New Roman"/>
                <w:b/>
                <w:bCs/>
                <w:color w:val="000000"/>
                <w:sz w:val="18"/>
                <w:szCs w:val="18"/>
                <w:lang w:bidi="ar-SA"/>
              </w:rPr>
              <w:fldChar w:fldCharType="end"/>
            </w:r>
            <w:r w:rsidRPr="00131BA8">
              <w:rPr>
                <w:rFonts w:eastAsia="Times New Roman" w:cs="Times New Roman"/>
                <w:b/>
                <w:bCs/>
                <w:color w:val="000000"/>
                <w:sz w:val="18"/>
                <w:szCs w:val="18"/>
                <w:lang w:bidi="ar-SA"/>
              </w:rPr>
              <w:t xml:space="preserve"> Ratio</w:t>
            </w:r>
          </w:p>
        </w:tc>
        <w:tc>
          <w:tcPr>
            <w:tcW w:w="0" w:type="auto"/>
            <w:tcBorders>
              <w:top w:val="single" w:sz="4" w:space="0" w:color="auto"/>
              <w:left w:val="nil"/>
              <w:bottom w:val="double" w:sz="6" w:space="0" w:color="auto"/>
              <w:right w:val="nil"/>
            </w:tcBorders>
            <w:noWrap/>
            <w:vAlign w:val="bottom"/>
            <w:hideMark/>
          </w:tcPr>
          <w:p w14:paraId="0417802B" w14:textId="77777777" w:rsidR="004C197D" w:rsidRPr="00131BA8" w:rsidRDefault="004C197D" w:rsidP="004C197D">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30-Year Fixed</w:t>
            </w:r>
          </w:p>
        </w:tc>
        <w:tc>
          <w:tcPr>
            <w:tcW w:w="0" w:type="auto"/>
            <w:tcBorders>
              <w:top w:val="single" w:sz="4" w:space="0" w:color="auto"/>
              <w:left w:val="nil"/>
              <w:bottom w:val="double" w:sz="6" w:space="0" w:color="auto"/>
              <w:right w:val="nil"/>
            </w:tcBorders>
            <w:noWrap/>
            <w:vAlign w:val="bottom"/>
            <w:hideMark/>
          </w:tcPr>
          <w:p w14:paraId="149C9404" w14:textId="77777777" w:rsidR="004C197D" w:rsidRPr="00131BA8" w:rsidRDefault="004C197D" w:rsidP="004C197D">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Interest Only</w:t>
            </w:r>
          </w:p>
        </w:tc>
        <w:tc>
          <w:tcPr>
            <w:tcW w:w="0" w:type="auto"/>
            <w:tcBorders>
              <w:top w:val="single" w:sz="4" w:space="0" w:color="auto"/>
              <w:left w:val="nil"/>
              <w:bottom w:val="double" w:sz="6" w:space="0" w:color="auto"/>
              <w:right w:val="nil"/>
            </w:tcBorders>
            <w:noWrap/>
            <w:vAlign w:val="bottom"/>
            <w:hideMark/>
          </w:tcPr>
          <w:p w14:paraId="55E71F3D" w14:textId="77777777" w:rsidR="004C197D" w:rsidRPr="00131BA8" w:rsidRDefault="004C197D" w:rsidP="004C197D">
            <w:pPr>
              <w:keepNext/>
              <w:keepLines/>
              <w:ind w:firstLine="0"/>
              <w:jc w:val="center"/>
              <w:rPr>
                <w:rFonts w:eastAsia="Times New Roman" w:cs="Times New Roman"/>
                <w:b/>
                <w:bCs/>
                <w:color w:val="000000"/>
                <w:sz w:val="18"/>
                <w:szCs w:val="18"/>
                <w:lang w:bidi="ar-SA"/>
              </w:rPr>
            </w:pPr>
            <w:r w:rsidRPr="00131BA8">
              <w:rPr>
                <w:rFonts w:eastAsia="Times New Roman" w:cs="Times New Roman"/>
                <w:b/>
                <w:bCs/>
                <w:color w:val="000000"/>
                <w:sz w:val="18"/>
                <w:szCs w:val="18"/>
                <w:lang w:bidi="ar-SA"/>
              </w:rPr>
              <w:t>Option ARM</w:t>
            </w:r>
            <w:r w:rsidR="00234598" w:rsidRPr="00131BA8">
              <w:rPr>
                <w:rFonts w:eastAsia="Times New Roman" w:cs="Times New Roman"/>
                <w:b/>
                <w:bCs/>
                <w:color w:val="000000"/>
                <w:sz w:val="18"/>
                <w:szCs w:val="18"/>
                <w:lang w:bidi="ar-SA"/>
              </w:rPr>
              <w:t>*</w:t>
            </w:r>
            <w:r w:rsidR="001858B5" w:rsidRPr="00131BA8">
              <w:rPr>
                <w:rFonts w:eastAsia="Times New Roman" w:cs="Times New Roman"/>
                <w:b/>
                <w:bCs/>
                <w:color w:val="000000"/>
                <w:sz w:val="18"/>
                <w:szCs w:val="18"/>
                <w:lang w:bidi="ar-SA"/>
              </w:rPr>
              <w:fldChar w:fldCharType="begin"/>
            </w:r>
            <w:r w:rsidR="00C12412" w:rsidRPr="00131BA8">
              <w:rPr>
                <w:sz w:val="18"/>
              </w:rPr>
              <w:instrText xml:space="preserve"> XE "</w:instrText>
            </w:r>
            <w:r w:rsidR="00C12412" w:rsidRPr="00131BA8">
              <w:rPr>
                <w:rFonts w:cs="Times New Roman"/>
                <w:sz w:val="18"/>
              </w:rPr>
              <w:instrText>Option ARM</w:instrText>
            </w:r>
            <w:r w:rsidR="00C12412" w:rsidRPr="00131BA8">
              <w:rPr>
                <w:sz w:val="18"/>
              </w:rPr>
              <w:instrText xml:space="preserve">" </w:instrText>
            </w:r>
            <w:r w:rsidR="001858B5" w:rsidRPr="00131BA8">
              <w:rPr>
                <w:rFonts w:eastAsia="Times New Roman" w:cs="Times New Roman"/>
                <w:b/>
                <w:bCs/>
                <w:color w:val="000000"/>
                <w:sz w:val="18"/>
                <w:szCs w:val="18"/>
                <w:lang w:bidi="ar-SA"/>
              </w:rPr>
              <w:fldChar w:fldCharType="end"/>
            </w:r>
          </w:p>
        </w:tc>
      </w:tr>
      <w:tr w:rsidR="004C197D" w:rsidRPr="00131BA8" w14:paraId="4D1C5772" w14:textId="77777777" w:rsidTr="00131E40">
        <w:trPr>
          <w:trHeight w:val="173"/>
        </w:trPr>
        <w:tc>
          <w:tcPr>
            <w:tcW w:w="0" w:type="auto"/>
            <w:tcBorders>
              <w:top w:val="double" w:sz="6" w:space="0" w:color="auto"/>
              <w:left w:val="nil"/>
              <w:bottom w:val="nil"/>
              <w:right w:val="nil"/>
            </w:tcBorders>
            <w:noWrap/>
            <w:vAlign w:val="bottom"/>
            <w:hideMark/>
          </w:tcPr>
          <w:p w14:paraId="6DDB8EDB"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1,957 </w:t>
            </w:r>
          </w:p>
        </w:tc>
        <w:tc>
          <w:tcPr>
            <w:tcW w:w="0" w:type="auto"/>
            <w:tcBorders>
              <w:top w:val="double" w:sz="6" w:space="0" w:color="auto"/>
              <w:left w:val="nil"/>
              <w:bottom w:val="nil"/>
              <w:right w:val="nil"/>
            </w:tcBorders>
            <w:noWrap/>
            <w:vAlign w:val="bottom"/>
            <w:hideMark/>
          </w:tcPr>
          <w:p w14:paraId="1B0456FB"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28.0%</w:t>
            </w:r>
          </w:p>
        </w:tc>
        <w:tc>
          <w:tcPr>
            <w:tcW w:w="0" w:type="auto"/>
            <w:tcBorders>
              <w:top w:val="double" w:sz="6" w:space="0" w:color="auto"/>
              <w:left w:val="nil"/>
              <w:bottom w:val="nil"/>
              <w:right w:val="nil"/>
            </w:tcBorders>
            <w:noWrap/>
            <w:vAlign w:val="bottom"/>
            <w:hideMark/>
          </w:tcPr>
          <w:p w14:paraId="1089928F"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326,487 </w:t>
            </w:r>
          </w:p>
        </w:tc>
        <w:tc>
          <w:tcPr>
            <w:tcW w:w="0" w:type="auto"/>
            <w:tcBorders>
              <w:top w:val="double" w:sz="6" w:space="0" w:color="auto"/>
              <w:left w:val="nil"/>
              <w:bottom w:val="nil"/>
              <w:right w:val="nil"/>
            </w:tcBorders>
            <w:noWrap/>
            <w:vAlign w:val="bottom"/>
            <w:hideMark/>
          </w:tcPr>
          <w:p w14:paraId="08C83458"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469,790 </w:t>
            </w:r>
          </w:p>
        </w:tc>
        <w:tc>
          <w:tcPr>
            <w:tcW w:w="0" w:type="auto"/>
            <w:tcBorders>
              <w:top w:val="double" w:sz="6" w:space="0" w:color="auto"/>
              <w:left w:val="nil"/>
              <w:bottom w:val="nil"/>
              <w:right w:val="nil"/>
            </w:tcBorders>
            <w:noWrap/>
            <w:vAlign w:val="bottom"/>
            <w:hideMark/>
          </w:tcPr>
          <w:p w14:paraId="038CD6E2"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618,144 </w:t>
            </w:r>
          </w:p>
        </w:tc>
      </w:tr>
      <w:tr w:rsidR="004C197D" w:rsidRPr="00131BA8" w14:paraId="77A5DDEA" w14:textId="77777777" w:rsidTr="00326791">
        <w:trPr>
          <w:trHeight w:val="173"/>
        </w:trPr>
        <w:tc>
          <w:tcPr>
            <w:tcW w:w="0" w:type="auto"/>
            <w:tcBorders>
              <w:top w:val="nil"/>
              <w:left w:val="nil"/>
              <w:bottom w:val="nil"/>
              <w:right w:val="nil"/>
            </w:tcBorders>
            <w:noWrap/>
            <w:vAlign w:val="bottom"/>
            <w:hideMark/>
          </w:tcPr>
          <w:p w14:paraId="535384DB"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2,289 </w:t>
            </w:r>
          </w:p>
        </w:tc>
        <w:tc>
          <w:tcPr>
            <w:tcW w:w="0" w:type="auto"/>
            <w:tcBorders>
              <w:top w:val="nil"/>
              <w:left w:val="nil"/>
              <w:bottom w:val="nil"/>
              <w:right w:val="nil"/>
            </w:tcBorders>
            <w:noWrap/>
            <w:vAlign w:val="bottom"/>
            <w:hideMark/>
          </w:tcPr>
          <w:p w14:paraId="461CBA99"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32.7%</w:t>
            </w:r>
          </w:p>
        </w:tc>
        <w:tc>
          <w:tcPr>
            <w:tcW w:w="0" w:type="auto"/>
            <w:tcBorders>
              <w:top w:val="nil"/>
              <w:left w:val="nil"/>
              <w:bottom w:val="nil"/>
              <w:right w:val="nil"/>
            </w:tcBorders>
            <w:noWrap/>
            <w:vAlign w:val="bottom"/>
            <w:hideMark/>
          </w:tcPr>
          <w:p w14:paraId="572F4EC8"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381,831 </w:t>
            </w:r>
          </w:p>
        </w:tc>
        <w:tc>
          <w:tcPr>
            <w:tcW w:w="0" w:type="auto"/>
            <w:tcBorders>
              <w:top w:val="nil"/>
              <w:left w:val="nil"/>
              <w:bottom w:val="nil"/>
              <w:right w:val="nil"/>
            </w:tcBorders>
            <w:noWrap/>
            <w:vAlign w:val="bottom"/>
            <w:hideMark/>
          </w:tcPr>
          <w:p w14:paraId="4CEE2845"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549,425 </w:t>
            </w:r>
          </w:p>
        </w:tc>
        <w:tc>
          <w:tcPr>
            <w:tcW w:w="0" w:type="auto"/>
            <w:tcBorders>
              <w:top w:val="nil"/>
              <w:left w:val="nil"/>
              <w:bottom w:val="nil"/>
              <w:right w:val="nil"/>
            </w:tcBorders>
            <w:shd w:val="clear" w:color="000000" w:fill="D8D8D8"/>
            <w:noWrap/>
            <w:vAlign w:val="bottom"/>
            <w:hideMark/>
          </w:tcPr>
          <w:p w14:paraId="678BC232"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722,928 </w:t>
            </w:r>
          </w:p>
        </w:tc>
      </w:tr>
      <w:tr w:rsidR="004C197D" w:rsidRPr="00131BA8" w14:paraId="74AE8A45" w14:textId="77777777" w:rsidTr="00326791">
        <w:trPr>
          <w:trHeight w:val="173"/>
        </w:trPr>
        <w:tc>
          <w:tcPr>
            <w:tcW w:w="0" w:type="auto"/>
            <w:tcBorders>
              <w:top w:val="nil"/>
              <w:left w:val="nil"/>
              <w:bottom w:val="nil"/>
              <w:right w:val="nil"/>
            </w:tcBorders>
            <w:noWrap/>
            <w:vAlign w:val="bottom"/>
            <w:hideMark/>
          </w:tcPr>
          <w:p w14:paraId="313F4D79"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3,012 </w:t>
            </w:r>
          </w:p>
        </w:tc>
        <w:tc>
          <w:tcPr>
            <w:tcW w:w="0" w:type="auto"/>
            <w:tcBorders>
              <w:top w:val="nil"/>
              <w:left w:val="nil"/>
              <w:bottom w:val="nil"/>
              <w:right w:val="nil"/>
            </w:tcBorders>
            <w:noWrap/>
            <w:vAlign w:val="bottom"/>
            <w:hideMark/>
          </w:tcPr>
          <w:p w14:paraId="648BF159"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43.1%</w:t>
            </w:r>
          </w:p>
        </w:tc>
        <w:tc>
          <w:tcPr>
            <w:tcW w:w="0" w:type="auto"/>
            <w:tcBorders>
              <w:top w:val="nil"/>
              <w:left w:val="nil"/>
              <w:bottom w:val="nil"/>
              <w:right w:val="nil"/>
            </w:tcBorders>
            <w:noWrap/>
            <w:vAlign w:val="bottom"/>
            <w:hideMark/>
          </w:tcPr>
          <w:p w14:paraId="67B6CDBA"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502,410 </w:t>
            </w:r>
          </w:p>
        </w:tc>
        <w:tc>
          <w:tcPr>
            <w:tcW w:w="0" w:type="auto"/>
            <w:tcBorders>
              <w:top w:val="nil"/>
              <w:left w:val="nil"/>
              <w:bottom w:val="nil"/>
              <w:right w:val="nil"/>
            </w:tcBorders>
            <w:shd w:val="clear" w:color="000000" w:fill="D8D8D8"/>
            <w:noWrap/>
            <w:vAlign w:val="bottom"/>
            <w:hideMark/>
          </w:tcPr>
          <w:p w14:paraId="6AFF5613"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722,928 </w:t>
            </w:r>
          </w:p>
        </w:tc>
        <w:tc>
          <w:tcPr>
            <w:tcW w:w="0" w:type="auto"/>
            <w:tcBorders>
              <w:top w:val="nil"/>
              <w:left w:val="nil"/>
              <w:bottom w:val="nil"/>
              <w:right w:val="nil"/>
            </w:tcBorders>
            <w:noWrap/>
            <w:vAlign w:val="bottom"/>
            <w:hideMark/>
          </w:tcPr>
          <w:p w14:paraId="6095FA41"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951,221 </w:t>
            </w:r>
          </w:p>
        </w:tc>
      </w:tr>
      <w:tr w:rsidR="004C197D" w:rsidRPr="00131BA8" w14:paraId="154E583B" w14:textId="77777777" w:rsidTr="00326791">
        <w:trPr>
          <w:trHeight w:val="173"/>
        </w:trPr>
        <w:tc>
          <w:tcPr>
            <w:tcW w:w="0" w:type="auto"/>
            <w:tcBorders>
              <w:top w:val="nil"/>
              <w:left w:val="nil"/>
              <w:bottom w:val="nil"/>
              <w:right w:val="nil"/>
            </w:tcBorders>
            <w:noWrap/>
            <w:vAlign w:val="bottom"/>
            <w:hideMark/>
          </w:tcPr>
          <w:p w14:paraId="66FB602A"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4,334 </w:t>
            </w:r>
          </w:p>
        </w:tc>
        <w:tc>
          <w:tcPr>
            <w:tcW w:w="0" w:type="auto"/>
            <w:tcBorders>
              <w:top w:val="nil"/>
              <w:left w:val="nil"/>
              <w:bottom w:val="nil"/>
              <w:right w:val="nil"/>
            </w:tcBorders>
            <w:noWrap/>
            <w:vAlign w:val="bottom"/>
            <w:hideMark/>
          </w:tcPr>
          <w:p w14:paraId="54A52910"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62.0%</w:t>
            </w:r>
          </w:p>
        </w:tc>
        <w:tc>
          <w:tcPr>
            <w:tcW w:w="0" w:type="auto"/>
            <w:tcBorders>
              <w:top w:val="nil"/>
              <w:left w:val="nil"/>
              <w:bottom w:val="nil"/>
              <w:right w:val="nil"/>
            </w:tcBorders>
            <w:shd w:val="clear" w:color="000000" w:fill="D8D8D8"/>
            <w:noWrap/>
            <w:vAlign w:val="bottom"/>
            <w:hideMark/>
          </w:tcPr>
          <w:p w14:paraId="5F2523AD"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722,928 </w:t>
            </w:r>
          </w:p>
        </w:tc>
        <w:tc>
          <w:tcPr>
            <w:tcW w:w="0" w:type="auto"/>
            <w:tcBorders>
              <w:top w:val="nil"/>
              <w:left w:val="nil"/>
              <w:bottom w:val="nil"/>
              <w:right w:val="nil"/>
            </w:tcBorders>
            <w:noWrap/>
            <w:vAlign w:val="bottom"/>
            <w:hideMark/>
          </w:tcPr>
          <w:p w14:paraId="2ED68E06"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1,040,236 </w:t>
            </w:r>
          </w:p>
        </w:tc>
        <w:tc>
          <w:tcPr>
            <w:tcW w:w="0" w:type="auto"/>
            <w:tcBorders>
              <w:top w:val="nil"/>
              <w:left w:val="nil"/>
              <w:bottom w:val="nil"/>
              <w:right w:val="nil"/>
            </w:tcBorders>
            <w:noWrap/>
            <w:vAlign w:val="bottom"/>
            <w:hideMark/>
          </w:tcPr>
          <w:p w14:paraId="78133E6A" w14:textId="77777777" w:rsidR="004C197D" w:rsidRPr="00131BA8" w:rsidRDefault="004C197D" w:rsidP="004C197D">
            <w:pPr>
              <w:keepNext/>
              <w:keepLines/>
              <w:ind w:firstLine="0"/>
              <w:jc w:val="center"/>
              <w:rPr>
                <w:rFonts w:eastAsia="Times New Roman" w:cs="Times New Roman"/>
                <w:color w:val="000000"/>
                <w:sz w:val="18"/>
                <w:szCs w:val="18"/>
                <w:lang w:bidi="ar-SA"/>
              </w:rPr>
            </w:pPr>
            <w:r w:rsidRPr="00131BA8">
              <w:rPr>
                <w:rFonts w:eastAsia="Times New Roman" w:cs="Times New Roman"/>
                <w:color w:val="000000"/>
                <w:sz w:val="18"/>
                <w:szCs w:val="18"/>
                <w:lang w:bidi="ar-SA"/>
              </w:rPr>
              <w:t xml:space="preserve"> $    1,368,732 </w:t>
            </w:r>
          </w:p>
        </w:tc>
      </w:tr>
      <w:tr w:rsidR="004C197D" w:rsidRPr="00131BA8" w14:paraId="66AE42F1" w14:textId="77777777" w:rsidTr="00326791">
        <w:trPr>
          <w:trHeight w:val="173"/>
        </w:trPr>
        <w:tc>
          <w:tcPr>
            <w:tcW w:w="0" w:type="auto"/>
            <w:tcBorders>
              <w:top w:val="nil"/>
              <w:left w:val="nil"/>
              <w:bottom w:val="nil"/>
              <w:right w:val="nil"/>
            </w:tcBorders>
            <w:noWrap/>
            <w:vAlign w:val="bottom"/>
            <w:hideMark/>
          </w:tcPr>
          <w:p w14:paraId="799B7C50" w14:textId="77777777" w:rsidR="004C197D" w:rsidRPr="00131BA8" w:rsidRDefault="004C197D" w:rsidP="004C197D">
            <w:pPr>
              <w:keepNext/>
              <w:keepLines/>
              <w:ind w:firstLine="0"/>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5CFD01B2" w14:textId="77777777" w:rsidR="004C197D" w:rsidRPr="00131BA8" w:rsidRDefault="004C197D" w:rsidP="004C197D">
            <w:pPr>
              <w:keepNext/>
              <w:keepLines/>
              <w:ind w:firstLine="0"/>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7136F46F" w14:textId="77777777" w:rsidR="004C197D" w:rsidRPr="00131BA8" w:rsidRDefault="004C197D" w:rsidP="004C197D">
            <w:pPr>
              <w:keepNext/>
              <w:keepLines/>
              <w:ind w:firstLine="0"/>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644C404E" w14:textId="77777777" w:rsidR="004C197D" w:rsidRPr="00131BA8" w:rsidRDefault="004C197D" w:rsidP="004C197D">
            <w:pPr>
              <w:keepNext/>
              <w:keepLines/>
              <w:ind w:firstLine="0"/>
              <w:rPr>
                <w:rFonts w:eastAsia="Times New Roman" w:cs="Times New Roman"/>
                <w:color w:val="000000"/>
                <w:sz w:val="18"/>
                <w:szCs w:val="18"/>
                <w:lang w:bidi="ar-SA"/>
              </w:rPr>
            </w:pPr>
          </w:p>
        </w:tc>
        <w:tc>
          <w:tcPr>
            <w:tcW w:w="0" w:type="auto"/>
            <w:tcBorders>
              <w:top w:val="nil"/>
              <w:left w:val="nil"/>
              <w:bottom w:val="nil"/>
              <w:right w:val="nil"/>
            </w:tcBorders>
            <w:noWrap/>
            <w:vAlign w:val="bottom"/>
            <w:hideMark/>
          </w:tcPr>
          <w:p w14:paraId="5C4BE573" w14:textId="77777777" w:rsidR="004C197D" w:rsidRPr="00131BA8" w:rsidRDefault="004C197D" w:rsidP="004C197D">
            <w:pPr>
              <w:keepNext/>
              <w:keepLines/>
              <w:ind w:firstLine="0"/>
              <w:rPr>
                <w:rFonts w:eastAsia="Times New Roman" w:cs="Times New Roman"/>
                <w:color w:val="000000"/>
                <w:sz w:val="18"/>
                <w:szCs w:val="18"/>
                <w:lang w:bidi="ar-SA"/>
              </w:rPr>
            </w:pPr>
          </w:p>
        </w:tc>
      </w:tr>
      <w:tr w:rsidR="004C197D" w:rsidRPr="00131BA8" w14:paraId="795EB2BF" w14:textId="77777777" w:rsidTr="00326791">
        <w:trPr>
          <w:trHeight w:val="173"/>
        </w:trPr>
        <w:tc>
          <w:tcPr>
            <w:tcW w:w="0" w:type="auto"/>
            <w:gridSpan w:val="4"/>
            <w:tcBorders>
              <w:top w:val="nil"/>
              <w:left w:val="nil"/>
              <w:bottom w:val="nil"/>
              <w:right w:val="nil"/>
            </w:tcBorders>
            <w:noWrap/>
            <w:vAlign w:val="bottom"/>
            <w:hideMark/>
          </w:tcPr>
          <w:p w14:paraId="464B1368" w14:textId="77777777" w:rsidR="004C197D" w:rsidRPr="00131BA8" w:rsidRDefault="004C197D" w:rsidP="004C197D">
            <w:pPr>
              <w:keepNext/>
              <w:keepLines/>
              <w:ind w:firstLine="0"/>
              <w:rPr>
                <w:rFonts w:eastAsia="Times New Roman" w:cs="Times New Roman"/>
                <w:color w:val="000000"/>
                <w:sz w:val="18"/>
                <w:szCs w:val="18"/>
                <w:lang w:bidi="ar-SA"/>
              </w:rPr>
            </w:pPr>
            <w:r w:rsidRPr="00131BA8">
              <w:rPr>
                <w:rFonts w:eastAsia="Times New Roman" w:cs="Times New Roman"/>
                <w:color w:val="000000"/>
                <w:sz w:val="18"/>
                <w:szCs w:val="18"/>
                <w:lang w:bidi="ar-SA"/>
              </w:rPr>
              <w:t>* Negative Amortization loans (AKA Option ARM</w:t>
            </w:r>
            <w:r w:rsidR="001858B5" w:rsidRPr="00131BA8">
              <w:rPr>
                <w:rFonts w:eastAsia="Times New Roman" w:cs="Times New Roman"/>
                <w:color w:val="000000"/>
                <w:sz w:val="18"/>
                <w:szCs w:val="18"/>
                <w:lang w:bidi="ar-SA"/>
              </w:rPr>
              <w:fldChar w:fldCharType="begin"/>
            </w:r>
            <w:r w:rsidR="00C12412" w:rsidRPr="00131BA8">
              <w:rPr>
                <w:sz w:val="18"/>
              </w:rPr>
              <w:instrText xml:space="preserve"> XE "</w:instrText>
            </w:r>
            <w:r w:rsidR="00C12412" w:rsidRPr="00131BA8">
              <w:rPr>
                <w:rFonts w:cs="Times New Roman"/>
                <w:sz w:val="18"/>
              </w:rPr>
              <w:instrText>Option ARM</w:instrText>
            </w:r>
            <w:r w:rsidR="00C12412" w:rsidRPr="00131BA8">
              <w:rPr>
                <w:sz w:val="18"/>
              </w:rPr>
              <w:instrText xml:space="preserve">" </w:instrText>
            </w:r>
            <w:r w:rsidR="001858B5" w:rsidRPr="00131BA8">
              <w:rPr>
                <w:rFonts w:eastAsia="Times New Roman" w:cs="Times New Roman"/>
                <w:color w:val="000000"/>
                <w:sz w:val="18"/>
                <w:szCs w:val="18"/>
                <w:lang w:bidi="ar-SA"/>
              </w:rPr>
              <w:fldChar w:fldCharType="end"/>
            </w:r>
            <w:r w:rsidRPr="00131BA8">
              <w:rPr>
                <w:rFonts w:eastAsia="Times New Roman" w:cs="Times New Roman"/>
                <w:color w:val="000000"/>
                <w:sz w:val="18"/>
                <w:szCs w:val="18"/>
                <w:lang w:bidi="ar-SA"/>
              </w:rPr>
              <w:t xml:space="preserve">) </w:t>
            </w:r>
          </w:p>
        </w:tc>
        <w:tc>
          <w:tcPr>
            <w:tcW w:w="0" w:type="auto"/>
            <w:tcBorders>
              <w:top w:val="nil"/>
              <w:left w:val="nil"/>
              <w:bottom w:val="nil"/>
              <w:right w:val="nil"/>
            </w:tcBorders>
            <w:noWrap/>
            <w:vAlign w:val="bottom"/>
            <w:hideMark/>
          </w:tcPr>
          <w:p w14:paraId="49346049" w14:textId="77777777" w:rsidR="004C197D" w:rsidRPr="00131BA8" w:rsidRDefault="004C197D" w:rsidP="004C197D">
            <w:pPr>
              <w:keepNext/>
              <w:keepLines/>
              <w:ind w:firstLine="0"/>
              <w:rPr>
                <w:rFonts w:eastAsia="Times New Roman" w:cs="Times New Roman"/>
                <w:color w:val="000000"/>
                <w:sz w:val="18"/>
                <w:szCs w:val="18"/>
                <w:lang w:bidi="ar-SA"/>
              </w:rPr>
            </w:pPr>
          </w:p>
        </w:tc>
      </w:tr>
    </w:tbl>
    <w:p w14:paraId="40FC4E9C" w14:textId="77777777" w:rsidR="00442F83" w:rsidRPr="00124B71" w:rsidRDefault="00442F83" w:rsidP="00A80B70">
      <w:pPr>
        <w:rPr>
          <w:rFonts w:cs="Times New Roman"/>
        </w:rPr>
      </w:pPr>
    </w:p>
    <w:p w14:paraId="2A608EDD" w14:textId="77777777" w:rsidR="0056372B" w:rsidRPr="00124B71" w:rsidRDefault="004C197D" w:rsidP="00A80B70">
      <w:pPr>
        <w:rPr>
          <w:rFonts w:cs="Times New Roman"/>
        </w:rPr>
      </w:pPr>
      <w:r w:rsidRPr="00124B71">
        <w:rPr>
          <w:rFonts w:cs="Times New Roman"/>
        </w:rPr>
        <w:t xml:space="preserve">The table above illustrates </w:t>
      </w:r>
      <w:r w:rsidR="00027320">
        <w:rPr>
          <w:rFonts w:cs="Times New Roman"/>
        </w:rPr>
        <w:t xml:space="preserve">the </w:t>
      </w:r>
      <w:r w:rsidRPr="00124B71">
        <w:rPr>
          <w:rFonts w:cs="Times New Roman"/>
        </w:rPr>
        <w:t xml:space="preserve">impact of various </w:t>
      </w:r>
      <w:r w:rsidR="006F6EDE" w:rsidRPr="00124B71">
        <w:rPr>
          <w:rFonts w:cs="Times New Roman"/>
        </w:rPr>
        <w:t>amortization</w:t>
      </w:r>
      <w:r w:rsidRPr="00124B71">
        <w:rPr>
          <w:rFonts w:cs="Times New Roman"/>
        </w:rPr>
        <w:t xml:space="preserve"> methods on the debt-to income ratio and the resulting loan amount. The first line shows the typical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Pr="00124B71">
        <w:rPr>
          <w:rFonts w:cs="Times New Roman"/>
        </w:rPr>
        <w:t xml:space="preserve"> of 28% prior to the bubble and the amounts this payment would finance using a 30-year fixed, an interest-only and a negative-amortization loan. The fact that this payment amount, even using exotic </w:t>
      </w:r>
      <w:r w:rsidRPr="00124B71">
        <w:rPr>
          <w:rFonts w:cs="Times New Roman"/>
        </w:rPr>
        <w:lastRenderedPageBreak/>
        <w:t>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Pr="00124B71">
        <w:rPr>
          <w:rFonts w:cs="Times New Roman"/>
        </w:rPr>
        <w:t xml:space="preserve"> does not reach the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Pr="00124B71">
        <w:rPr>
          <w:rFonts w:cs="Times New Roman"/>
        </w:rPr>
        <w:t xml:space="preserve"> sales </w:t>
      </w:r>
      <w:r w:rsidR="006F6EDE" w:rsidRPr="00124B71">
        <w:rPr>
          <w:rFonts w:cs="Times New Roman"/>
        </w:rPr>
        <w:t>price</w:t>
      </w:r>
      <w:r w:rsidRPr="00124B71">
        <w:rPr>
          <w:rFonts w:cs="Times New Roman"/>
        </w:rPr>
        <w:t xml:space="preserve"> is testament to the high debt-to-income ratios utilized by bubble buyers. Using an Option ARM</w:t>
      </w:r>
      <w:r w:rsidR="001858B5">
        <w:rPr>
          <w:rFonts w:cs="Times New Roman"/>
        </w:rPr>
        <w:fldChar w:fldCharType="begin"/>
      </w:r>
      <w:r w:rsidR="00C12412">
        <w:instrText xml:space="preserve"> XE "</w:instrText>
      </w:r>
      <w:r w:rsidR="00C12412" w:rsidRPr="00B02964">
        <w:rPr>
          <w:rFonts w:cs="Times New Roman"/>
        </w:rPr>
        <w:instrText>Option ARM</w:instrText>
      </w:r>
      <w:r w:rsidR="00C12412">
        <w:instrText xml:space="preserve">" </w:instrText>
      </w:r>
      <w:r w:rsidR="001858B5">
        <w:rPr>
          <w:rFonts w:cs="Times New Roman"/>
        </w:rPr>
        <w:fldChar w:fldCharType="end"/>
      </w:r>
      <w:r w:rsidRPr="00124B71">
        <w:rPr>
          <w:rFonts w:cs="Times New Roman"/>
        </w:rPr>
        <w:t xml:space="preserve">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it takes 32.7% of a median </w:t>
      </w:r>
      <w:r w:rsidR="00D5571D" w:rsidRPr="00124B71">
        <w:rPr>
          <w:rFonts w:cs="Times New Roman"/>
        </w:rPr>
        <w:t>household’s</w:t>
      </w:r>
      <w:r w:rsidRPr="00124B71">
        <w:rPr>
          <w:rFonts w:cs="Times New Roman"/>
        </w:rPr>
        <w:t xml:space="preserve"> gross salary to purchase </w:t>
      </w:r>
      <w:r w:rsidR="006F6EDE" w:rsidRPr="00124B71">
        <w:rPr>
          <w:rFonts w:cs="Times New Roman"/>
        </w:rPr>
        <w:t xml:space="preserve">a median home; using interest-only takes 43.1%, and using conventional financing takes an astounding 62% of gross income. </w:t>
      </w:r>
      <w:r w:rsidRPr="00124B71">
        <w:rPr>
          <w:rFonts w:cs="Times New Roman"/>
        </w:rPr>
        <w:t>The widespread use of Option ARMs in Irvine</w:t>
      </w:r>
      <w:r w:rsidR="006F6EDE" w:rsidRPr="00124B71">
        <w:rPr>
          <w:rFonts w:cs="Times New Roman"/>
        </w:rPr>
        <w:t xml:space="preserve"> is</w:t>
      </w:r>
      <w:r w:rsidRPr="00124B71">
        <w:rPr>
          <w:rFonts w:cs="Times New Roman"/>
        </w:rPr>
        <w:t xml:space="preserve"> </w:t>
      </w:r>
      <w:r w:rsidR="006F6EDE" w:rsidRPr="00124B71">
        <w:rPr>
          <w:rFonts w:cs="Times New Roman"/>
        </w:rPr>
        <w:t>not surprising. Irvine, California, is the center of the subprime lending universe, and many mortgage brokers who strongly believe</w:t>
      </w:r>
      <w:r w:rsidR="00D5571D" w:rsidRPr="00124B71">
        <w:rPr>
          <w:rFonts w:cs="Times New Roman"/>
        </w:rPr>
        <w:t>d</w:t>
      </w:r>
      <w:r w:rsidR="006F6EDE" w:rsidRPr="00124B71">
        <w:rPr>
          <w:rFonts w:cs="Times New Roman"/>
        </w:rPr>
        <w:t xml:space="preserve"> in the viability of this product live and work in Irvine and used them to purchase their primary residence</w:t>
      </w:r>
      <w:r w:rsidR="00D5571D" w:rsidRPr="00124B71">
        <w:rPr>
          <w:rFonts w:cs="Times New Roman"/>
        </w:rPr>
        <w:t>s</w:t>
      </w:r>
      <w:r w:rsidR="006F6EDE" w:rsidRPr="00124B71">
        <w:rPr>
          <w:rFonts w:cs="Times New Roman"/>
        </w:rPr>
        <w:t xml:space="preserve">. </w:t>
      </w:r>
    </w:p>
    <w:p w14:paraId="5555861B" w14:textId="77777777" w:rsidR="00CF59BF" w:rsidRPr="00124B71" w:rsidRDefault="00CF59BF" w:rsidP="00A80B70">
      <w:pPr>
        <w:rPr>
          <w:rFonts w:cs="Times New Roman"/>
        </w:rPr>
      </w:pPr>
      <w:r w:rsidRPr="00124B71">
        <w:rPr>
          <w:rFonts w:cs="Times New Roman"/>
        </w:rPr>
        <w:t>Since adjustable-rate mortgages of all types performed poorly during the collapse of house prices, and in particular the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loans, it is likely these loan terms will be curtailed or eliminated in the future. These loans are inherently unstable and prone to high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Pr="00124B71">
        <w:rPr>
          <w:rFonts w:cs="Times New Roman"/>
        </w:rPr>
        <w:t xml:space="preserve"> due to the escalating payments that can, and often do, result from their use. The widespread use of these loans destabilizes home prices by detaching them from fundamental valuations</w:t>
      </w:r>
      <w:r w:rsidR="004E1499" w:rsidRPr="00124B71">
        <w:rPr>
          <w:rFonts w:cs="Times New Roman"/>
        </w:rPr>
        <w:t>. The use of these loans creates the very conditions in which they poorly perform.</w:t>
      </w:r>
      <w:r w:rsidR="00176C5B" w:rsidRPr="00124B71">
        <w:rPr>
          <w:rFonts w:cs="Times New Roman"/>
        </w:rPr>
        <w:t xml:space="preserve"> People who purchased during the bubble rally at inflated prices using these loan terms were risking that these terms would always be available to buyers in the market because without these terms, future buyers would not be able to finance the inflated sums necessary to</w:t>
      </w:r>
      <w:r w:rsidR="00384E5D" w:rsidRPr="00124B71">
        <w:rPr>
          <w:rFonts w:cs="Times New Roman"/>
        </w:rPr>
        <w:t xml:space="preserve"> allow a bubble rally buyer to get out with a profit. Without these exotic loan terms the bubble could not stay inflated.</w:t>
      </w:r>
    </w:p>
    <w:p w14:paraId="4D06A122" w14:textId="77777777" w:rsidR="001767A9" w:rsidRPr="00EF0EDA" w:rsidRDefault="001767A9" w:rsidP="00A80B70">
      <w:pPr>
        <w:pStyle w:val="Heading3"/>
      </w:pPr>
      <w:bookmarkStart w:id="217" w:name="_Toc238867391"/>
      <w:r w:rsidRPr="00EF0EDA">
        <w:t>Unemployment</w:t>
      </w:r>
      <w:bookmarkEnd w:id="217"/>
    </w:p>
    <w:p w14:paraId="126081B3" w14:textId="1EDAAA04" w:rsidR="006A2806" w:rsidRPr="00EF0EDA" w:rsidRDefault="006A2806" w:rsidP="006A2806">
      <w:pPr>
        <w:pStyle w:val="Caption"/>
      </w:pPr>
      <w:bookmarkStart w:id="218" w:name="_Toc238867499"/>
      <w:r>
        <w:t>Figure</w:t>
      </w:r>
      <w:r w:rsidRPr="00EF0EDA">
        <w:t xml:space="preserve"> </w:t>
      </w:r>
      <w:fldSimple w:instr=" SEQ Figure \* ARABIC ">
        <w:r w:rsidR="00493733">
          <w:rPr>
            <w:noProof/>
          </w:rPr>
          <w:t>58</w:t>
        </w:r>
      </w:fldSimple>
      <w:r w:rsidR="00317936">
        <w:t xml:space="preserve">: </w:t>
      </w:r>
      <w:r w:rsidRPr="00EF0EDA">
        <w:t>National Unemployment Rate</w:t>
      </w:r>
      <w:r>
        <w:t>,</w:t>
      </w:r>
      <w:r w:rsidRPr="00EF0EDA">
        <w:t xml:space="preserve"> 1976-2008</w:t>
      </w:r>
      <w:bookmarkEnd w:id="218"/>
    </w:p>
    <w:p w14:paraId="1B5C7C88" w14:textId="77777777" w:rsidR="006A2806" w:rsidRPr="00EF0EDA" w:rsidRDefault="006A2806" w:rsidP="006A2806">
      <w:pPr>
        <w:pStyle w:val="Graphics"/>
      </w:pPr>
      <w:r>
        <w:drawing>
          <wp:inline distT="0" distB="0" distL="0" distR="0" wp14:anchorId="3ECF0CDB" wp14:editId="282D054D">
            <wp:extent cx="3657600" cy="2331720"/>
            <wp:effectExtent l="19050" t="0" r="0" b="0"/>
            <wp:docPr id="130" name="Picture 122" descr="National Unemployment Rate 1976-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Unemployment Rate 1976-2008.jpg"/>
                    <pic:cNvPicPr/>
                  </pic:nvPicPr>
                  <pic:blipFill>
                    <a:blip r:embed="rId96"/>
                    <a:stretch>
                      <a:fillRect/>
                    </a:stretch>
                  </pic:blipFill>
                  <pic:spPr>
                    <a:xfrm>
                      <a:off x="0" y="0"/>
                      <a:ext cx="3657600" cy="2331720"/>
                    </a:xfrm>
                    <a:prstGeom prst="rect">
                      <a:avLst/>
                    </a:prstGeom>
                  </pic:spPr>
                </pic:pic>
              </a:graphicData>
            </a:graphic>
          </wp:inline>
        </w:drawing>
      </w:r>
    </w:p>
    <w:p w14:paraId="46223257" w14:textId="77777777" w:rsidR="00384E5D" w:rsidRPr="00124B71" w:rsidRDefault="00384E5D" w:rsidP="00384E5D">
      <w:pPr>
        <w:rPr>
          <w:rFonts w:cs="Times New Roman"/>
        </w:rPr>
      </w:pPr>
      <w:r w:rsidRPr="00124B71">
        <w:rPr>
          <w:rFonts w:cs="Times New Roman"/>
        </w:rPr>
        <w:t>Prior to the Great Housing Bubble, house price declines had only been associated with economic downturns and increases in unemployment</w:t>
      </w:r>
      <w:r w:rsidR="001858B5">
        <w:rPr>
          <w:rFonts w:cs="Times New Roman"/>
        </w:rPr>
        <w:fldChar w:fldCharType="begin"/>
      </w:r>
      <w:r w:rsidR="00FB4BC9">
        <w:instrText xml:space="preserve"> XE "</w:instrText>
      </w:r>
      <w:r w:rsidR="00FB4BC9" w:rsidRPr="00E7306C">
        <w:rPr>
          <w:rFonts w:cs="Times New Roman"/>
        </w:rPr>
        <w:instrText>unemployment</w:instrText>
      </w:r>
      <w:r w:rsidR="00FB4BC9">
        <w:instrText xml:space="preserve">" </w:instrText>
      </w:r>
      <w:r w:rsidR="001858B5">
        <w:rPr>
          <w:rFonts w:cs="Times New Roman"/>
        </w:rPr>
        <w:fldChar w:fldCharType="end"/>
      </w:r>
      <w:r w:rsidR="00732642" w:rsidRPr="00124B71">
        <w:rPr>
          <w:rFonts w:cs="Times New Roman"/>
        </w:rPr>
        <w:t>.</w:t>
      </w:r>
      <w:r w:rsidR="00967F96" w:rsidRPr="00124B71">
        <w:rPr>
          <w:rFonts w:cs="Times New Roman"/>
        </w:rPr>
        <w:t xml:space="preserve"> </w:t>
      </w:r>
      <w:r w:rsidR="004D29EA" w:rsidRPr="00124B71">
        <w:rPr>
          <w:rStyle w:val="EndnoteReference"/>
          <w:rFonts w:cs="Times New Roman"/>
        </w:rPr>
        <w:endnoteReference w:id="129"/>
      </w:r>
      <w:r w:rsidRPr="00124B71">
        <w:rPr>
          <w:rFonts w:cs="Times New Roman"/>
        </w:rPr>
        <w:t xml:space="preserve"> When the economy softens, wage growth slows down as employers are less able to pay higher wages and the competition for available work makes people less </w:t>
      </w:r>
      <w:r w:rsidRPr="00124B71">
        <w:rPr>
          <w:rFonts w:cs="Times New Roman"/>
        </w:rPr>
        <w:lastRenderedPageBreak/>
        <w:t>able to demand higher wages from their employers. The economic slowdown is thereby responsible for slower rates of house price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If the downturn is more severe, rising unemployment serves to push prices lower because the unemployed cannot afford to make their house payments, and their houses often fall into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As unemployment increases so does the number of foreclosures, and </w:t>
      </w:r>
      <w:r w:rsidR="00CC5623" w:rsidRPr="00124B71">
        <w:rPr>
          <w:rFonts w:cs="Times New Roman"/>
        </w:rPr>
        <w:t>since there are fewer buyers in a recession, the number of foreclosures cannot be absorbed by the market without a lowering of prices to meet diminished buyer demand.</w:t>
      </w:r>
      <w:r w:rsidRPr="00124B71">
        <w:rPr>
          <w:rFonts w:cs="Times New Roman"/>
        </w:rPr>
        <w:t xml:space="preserve"> </w:t>
      </w:r>
    </w:p>
    <w:p w14:paraId="28F211A4" w14:textId="77777777" w:rsidR="00565308" w:rsidRPr="00124B71" w:rsidRDefault="00CC5623" w:rsidP="00A80B70">
      <w:pPr>
        <w:rPr>
          <w:rFonts w:cs="Times New Roman"/>
        </w:rPr>
      </w:pPr>
      <w:r w:rsidRPr="00124B71">
        <w:rPr>
          <w:rFonts w:cs="Times New Roman"/>
        </w:rPr>
        <w:t>There is evidence that housing market downturns may actually be the cause of many recessions</w:t>
      </w:r>
      <w:r w:rsidR="00732642" w:rsidRPr="00124B71">
        <w:rPr>
          <w:rFonts w:cs="Times New Roman"/>
        </w:rPr>
        <w:t>.</w:t>
      </w:r>
      <w:r w:rsidR="00967F96" w:rsidRPr="00124B71">
        <w:rPr>
          <w:rFonts w:cs="Times New Roman"/>
        </w:rPr>
        <w:t xml:space="preserve"> </w:t>
      </w:r>
      <w:r w:rsidR="00A36513" w:rsidRPr="00124B71">
        <w:rPr>
          <w:rStyle w:val="EndnoteReference"/>
          <w:rFonts w:cs="Times New Roman"/>
        </w:rPr>
        <w:endnoteReference w:id="130"/>
      </w:r>
      <w:r w:rsidRPr="00124B71">
        <w:rPr>
          <w:rFonts w:cs="Times New Roman"/>
        </w:rPr>
        <w:t xml:space="preserve"> There is a strong correspondence between the times when the country enters and exits a recession and when the times when residential construction spending drops off and picks up.</w:t>
      </w:r>
      <w:r w:rsidR="00B331D7" w:rsidRPr="00124B71">
        <w:rPr>
          <w:rFonts w:cs="Times New Roman"/>
        </w:rPr>
        <w:t xml:space="preserve"> The recession of 2008 was clearly caused by the problems in the credit markets and the resultant slowdown in consumer spending related to the collapse of house prices </w:t>
      </w:r>
      <w:r w:rsidR="00D5571D" w:rsidRPr="00124B71">
        <w:rPr>
          <w:rFonts w:cs="Times New Roman"/>
        </w:rPr>
        <w:t>during</w:t>
      </w:r>
      <w:r w:rsidR="00B331D7" w:rsidRPr="00124B71">
        <w:rPr>
          <w:rFonts w:cs="Times New Roman"/>
        </w:rPr>
        <w:t xml:space="preserve"> the Great Housing Bubble. The result of this recession is unknown as of the time of this writing. If the unemployment</w:t>
      </w:r>
      <w:r w:rsidR="001858B5">
        <w:rPr>
          <w:rFonts w:cs="Times New Roman"/>
        </w:rPr>
        <w:fldChar w:fldCharType="begin"/>
      </w:r>
      <w:r w:rsidR="00FB4BC9">
        <w:instrText xml:space="preserve"> XE "</w:instrText>
      </w:r>
      <w:r w:rsidR="00FB4BC9" w:rsidRPr="00E7306C">
        <w:rPr>
          <w:rFonts w:cs="Times New Roman"/>
        </w:rPr>
        <w:instrText>unemployment</w:instrText>
      </w:r>
      <w:r w:rsidR="00FB4BC9">
        <w:instrText xml:space="preserve">" </w:instrText>
      </w:r>
      <w:r w:rsidR="001858B5">
        <w:rPr>
          <w:rFonts w:cs="Times New Roman"/>
        </w:rPr>
        <w:fldChar w:fldCharType="end"/>
      </w:r>
      <w:r w:rsidR="00B331D7" w:rsidRPr="00124B71">
        <w:rPr>
          <w:rFonts w:cs="Times New Roman"/>
        </w:rPr>
        <w:t xml:space="preserve"> rate rises significantly, people</w:t>
      </w:r>
      <w:r w:rsidR="00027320">
        <w:rPr>
          <w:rFonts w:cs="Times New Roman"/>
        </w:rPr>
        <w:t xml:space="preserve"> are</w:t>
      </w:r>
      <w:r w:rsidR="00B331D7" w:rsidRPr="00124B71">
        <w:rPr>
          <w:rFonts w:cs="Times New Roman"/>
        </w:rPr>
        <w:t xml:space="preserve"> out of work and unable to make their housing payments. This will lead to many more foreclosures even among people who did not take out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00B331D7" w:rsidRPr="00124B71">
        <w:rPr>
          <w:rFonts w:cs="Times New Roman"/>
        </w:rPr>
        <w:t xml:space="preserve"> or extract all of their home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B331D7" w:rsidRPr="00124B71">
        <w:rPr>
          <w:rFonts w:cs="Times New Roman"/>
        </w:rPr>
        <w:t xml:space="preserve"> for consumer spending.</w:t>
      </w:r>
    </w:p>
    <w:p w14:paraId="699B98D7" w14:textId="4421A79E" w:rsidR="00565308" w:rsidRPr="00EF0EDA" w:rsidRDefault="00CF05FE" w:rsidP="00565308">
      <w:pPr>
        <w:pStyle w:val="Caption"/>
      </w:pPr>
      <w:bookmarkStart w:id="219" w:name="_Toc238867500"/>
      <w:r>
        <w:t>Figure</w:t>
      </w:r>
      <w:r w:rsidR="00565308" w:rsidRPr="00EF0EDA">
        <w:t xml:space="preserve"> </w:t>
      </w:r>
      <w:fldSimple w:instr=" SEQ Figure \* ARABIC ">
        <w:r w:rsidR="00493733">
          <w:rPr>
            <w:noProof/>
          </w:rPr>
          <w:t>59</w:t>
        </w:r>
      </w:fldSimple>
      <w:r w:rsidR="00317936">
        <w:t xml:space="preserve">: </w:t>
      </w:r>
      <w:r w:rsidR="00565308" w:rsidRPr="00EF0EDA">
        <w:t>California Unemployment Rate</w:t>
      </w:r>
      <w:r w:rsidR="00D24C1E">
        <w:t>.</w:t>
      </w:r>
      <w:r w:rsidR="00565308" w:rsidRPr="00EF0EDA">
        <w:t xml:space="preserve"> 1976-2008</w:t>
      </w:r>
      <w:bookmarkEnd w:id="219"/>
    </w:p>
    <w:p w14:paraId="11436F43" w14:textId="77777777" w:rsidR="00565308" w:rsidRPr="00EF0EDA" w:rsidRDefault="00C863CF" w:rsidP="002D7DDD">
      <w:pPr>
        <w:pStyle w:val="Graphics"/>
      </w:pPr>
      <w:r>
        <w:drawing>
          <wp:inline distT="0" distB="0" distL="0" distR="0" wp14:anchorId="62312959" wp14:editId="130C1506">
            <wp:extent cx="3657600" cy="2286000"/>
            <wp:effectExtent l="19050" t="0" r="0" b="0"/>
            <wp:docPr id="124" name="Picture 123" descr="California Unemployment Rate 1976-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ifornia Unemployment Rate 1976-2008.jpg"/>
                    <pic:cNvPicPr/>
                  </pic:nvPicPr>
                  <pic:blipFill>
                    <a:blip r:embed="rId97"/>
                    <a:stretch>
                      <a:fillRect/>
                    </a:stretch>
                  </pic:blipFill>
                  <pic:spPr>
                    <a:xfrm>
                      <a:off x="0" y="0"/>
                      <a:ext cx="3657600" cy="2286000"/>
                    </a:xfrm>
                    <a:prstGeom prst="rect">
                      <a:avLst/>
                    </a:prstGeom>
                  </pic:spPr>
                </pic:pic>
              </a:graphicData>
            </a:graphic>
          </wp:inline>
        </w:drawing>
      </w:r>
    </w:p>
    <w:p w14:paraId="63101A2E" w14:textId="77777777" w:rsidR="005C56A7" w:rsidRPr="00124B71" w:rsidRDefault="005C56A7" w:rsidP="005C56A7">
      <w:pPr>
        <w:rPr>
          <w:rFonts w:cs="Times New Roman"/>
        </w:rPr>
      </w:pPr>
      <w:r w:rsidRPr="00124B71">
        <w:rPr>
          <w:rFonts w:cs="Times New Roman"/>
        </w:rPr>
        <w:t>Many layoffs came to Irvine and Orange County</w:t>
      </w:r>
      <w:r w:rsidR="001858B5">
        <w:rPr>
          <w:rFonts w:cs="Times New Roman"/>
        </w:rPr>
        <w:fldChar w:fldCharType="begin"/>
      </w:r>
      <w:r w:rsidR="00AE7D38">
        <w:instrText xml:space="preserve"> XE "</w:instrText>
      </w:r>
      <w:r w:rsidR="00AE7D38" w:rsidRPr="0005034B">
        <w:rPr>
          <w:rFonts w:cs="Times New Roman"/>
        </w:rPr>
        <w:instrText>Orange County</w:instrText>
      </w:r>
      <w:r w:rsidR="00AE7D38">
        <w:instrText xml:space="preserve">" </w:instrText>
      </w:r>
      <w:r w:rsidR="001858B5">
        <w:rPr>
          <w:rFonts w:cs="Times New Roman"/>
        </w:rPr>
        <w:fldChar w:fldCharType="end"/>
      </w:r>
      <w:r w:rsidRPr="00124B71">
        <w:rPr>
          <w:rFonts w:cs="Times New Roman"/>
        </w:rPr>
        <w:t>, California</w:t>
      </w:r>
      <w:r w:rsidR="001061B0">
        <w:rPr>
          <w:rFonts w:cs="Times New Roman"/>
        </w:rPr>
        <w:t>,</w:t>
      </w:r>
      <w:r w:rsidRPr="00124B71">
        <w:rPr>
          <w:rFonts w:cs="Times New Roman"/>
        </w:rPr>
        <w:t xml:space="preserve"> in 2007. New Century</w:t>
      </w:r>
      <w:r w:rsidR="001858B5">
        <w:rPr>
          <w:rFonts w:cs="Times New Roman"/>
        </w:rPr>
        <w:fldChar w:fldCharType="begin"/>
      </w:r>
      <w:r w:rsidR="002321D5">
        <w:instrText xml:space="preserve"> XE "</w:instrText>
      </w:r>
      <w:r w:rsidR="002321D5" w:rsidRPr="00C24401">
        <w:rPr>
          <w:rFonts w:cs="Times New Roman"/>
        </w:rPr>
        <w:instrText>New Century</w:instrText>
      </w:r>
      <w:r w:rsidR="002321D5">
        <w:instrText xml:space="preserve">" </w:instrText>
      </w:r>
      <w:r w:rsidR="001858B5">
        <w:rPr>
          <w:rFonts w:cs="Times New Roman"/>
        </w:rPr>
        <w:fldChar w:fldCharType="end"/>
      </w:r>
      <w:r w:rsidRPr="00124B71">
        <w:rPr>
          <w:rFonts w:cs="Times New Roman"/>
        </w:rPr>
        <w:t xml:space="preserve"> Financial went bankrupt along with numerous other subprime lenders based in Orange County. Real Estate related employment went from 15% of the workforce to 18% during the bubble. Most of these workers were laid off when the housing market slowed significantly. Many of the realtors and mortgage brokers in Orange County, California, and Irvine in particular, made hundreds of thousands of dollars a year off real estate transactions during the bubble. Most of these workers were not W-2 employees counted in regular government statistics. Transaction volumes declined 80% from the peak in 2005 to the end </w:t>
      </w:r>
      <w:r w:rsidRPr="00124B71">
        <w:rPr>
          <w:rFonts w:cs="Times New Roman"/>
        </w:rPr>
        <w:lastRenderedPageBreak/>
        <w:t>of 2007 in Orange County. Prices declined 15% as well. This resulted in a decline in income for realtors and mortgage brokers</w:t>
      </w:r>
      <w:r w:rsidR="00D5571D" w:rsidRPr="00124B71">
        <w:rPr>
          <w:rFonts w:cs="Times New Roman"/>
        </w:rPr>
        <w:t xml:space="preserve"> which</w:t>
      </w:r>
      <w:r w:rsidRPr="00124B71">
        <w:rPr>
          <w:rFonts w:cs="Times New Roman"/>
        </w:rPr>
        <w:t xml:space="preserve"> put many of them in financial difficulty. Also, many if not most of these members of the real estate industry invested heavily in real estate and acquired multiple properties. Faced with the near elimination of their income, an inability to borrow more money and payments far in excess of any potential rental income, many of these individuals financially imploded and let all of their properties go into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w:t>
      </w:r>
    </w:p>
    <w:p w14:paraId="7BC9436E" w14:textId="77777777" w:rsidR="005C56A7" w:rsidRPr="00124B71" w:rsidRDefault="005C56A7" w:rsidP="005C56A7">
      <w:pPr>
        <w:rPr>
          <w:rFonts w:cs="Times New Roman"/>
        </w:rPr>
      </w:pPr>
      <w:r w:rsidRPr="00124B71">
        <w:rPr>
          <w:rFonts w:cs="Times New Roman"/>
        </w:rPr>
        <w:t>One of the largest contributors to the Irvine, California, economy also does not show up in the unemployment</w:t>
      </w:r>
      <w:r w:rsidR="001858B5">
        <w:rPr>
          <w:rFonts w:cs="Times New Roman"/>
        </w:rPr>
        <w:fldChar w:fldCharType="begin"/>
      </w:r>
      <w:r w:rsidR="00FB4BC9">
        <w:instrText xml:space="preserve"> XE "</w:instrText>
      </w:r>
      <w:r w:rsidR="00FB4BC9" w:rsidRPr="00E7306C">
        <w:rPr>
          <w:rFonts w:cs="Times New Roman"/>
        </w:rPr>
        <w:instrText>unemployment</w:instrText>
      </w:r>
      <w:r w:rsidR="00FB4BC9">
        <w:instrText xml:space="preserve">" </w:instrText>
      </w:r>
      <w:r w:rsidR="001858B5">
        <w:rPr>
          <w:rFonts w:cs="Times New Roman"/>
        </w:rPr>
        <w:fldChar w:fldCharType="end"/>
      </w:r>
      <w:r w:rsidRPr="00124B71">
        <w:rPr>
          <w:rFonts w:cs="Times New Roman"/>
        </w:rPr>
        <w:t xml:space="preserve"> statistics: people’s houses. Median house prices went up in value an amount equal to or greater than the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Pr="00124B71">
        <w:rPr>
          <w:rFonts w:cs="Times New Roman"/>
        </w:rPr>
        <w:t xml:space="preserve"> household income for 5 consecutive years from 2002-2006. It was as if every homeowner had another breadwinner in the family. With home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withdrawal, this money could be taken out at any time without IRS withholding. </w:t>
      </w:r>
      <w:r w:rsidR="00951489" w:rsidRPr="00124B71">
        <w:rPr>
          <w:rFonts w:cs="Times New Roman"/>
        </w:rPr>
        <w:t>On a cash basis,</w:t>
      </w:r>
      <w:r w:rsidRPr="00124B71">
        <w:rPr>
          <w:rFonts w:cs="Times New Roman"/>
        </w:rPr>
        <w:t xml:space="preserve"> a </w:t>
      </w:r>
      <w:r w:rsidR="00951489" w:rsidRPr="00124B71">
        <w:rPr>
          <w:rFonts w:cs="Times New Roman"/>
        </w:rPr>
        <w:t>family’s</w:t>
      </w:r>
      <w:r w:rsidRPr="00124B71">
        <w:rPr>
          <w:rFonts w:cs="Times New Roman"/>
        </w:rPr>
        <w:t xml:space="preserve"> house was actually </w:t>
      </w:r>
      <w:r w:rsidR="00951489" w:rsidRPr="00124B71">
        <w:rPr>
          <w:rFonts w:cs="Times New Roman"/>
        </w:rPr>
        <w:t xml:space="preserve">contributing more cash to spend </w:t>
      </w:r>
      <w:r w:rsidRPr="00124B71">
        <w:rPr>
          <w:rFonts w:cs="Times New Roman"/>
        </w:rPr>
        <w:t>than the household wage income.</w:t>
      </w:r>
      <w:r w:rsidR="00951489" w:rsidRPr="00124B71">
        <w:rPr>
          <w:rFonts w:cs="Times New Roman"/>
        </w:rPr>
        <w:t xml:space="preserve"> Not everyone took out this money and spent it, but a great many did.</w:t>
      </w:r>
      <w:r w:rsidR="00390AA8" w:rsidRPr="00124B71">
        <w:rPr>
          <w:rFonts w:cs="Times New Roman"/>
        </w:rPr>
        <w:t xml:space="preserve"> When prices fell and credit tightened, the mortgage equity withdrawal spigot was shut off. </w:t>
      </w:r>
      <w:r w:rsidR="00951489" w:rsidRPr="00124B71">
        <w:rPr>
          <w:rFonts w:cs="Times New Roman"/>
        </w:rPr>
        <w:t xml:space="preserve"> Imagine the impact on the local economy</w:t>
      </w:r>
      <w:r w:rsidR="00390AA8" w:rsidRPr="00124B71">
        <w:rPr>
          <w:rFonts w:cs="Times New Roman"/>
        </w:rPr>
        <w:t xml:space="preserve"> when</w:t>
      </w:r>
      <w:r w:rsidR="00951489" w:rsidRPr="00124B71">
        <w:rPr>
          <w:rFonts w:cs="Times New Roman"/>
        </w:rPr>
        <w:t xml:space="preserve"> half of its “workers” los</w:t>
      </w:r>
      <w:r w:rsidR="00390AA8" w:rsidRPr="00124B71">
        <w:rPr>
          <w:rFonts w:cs="Times New Roman"/>
        </w:rPr>
        <w:t>e</w:t>
      </w:r>
      <w:r w:rsidR="00951489" w:rsidRPr="00124B71">
        <w:rPr>
          <w:rFonts w:cs="Times New Roman"/>
        </w:rPr>
        <w:t xml:space="preserve"> their incomes.</w:t>
      </w:r>
    </w:p>
    <w:p w14:paraId="732CC24D" w14:textId="77777777" w:rsidR="00F62483" w:rsidRPr="00124B71" w:rsidRDefault="005C56A7" w:rsidP="00A80B70">
      <w:pPr>
        <w:rPr>
          <w:rFonts w:cs="Times New Roman"/>
        </w:rPr>
      </w:pPr>
      <w:r w:rsidRPr="00124B71">
        <w:rPr>
          <w:rFonts w:cs="Times New Roman"/>
        </w:rPr>
        <w:t>With the diminishment of wage income</w:t>
      </w:r>
      <w:r w:rsidR="00390AA8" w:rsidRPr="00124B71">
        <w:rPr>
          <w:rFonts w:cs="Times New Roman"/>
        </w:rPr>
        <w:t>,</w:t>
      </w:r>
      <w:r w:rsidRPr="00124B71">
        <w:rPr>
          <w:rFonts w:cs="Times New Roman"/>
        </w:rPr>
        <w:t xml:space="preserve"> commission income,</w:t>
      </w:r>
      <w:r w:rsidR="00390AA8" w:rsidRPr="00124B71">
        <w:rPr>
          <w:rFonts w:cs="Times New Roman"/>
        </w:rPr>
        <w:t xml:space="preserve"> and mortgage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390AA8" w:rsidRPr="00124B71">
        <w:rPr>
          <w:rFonts w:cs="Times New Roman"/>
        </w:rPr>
        <w:t xml:space="preserve"> withdrawal,</w:t>
      </w:r>
      <w:r w:rsidRPr="00124B71">
        <w:rPr>
          <w:rFonts w:cs="Times New Roman"/>
        </w:rPr>
        <w:t xml:space="preserve"> </w:t>
      </w:r>
      <w:r w:rsidR="00D5571D" w:rsidRPr="00124B71">
        <w:rPr>
          <w:rFonts w:cs="Times New Roman"/>
        </w:rPr>
        <w:t>many</w:t>
      </w:r>
      <w:r w:rsidRPr="00124B71">
        <w:rPr>
          <w:rFonts w:cs="Times New Roman"/>
        </w:rPr>
        <w:t xml:space="preserve"> business</w:t>
      </w:r>
      <w:r w:rsidR="00D5571D" w:rsidRPr="00124B71">
        <w:rPr>
          <w:rFonts w:cs="Times New Roman"/>
        </w:rPr>
        <w:t>es</w:t>
      </w:r>
      <w:r w:rsidRPr="00124B71">
        <w:rPr>
          <w:rFonts w:cs="Times New Roman"/>
        </w:rPr>
        <w:t xml:space="preserve"> in Orange County</w:t>
      </w:r>
      <w:r w:rsidR="001858B5">
        <w:rPr>
          <w:rFonts w:cs="Times New Roman"/>
        </w:rPr>
        <w:fldChar w:fldCharType="begin"/>
      </w:r>
      <w:r w:rsidR="00AE7D38">
        <w:instrText xml:space="preserve"> XE "</w:instrText>
      </w:r>
      <w:r w:rsidR="00AE7D38" w:rsidRPr="0005034B">
        <w:rPr>
          <w:rFonts w:cs="Times New Roman"/>
        </w:rPr>
        <w:instrText>Orange County</w:instrText>
      </w:r>
      <w:r w:rsidR="00AE7D38">
        <w:instrText xml:space="preserve">" </w:instrText>
      </w:r>
      <w:r w:rsidR="001858B5">
        <w:rPr>
          <w:rFonts w:cs="Times New Roman"/>
        </w:rPr>
        <w:fldChar w:fldCharType="end"/>
      </w:r>
      <w:r w:rsidRPr="00124B71">
        <w:rPr>
          <w:rFonts w:cs="Times New Roman"/>
        </w:rPr>
        <w:t xml:space="preserve"> began to suffer.</w:t>
      </w:r>
      <w:r w:rsidR="00390AA8" w:rsidRPr="00124B71">
        <w:rPr>
          <w:rFonts w:cs="Times New Roman"/>
        </w:rPr>
        <w:t xml:space="preserve"> This had ripple effects through the local economy. </w:t>
      </w:r>
      <w:r w:rsidR="00C02EF1" w:rsidRPr="00124B71">
        <w:rPr>
          <w:rFonts w:cs="Times New Roman"/>
        </w:rPr>
        <w:t>The lower income began to show up in weakening rents and higher vacancy rates</w:t>
      </w:r>
      <w:r w:rsidR="001858B5">
        <w:rPr>
          <w:rFonts w:cs="Times New Roman"/>
        </w:rPr>
        <w:fldChar w:fldCharType="begin"/>
      </w:r>
      <w:r w:rsidR="00A7313A">
        <w:instrText xml:space="preserve"> XE "</w:instrText>
      </w:r>
      <w:r w:rsidR="00A7313A" w:rsidRPr="00593577">
        <w:rPr>
          <w:rFonts w:cs="Times New Roman"/>
        </w:rPr>
        <w:instrText>vacancy rates</w:instrText>
      </w:r>
      <w:r w:rsidR="00A7313A">
        <w:instrText xml:space="preserve">" </w:instrText>
      </w:r>
      <w:r w:rsidR="001858B5">
        <w:rPr>
          <w:rFonts w:cs="Times New Roman"/>
        </w:rPr>
        <w:fldChar w:fldCharType="end"/>
      </w:r>
      <w:r w:rsidR="00C02EF1" w:rsidRPr="00124B71">
        <w:rPr>
          <w:rFonts w:cs="Times New Roman"/>
        </w:rPr>
        <w:t xml:space="preserve"> at the major apartment complexes, but the major problem for the housing market was the unemployment</w:t>
      </w:r>
      <w:r w:rsidR="001858B5">
        <w:rPr>
          <w:rFonts w:cs="Times New Roman"/>
        </w:rPr>
        <w:fldChar w:fldCharType="begin"/>
      </w:r>
      <w:r w:rsidR="00FB4BC9">
        <w:instrText xml:space="preserve"> XE "</w:instrText>
      </w:r>
      <w:r w:rsidR="00FB4BC9" w:rsidRPr="00E7306C">
        <w:rPr>
          <w:rFonts w:cs="Times New Roman"/>
        </w:rPr>
        <w:instrText>unemployment</w:instrText>
      </w:r>
      <w:r w:rsidR="00FB4BC9">
        <w:instrText xml:space="preserve">" </w:instrText>
      </w:r>
      <w:r w:rsidR="001858B5">
        <w:rPr>
          <w:rFonts w:cs="Times New Roman"/>
        </w:rPr>
        <w:fldChar w:fldCharType="end"/>
      </w:r>
      <w:r w:rsidR="00C02EF1" w:rsidRPr="00124B71">
        <w:rPr>
          <w:rFonts w:cs="Times New Roman"/>
        </w:rPr>
        <w:t>. As the unemployment numbers went up, so did the number of foreclosures.</w:t>
      </w:r>
    </w:p>
    <w:p w14:paraId="17270108" w14:textId="77777777" w:rsidR="001767A9" w:rsidRPr="00EF0EDA" w:rsidRDefault="001767A9" w:rsidP="00A80B70">
      <w:pPr>
        <w:pStyle w:val="Heading3"/>
      </w:pPr>
      <w:bookmarkStart w:id="220" w:name="_Toc238867392"/>
      <w:r w:rsidRPr="00EF0EDA">
        <w:t>Foreclosures</w:t>
      </w:r>
      <w:bookmarkEnd w:id="220"/>
      <w:r w:rsidRPr="00EF0EDA">
        <w:t xml:space="preserve"> </w:t>
      </w:r>
    </w:p>
    <w:p w14:paraId="4E5F4987" w14:textId="77777777" w:rsidR="0049064A" w:rsidRPr="00124B71" w:rsidRDefault="001767A9" w:rsidP="0049064A">
      <w:pPr>
        <w:rPr>
          <w:rFonts w:cs="Times New Roman"/>
        </w:rPr>
      </w:pPr>
      <w:r w:rsidRPr="00124B71">
        <w:rPr>
          <w:rFonts w:cs="Times New Roman"/>
        </w:rPr>
        <w:t xml:space="preserve">The wildcard in this analysis is the impact of foreclosures. The number of foreclosures will </w:t>
      </w:r>
      <w:r w:rsidR="0043289F" w:rsidRPr="00124B71">
        <w:rPr>
          <w:rFonts w:cs="Times New Roman"/>
        </w:rPr>
        <w:t>affect</w:t>
      </w:r>
      <w:r w:rsidRPr="00124B71">
        <w:rPr>
          <w:rFonts w:cs="Times New Roman"/>
        </w:rPr>
        <w:t xml:space="preserve"> both the timing and the severity of the drop because it is foreclosures that drive prices lower</w:t>
      </w:r>
      <w:r w:rsidR="00A55A88" w:rsidRPr="00124B71">
        <w:rPr>
          <w:rFonts w:cs="Times New Roman"/>
        </w:rPr>
        <w:t xml:space="preserve"> quickly</w:t>
      </w:r>
      <w:r w:rsidRPr="00124B71">
        <w:rPr>
          <w:rFonts w:cs="Times New Roman"/>
        </w:rPr>
        <w:t>.</w:t>
      </w:r>
      <w:r w:rsidR="00C02EF1" w:rsidRPr="00124B71">
        <w:rPr>
          <w:rFonts w:cs="Times New Roman"/>
        </w:rPr>
        <w:t xml:space="preserve"> Foreclosures control the timing of the crash because they directly impact the must-sell</w:t>
      </w:r>
      <w:r w:rsidR="001858B5">
        <w:rPr>
          <w:rFonts w:cs="Times New Roman"/>
        </w:rPr>
        <w:fldChar w:fldCharType="begin"/>
      </w:r>
      <w:r w:rsidR="00C12412">
        <w:instrText xml:space="preserve"> XE "</w:instrText>
      </w:r>
      <w:r w:rsidR="00C12412" w:rsidRPr="0032623E">
        <w:rPr>
          <w:rFonts w:cs="Times New Roman"/>
        </w:rPr>
        <w:instrText>must-sell</w:instrText>
      </w:r>
      <w:r w:rsidR="00C12412">
        <w:instrText xml:space="preserve">" </w:instrText>
      </w:r>
      <w:r w:rsidR="001858B5">
        <w:rPr>
          <w:rFonts w:cs="Times New Roman"/>
        </w:rPr>
        <w:fldChar w:fldCharType="end"/>
      </w:r>
      <w:r w:rsidR="00C02EF1" w:rsidRPr="00124B71">
        <w:rPr>
          <w:rFonts w:cs="Times New Roman"/>
        </w:rPr>
        <w:t xml:space="preserve"> inventory numbers: </w:t>
      </w:r>
      <w:r w:rsidR="00D5571D" w:rsidRPr="00124B71">
        <w:rPr>
          <w:rFonts w:cs="Times New Roman"/>
        </w:rPr>
        <w:t>t</w:t>
      </w:r>
      <w:r w:rsidR="00C02EF1" w:rsidRPr="00124B71">
        <w:rPr>
          <w:rFonts w:cs="Times New Roman"/>
        </w:rPr>
        <w:t>he greater the number of foreclosures, the greater the rate of decline in house prices. By early 2008, the markets in Southern California had already surpassed the peak set in the price decline of the early 90s of Notices of Default and Trustee Sales</w:t>
      </w:r>
      <w:r w:rsidR="001858B5">
        <w:rPr>
          <w:rFonts w:cs="Times New Roman"/>
        </w:rPr>
        <w:fldChar w:fldCharType="begin"/>
      </w:r>
      <w:r w:rsidR="00074436">
        <w:instrText xml:space="preserve"> XE "</w:instrText>
      </w:r>
      <w:r w:rsidR="00074436" w:rsidRPr="009C0D89">
        <w:rPr>
          <w:rFonts w:cs="Times New Roman"/>
        </w:rPr>
        <w:instrText>Trustee Sales</w:instrText>
      </w:r>
      <w:r w:rsidR="00074436">
        <w:instrText xml:space="preserve">" </w:instrText>
      </w:r>
      <w:r w:rsidR="001858B5">
        <w:rPr>
          <w:rFonts w:cs="Times New Roman"/>
        </w:rPr>
        <w:fldChar w:fldCharType="end"/>
      </w:r>
      <w:r w:rsidR="00C02EF1" w:rsidRPr="00124B71">
        <w:rPr>
          <w:rFonts w:cs="Times New Roman"/>
        </w:rPr>
        <w:t xml:space="preserve"> (foreclosures</w:t>
      </w:r>
      <w:r w:rsidR="00A40CA5" w:rsidRPr="00124B71">
        <w:rPr>
          <w:rFonts w:cs="Times New Roman"/>
        </w:rPr>
        <w:t>).</w:t>
      </w:r>
      <w:r w:rsidR="00C02EF1" w:rsidRPr="00124B71">
        <w:rPr>
          <w:rFonts w:cs="Times New Roman"/>
        </w:rPr>
        <w:t xml:space="preserve">  </w:t>
      </w:r>
    </w:p>
    <w:p w14:paraId="38948DAB" w14:textId="77777777" w:rsidR="00A62139" w:rsidRPr="00124B71" w:rsidRDefault="00A62139" w:rsidP="00A62139">
      <w:pPr>
        <w:rPr>
          <w:rFonts w:cs="Times New Roman"/>
        </w:rPr>
      </w:pPr>
      <w:r w:rsidRPr="00124B71">
        <w:rPr>
          <w:rFonts w:cs="Times New Roman"/>
        </w:rPr>
        <w:t>Lenders faced high foreclosure</w:t>
      </w:r>
      <w:r w:rsidR="001858B5">
        <w:rPr>
          <w:rFonts w:cs="Times New Roman"/>
        </w:rPr>
        <w:fldChar w:fldCharType="begin"/>
      </w:r>
      <w:r>
        <w:instrText xml:space="preserve"> XE "</w:instrText>
      </w:r>
      <w:r w:rsidRPr="00011F5A">
        <w:rPr>
          <w:rFonts w:cs="Times New Roman"/>
        </w:rPr>
        <w:instrText>foreclosure</w:instrText>
      </w:r>
      <w:r>
        <w:instrText xml:space="preserve">" </w:instrText>
      </w:r>
      <w:r w:rsidR="001858B5">
        <w:rPr>
          <w:rFonts w:cs="Times New Roman"/>
        </w:rPr>
        <w:fldChar w:fldCharType="end"/>
      </w:r>
      <w:r w:rsidRPr="00124B71">
        <w:rPr>
          <w:rFonts w:cs="Times New Roman"/>
        </w:rPr>
        <w:t xml:space="preserve"> rates in the early 90s because they were too aggressive with their lending practices in the rally of the late 80s: it was their own doing. Lenders overheated the market then, and they got burned. Apparently, they did not learn the lesson of history. One of the problems with the collapse of a financial bubble</w:t>
      </w:r>
      <w:r w:rsidR="001858B5">
        <w:rPr>
          <w:rFonts w:cs="Times New Roman"/>
        </w:rPr>
        <w:fldChar w:fldCharType="begin"/>
      </w:r>
      <w:r>
        <w:instrText xml:space="preserve"> XE "</w:instrText>
      </w:r>
      <w:r w:rsidRPr="005E11A5">
        <w:rPr>
          <w:rFonts w:cs="Times New Roman"/>
        </w:rPr>
        <w:instrText>financial bubble</w:instrText>
      </w:r>
      <w:r>
        <w:instrText xml:space="preserve">" </w:instrText>
      </w:r>
      <w:r w:rsidR="001858B5">
        <w:rPr>
          <w:rFonts w:cs="Times New Roman"/>
        </w:rPr>
        <w:fldChar w:fldCharType="end"/>
      </w:r>
      <w:r w:rsidRPr="00124B71">
        <w:rPr>
          <w:rFonts w:cs="Times New Roman"/>
        </w:rPr>
        <w:t xml:space="preserve"> is the causes get incorrectly identified. When the housing market in California collapsed in the early 90s, the recession and job layoffs were blamed for the problems with the housing market. The recession and layoffs came </w:t>
      </w:r>
      <w:r w:rsidRPr="00124B71">
        <w:rPr>
          <w:rFonts w:cs="Times New Roman"/>
          <w:i/>
          <w:iCs/>
        </w:rPr>
        <w:t xml:space="preserve">after </w:t>
      </w:r>
      <w:r w:rsidRPr="00124B71">
        <w:rPr>
          <w:rFonts w:cs="Times New Roman"/>
        </w:rPr>
        <w:t xml:space="preserve">the housing market was already in trouble. Unemployment slowed the recovery and added to the foreclosure problem, but it was not the primary cause of the entire pricing downturn. The ultra-aggressive lending </w:t>
      </w:r>
      <w:r w:rsidRPr="00124B71">
        <w:rPr>
          <w:rFonts w:cs="Times New Roman"/>
        </w:rPr>
        <w:lastRenderedPageBreak/>
        <w:t xml:space="preserve">practices of the Great Housing Bubble caused a huge spike in foreclosures by early 2008. </w:t>
      </w:r>
      <w:r w:rsidRPr="00124B71">
        <w:rPr>
          <w:rStyle w:val="EndnoteReference"/>
          <w:rFonts w:cs="Times New Roman"/>
        </w:rPr>
        <w:endnoteReference w:id="131"/>
      </w:r>
      <w:r w:rsidRPr="00124B71">
        <w:rPr>
          <w:rFonts w:cs="Times New Roman"/>
        </w:rPr>
        <w:t xml:space="preserve"> Just as in the early 90s, the increase in defaults and foreclosures is being caused by the past sins of the lenders: karma on grand scale. </w:t>
      </w:r>
    </w:p>
    <w:p w14:paraId="360BB9DB" w14:textId="638A562C" w:rsidR="00D24C1E" w:rsidRDefault="00CF05FE" w:rsidP="00A62139">
      <w:pPr>
        <w:pStyle w:val="Caption"/>
        <w:spacing w:after="0"/>
      </w:pPr>
      <w:bookmarkStart w:id="221" w:name="_Toc238867501"/>
      <w:r>
        <w:t>Figure</w:t>
      </w:r>
      <w:r w:rsidR="00B619C0" w:rsidRPr="00EF0EDA">
        <w:t xml:space="preserve"> </w:t>
      </w:r>
      <w:fldSimple w:instr=" SEQ Figure \* ARABIC ">
        <w:r w:rsidR="00493733">
          <w:rPr>
            <w:noProof/>
          </w:rPr>
          <w:t>60</w:t>
        </w:r>
      </w:fldSimple>
      <w:r w:rsidR="00317936">
        <w:t xml:space="preserve">: </w:t>
      </w:r>
      <w:r w:rsidR="00D24C1E">
        <w:t>NODs</w:t>
      </w:r>
      <w:r w:rsidR="00B619C0" w:rsidRPr="00EF0EDA">
        <w:t xml:space="preserve"> and Trustee Sales</w:t>
      </w:r>
      <w:r w:rsidR="001858B5">
        <w:fldChar w:fldCharType="begin"/>
      </w:r>
      <w:r w:rsidR="00074436">
        <w:instrText xml:space="preserve"> XE "</w:instrText>
      </w:r>
      <w:r w:rsidR="00074436" w:rsidRPr="009C0D89">
        <w:rPr>
          <w:rFonts w:cs="Times New Roman"/>
        </w:rPr>
        <w:instrText>Trustee Sales</w:instrText>
      </w:r>
      <w:r w:rsidR="00074436">
        <w:instrText xml:space="preserve">" </w:instrText>
      </w:r>
      <w:r w:rsidR="001858B5">
        <w:fldChar w:fldCharType="end"/>
      </w:r>
      <w:r w:rsidR="00B619C0" w:rsidRPr="00EF0EDA">
        <w:t xml:space="preserve"> as a </w:t>
      </w:r>
      <w:r w:rsidR="00D24C1E">
        <w:t>%</w:t>
      </w:r>
      <w:r w:rsidR="00B619C0" w:rsidRPr="00EF0EDA">
        <w:t xml:space="preserve"> of Total Sales,</w:t>
      </w:r>
      <w:bookmarkEnd w:id="221"/>
      <w:r w:rsidR="00B619C0" w:rsidRPr="00EF0EDA">
        <w:t xml:space="preserve"> </w:t>
      </w:r>
    </w:p>
    <w:p w14:paraId="7AE5CD23" w14:textId="77777777" w:rsidR="0043289F" w:rsidRPr="00EF0EDA" w:rsidRDefault="00B619C0" w:rsidP="00A62139">
      <w:pPr>
        <w:pStyle w:val="Caption"/>
        <w:spacing w:before="0"/>
        <w:rPr>
          <w:sz w:val="24"/>
          <w:szCs w:val="24"/>
        </w:rPr>
      </w:pPr>
      <w:r w:rsidRPr="00EF0EDA">
        <w:t>San Diego, CA</w:t>
      </w:r>
      <w:r w:rsidR="00D24C1E">
        <w:t>,</w:t>
      </w:r>
      <w:r w:rsidRPr="00EF0EDA">
        <w:t xml:space="preserve"> 1990-2007</w:t>
      </w:r>
    </w:p>
    <w:p w14:paraId="5CFBBBF6" w14:textId="77777777" w:rsidR="00B619C0" w:rsidRPr="00EF0EDA" w:rsidRDefault="00C863CF" w:rsidP="002D7DDD">
      <w:pPr>
        <w:pStyle w:val="Graphics"/>
      </w:pPr>
      <w:r>
        <w:drawing>
          <wp:inline distT="0" distB="0" distL="0" distR="0" wp14:anchorId="518F4AEA" wp14:editId="0139D4A5">
            <wp:extent cx="3657600" cy="3154680"/>
            <wp:effectExtent l="19050" t="0" r="0" b="0"/>
            <wp:docPr id="125" name="Picture 124" descr="Notice of Defaults and Trustee Sales as a Percentage of Total Sales, San Diego, CA 1990-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ice of Defaults and Trustee Sales as a Percentage of Total Sales, San Diego, CA 1990-2007.jpg"/>
                    <pic:cNvPicPr/>
                  </pic:nvPicPr>
                  <pic:blipFill>
                    <a:blip r:embed="rId98"/>
                    <a:stretch>
                      <a:fillRect/>
                    </a:stretch>
                  </pic:blipFill>
                  <pic:spPr>
                    <a:xfrm>
                      <a:off x="0" y="0"/>
                      <a:ext cx="3657600" cy="3154680"/>
                    </a:xfrm>
                    <a:prstGeom prst="rect">
                      <a:avLst/>
                    </a:prstGeom>
                  </pic:spPr>
                </pic:pic>
              </a:graphicData>
            </a:graphic>
          </wp:inline>
        </w:drawing>
      </w:r>
    </w:p>
    <w:p w14:paraId="4066BD22" w14:textId="77777777" w:rsidR="00A62139" w:rsidRPr="00124B71" w:rsidRDefault="00A62139" w:rsidP="00A62139">
      <w:pPr>
        <w:rPr>
          <w:rFonts w:cs="Times New Roman"/>
        </w:rPr>
      </w:pPr>
      <w:r w:rsidRPr="00124B71">
        <w:rPr>
          <w:rFonts w:cs="Times New Roman"/>
        </w:rPr>
        <w:t xml:space="preserve">The importance of the foreclosures cannot be overstated: sellers do not lower their prices voluntarily. </w:t>
      </w:r>
      <w:r w:rsidRPr="00124B71">
        <w:rPr>
          <w:rFonts w:cs="Times New Roman"/>
          <w:bCs/>
        </w:rPr>
        <w:t>Prices do not drop without massive numbers of foreclosures to push them down.</w:t>
      </w:r>
      <w:r w:rsidRPr="00124B71">
        <w:rPr>
          <w:rFonts w:cs="Times New Roman"/>
        </w:rPr>
        <w:t xml:space="preserve"> The entire “soft landing” argument boils down to one supposition: the number of buyers in the market is able to absorb the must-sell</w:t>
      </w:r>
      <w:r w:rsidR="001858B5">
        <w:rPr>
          <w:rFonts w:cs="Times New Roman"/>
        </w:rPr>
        <w:fldChar w:fldCharType="begin"/>
      </w:r>
      <w:r>
        <w:instrText xml:space="preserve"> XE "</w:instrText>
      </w:r>
      <w:r w:rsidRPr="0032623E">
        <w:rPr>
          <w:rFonts w:cs="Times New Roman"/>
        </w:rPr>
        <w:instrText>must-sell</w:instrText>
      </w:r>
      <w:r>
        <w:instrText xml:space="preserve">" </w:instrText>
      </w:r>
      <w:r w:rsidR="001858B5">
        <w:rPr>
          <w:rFonts w:cs="Times New Roman"/>
        </w:rPr>
        <w:fldChar w:fldCharType="end"/>
      </w:r>
      <w:r w:rsidRPr="00124B71">
        <w:rPr>
          <w:rFonts w:cs="Times New Roman"/>
        </w:rPr>
        <w:t xml:space="preserve"> inventory on the market. If this is true, prices do not drop. If this is not true, prices do drop until enough buyers are found to purchase the foreclosures. There are always a number of buyers when prices are declining; some are long-term homeowners who are present in any market, but many are speculators betting on the return of appreciation</w:t>
      </w:r>
      <w:r w:rsidR="001858B5">
        <w:rPr>
          <w:rFonts w:cs="Times New Roman"/>
        </w:rPr>
        <w:fldChar w:fldCharType="begin"/>
      </w:r>
      <w:r>
        <w:instrText xml:space="preserve"> XE "</w:instrText>
      </w:r>
      <w:r w:rsidRPr="009C5D12">
        <w:rPr>
          <w:rFonts w:cs="Times New Roman"/>
        </w:rPr>
        <w:instrText>appreciation</w:instrText>
      </w:r>
      <w:r>
        <w:instrText xml:space="preserve">" </w:instrText>
      </w:r>
      <w:r w:rsidR="001858B5">
        <w:rPr>
          <w:rFonts w:cs="Times New Roman"/>
        </w:rPr>
        <w:fldChar w:fldCharType="end"/>
      </w:r>
      <w:r w:rsidRPr="00124B71">
        <w:rPr>
          <w:rFonts w:cs="Times New Roman"/>
        </w:rPr>
        <w:t>. These people are few in number, but they buoy the market if there are not many foreclosures. If foreclosure</w:t>
      </w:r>
      <w:r w:rsidR="001858B5">
        <w:rPr>
          <w:rFonts w:cs="Times New Roman"/>
        </w:rPr>
        <w:fldChar w:fldCharType="begin"/>
      </w:r>
      <w:r>
        <w:instrText xml:space="preserve"> XE "</w:instrText>
      </w:r>
      <w:r w:rsidRPr="00011F5A">
        <w:rPr>
          <w:rFonts w:cs="Times New Roman"/>
        </w:rPr>
        <w:instrText>foreclosure</w:instrText>
      </w:r>
      <w:r>
        <w:instrText xml:space="preserve">" </w:instrText>
      </w:r>
      <w:r w:rsidR="001858B5">
        <w:rPr>
          <w:rFonts w:cs="Times New Roman"/>
        </w:rPr>
        <w:fldChar w:fldCharType="end"/>
      </w:r>
      <w:r w:rsidRPr="00124B71">
        <w:rPr>
          <w:rFonts w:cs="Times New Roman"/>
        </w:rPr>
        <w:t xml:space="preserve"> numbers really spike, prices fall until Rent Savers</w:t>
      </w:r>
      <w:r w:rsidR="001858B5">
        <w:rPr>
          <w:rFonts w:cs="Times New Roman"/>
        </w:rPr>
        <w:fldChar w:fldCharType="begin"/>
      </w:r>
      <w:r>
        <w:instrText xml:space="preserve"> XE "</w:instrText>
      </w:r>
      <w:r w:rsidRPr="005F5643">
        <w:rPr>
          <w:rFonts w:cs="Times New Roman"/>
        </w:rPr>
        <w:instrText>Rent Savers</w:instrText>
      </w:r>
      <w:r>
        <w:instrText xml:space="preserve">" </w:instrText>
      </w:r>
      <w:r w:rsidR="001858B5">
        <w:rPr>
          <w:rFonts w:cs="Times New Roman"/>
        </w:rPr>
        <w:fldChar w:fldCharType="end"/>
      </w:r>
      <w:r w:rsidRPr="00124B71">
        <w:rPr>
          <w:rFonts w:cs="Times New Roman"/>
        </w:rPr>
        <w:t xml:space="preserve"> and Cashflow Investors</w:t>
      </w:r>
      <w:r w:rsidR="001858B5">
        <w:rPr>
          <w:rFonts w:cs="Times New Roman"/>
        </w:rPr>
        <w:fldChar w:fldCharType="begin"/>
      </w:r>
      <w:r>
        <w:instrText xml:space="preserve"> XE "</w:instrText>
      </w:r>
      <w:r w:rsidRPr="00D26324">
        <w:rPr>
          <w:rFonts w:cs="Times New Roman"/>
        </w:rPr>
        <w:instrText>Cashflow Investors</w:instrText>
      </w:r>
      <w:r>
        <w:instrText xml:space="preserve">" </w:instrText>
      </w:r>
      <w:r w:rsidR="001858B5">
        <w:rPr>
          <w:rFonts w:cs="Times New Roman"/>
        </w:rPr>
        <w:fldChar w:fldCharType="end"/>
      </w:r>
      <w:r w:rsidRPr="00124B71">
        <w:rPr>
          <w:rFonts w:cs="Times New Roman"/>
        </w:rPr>
        <w:t xml:space="preserve"> enter the market and absorb the excess. If current trends continue, the number of foreclosures will be too great for long-term owners and speculators to absorb. Foreclosures also control the depth of the decline to some degree. Once prices fall down to their fundamental values, new buyers enter the market and begin to absorb the inventory. If there are not enough buyers at this price level to absorb all the foreclosures, prices could overshoot fundamentals to the downside; in fact, this does tend to happen at the bottom of the real estate cycle.</w:t>
      </w:r>
    </w:p>
    <w:p w14:paraId="4072A95A" w14:textId="77777777" w:rsidR="00A62139" w:rsidRDefault="00A62139" w:rsidP="00A62139"/>
    <w:p w14:paraId="09D7C009" w14:textId="0AF2F4D7" w:rsidR="00D24C1E" w:rsidRDefault="00CF05FE" w:rsidP="00A80B70">
      <w:pPr>
        <w:pStyle w:val="Caption"/>
      </w:pPr>
      <w:bookmarkStart w:id="222" w:name="_Toc238867502"/>
      <w:r>
        <w:t>Figure</w:t>
      </w:r>
      <w:r w:rsidR="00B619C0" w:rsidRPr="00EF0EDA">
        <w:t xml:space="preserve"> </w:t>
      </w:r>
      <w:fldSimple w:instr=" SEQ Figure \* ARABIC ">
        <w:r w:rsidR="00493733">
          <w:rPr>
            <w:noProof/>
          </w:rPr>
          <w:t>61</w:t>
        </w:r>
      </w:fldSimple>
      <w:r w:rsidR="00317936">
        <w:t xml:space="preserve">: </w:t>
      </w:r>
      <w:r w:rsidR="00B619C0" w:rsidRPr="00EF0EDA">
        <w:t>Projected NODs and Trustee Sales</w:t>
      </w:r>
      <w:r w:rsidR="001858B5">
        <w:fldChar w:fldCharType="begin"/>
      </w:r>
      <w:r w:rsidR="00074436">
        <w:instrText xml:space="preserve"> XE "</w:instrText>
      </w:r>
      <w:r w:rsidR="00074436" w:rsidRPr="009C0D89">
        <w:rPr>
          <w:rFonts w:cs="Times New Roman"/>
        </w:rPr>
        <w:instrText>Trustee Sales</w:instrText>
      </w:r>
      <w:r w:rsidR="00074436">
        <w:instrText xml:space="preserve">" </w:instrText>
      </w:r>
      <w:r w:rsidR="001858B5">
        <w:fldChar w:fldCharType="end"/>
      </w:r>
      <w:r w:rsidR="00B619C0" w:rsidRPr="00EF0EDA">
        <w:t xml:space="preserve"> as a </w:t>
      </w:r>
      <w:r w:rsidR="00D24C1E">
        <w:t>%</w:t>
      </w:r>
      <w:r w:rsidR="00B619C0" w:rsidRPr="00EF0EDA">
        <w:t xml:space="preserve"> of Total Sales,</w:t>
      </w:r>
      <w:bookmarkEnd w:id="222"/>
      <w:r w:rsidR="00B619C0" w:rsidRPr="00EF0EDA">
        <w:t xml:space="preserve"> </w:t>
      </w:r>
    </w:p>
    <w:p w14:paraId="34EEC0AF" w14:textId="77777777" w:rsidR="00B619C0" w:rsidRPr="00EF0EDA" w:rsidRDefault="00B619C0" w:rsidP="00A62139">
      <w:pPr>
        <w:pStyle w:val="Caption"/>
        <w:spacing w:before="0"/>
        <w:rPr>
          <w:sz w:val="24"/>
          <w:szCs w:val="24"/>
        </w:rPr>
      </w:pPr>
      <w:r w:rsidRPr="00EF0EDA">
        <w:t>San Diego, CA</w:t>
      </w:r>
      <w:r w:rsidR="00D24C1E">
        <w:t>,</w:t>
      </w:r>
      <w:r w:rsidRPr="00EF0EDA">
        <w:t xml:space="preserve"> 1990-2012</w:t>
      </w:r>
    </w:p>
    <w:p w14:paraId="4662C1E1" w14:textId="77777777" w:rsidR="00B619C0" w:rsidRPr="00EF0EDA" w:rsidRDefault="00C863CF" w:rsidP="002D7DDD">
      <w:pPr>
        <w:pStyle w:val="Graphics"/>
      </w:pPr>
      <w:r>
        <w:drawing>
          <wp:inline distT="0" distB="0" distL="0" distR="0" wp14:anchorId="229F650E" wp14:editId="57F49CE2">
            <wp:extent cx="3657600" cy="3086100"/>
            <wp:effectExtent l="19050" t="0" r="0" b="0"/>
            <wp:docPr id="126" name="Picture 125" descr="Projected NODs and Trustee Sales as a Percentage of Total Sales, San Diego, CA 1990-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ed NODs and Trustee Sales as a Percentage of Total Sales, San Diego, CA 1990-2012.jpg"/>
                    <pic:cNvPicPr/>
                  </pic:nvPicPr>
                  <pic:blipFill>
                    <a:blip r:embed="rId99"/>
                    <a:stretch>
                      <a:fillRect/>
                    </a:stretch>
                  </pic:blipFill>
                  <pic:spPr>
                    <a:xfrm>
                      <a:off x="0" y="0"/>
                      <a:ext cx="3657600" cy="3086100"/>
                    </a:xfrm>
                    <a:prstGeom prst="rect">
                      <a:avLst/>
                    </a:prstGeom>
                  </pic:spPr>
                </pic:pic>
              </a:graphicData>
            </a:graphic>
          </wp:inline>
        </w:drawing>
      </w:r>
    </w:p>
    <w:p w14:paraId="55B4B971" w14:textId="77777777" w:rsidR="001767A9" w:rsidRPr="00EF0EDA" w:rsidRDefault="001767A9" w:rsidP="00A80B70">
      <w:pPr>
        <w:pStyle w:val="Heading3"/>
      </w:pPr>
      <w:bookmarkStart w:id="223" w:name="_Toc238867393"/>
      <w:r w:rsidRPr="00EF0EDA">
        <w:t>Decrease in Home Ownership Rates</w:t>
      </w:r>
      <w:bookmarkEnd w:id="223"/>
    </w:p>
    <w:p w14:paraId="113B02B0" w14:textId="77777777" w:rsidR="007C1B61" w:rsidRPr="00124B71" w:rsidRDefault="007C1B61" w:rsidP="0095649B">
      <w:pPr>
        <w:rPr>
          <w:rFonts w:cs="Times New Roman"/>
        </w:rPr>
      </w:pPr>
      <w:r w:rsidRPr="00124B71">
        <w:rPr>
          <w:rFonts w:cs="Times New Roman"/>
        </w:rPr>
        <w:t>There is a strong correspondence to the growth of the subprime lending industry and an increase in home ownership rates</w:t>
      </w:r>
      <w:r w:rsidR="001858B5">
        <w:rPr>
          <w:rFonts w:cs="Times New Roman"/>
        </w:rPr>
        <w:fldChar w:fldCharType="begin"/>
      </w:r>
      <w:r w:rsidR="00074436">
        <w:instrText xml:space="preserve"> XE "</w:instrText>
      </w:r>
      <w:r w:rsidR="00074436" w:rsidRPr="00FD699A">
        <w:rPr>
          <w:rFonts w:cs="Times New Roman"/>
        </w:rPr>
        <w:instrText>home ownership rates</w:instrText>
      </w:r>
      <w:r w:rsidR="00074436">
        <w:instrText xml:space="preserve">" </w:instrText>
      </w:r>
      <w:r w:rsidR="001858B5">
        <w:rPr>
          <w:rFonts w:cs="Times New Roman"/>
        </w:rPr>
        <w:fldChar w:fldCharType="end"/>
      </w:r>
      <w:r w:rsidR="00732642" w:rsidRPr="00124B71">
        <w:rPr>
          <w:rFonts w:cs="Times New Roman"/>
        </w:rPr>
        <w:t>.</w:t>
      </w:r>
      <w:r w:rsidR="00555DC5" w:rsidRPr="00124B71">
        <w:rPr>
          <w:rFonts w:cs="Times New Roman"/>
        </w:rPr>
        <w:t xml:space="preserve"> </w:t>
      </w:r>
      <w:r w:rsidR="00406CA1" w:rsidRPr="00124B71">
        <w:rPr>
          <w:rStyle w:val="EndnoteReference"/>
          <w:rFonts w:cs="Times New Roman"/>
        </w:rPr>
        <w:endnoteReference w:id="132"/>
      </w:r>
      <w:r w:rsidRPr="00124B71">
        <w:rPr>
          <w:rFonts w:cs="Times New Roman"/>
        </w:rPr>
        <w:t xml:space="preserve"> </w:t>
      </w:r>
      <w:r w:rsidR="001767A9" w:rsidRPr="00124B71">
        <w:rPr>
          <w:rFonts w:cs="Times New Roman"/>
        </w:rPr>
        <w:t>This is a direct result of lending money to those borrowers previously excluded from the housing market either because the borrower did not have the downpayment, or they lacked good credit.</w:t>
      </w:r>
      <w:r w:rsidRPr="00124B71">
        <w:rPr>
          <w:rFonts w:cs="Times New Roman"/>
        </w:rPr>
        <w:t xml:space="preserve"> The collapse of the subprime lending industry in 2007 and the subsequent foreclosures on the millions of subprime loans caused a decrease in home ownership rates.</w:t>
      </w:r>
      <w:r w:rsidR="0095649B" w:rsidRPr="00124B71">
        <w:rPr>
          <w:rFonts w:cs="Times New Roman"/>
        </w:rPr>
        <w:t xml:space="preserve"> Foreclosures are associated with bad credit; those with bad credit are eliminated from the buyer pool until their credit improves. Therefore, people who lose their </w:t>
      </w:r>
      <w:r w:rsidR="00732642" w:rsidRPr="00124B71">
        <w:rPr>
          <w:rFonts w:cs="Times New Roman"/>
        </w:rPr>
        <w:t>homes</w:t>
      </w:r>
      <w:r w:rsidR="0095649B" w:rsidRPr="00124B71">
        <w:rPr>
          <w:rFonts w:cs="Times New Roman"/>
        </w:rPr>
        <w:t xml:space="preserve"> 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95649B" w:rsidRPr="00124B71">
        <w:rPr>
          <w:rFonts w:cs="Times New Roman"/>
        </w:rPr>
        <w:t xml:space="preserve"> move into a rental, and the previously owner-occupied</w:t>
      </w:r>
      <w:r w:rsidR="001858B5">
        <w:rPr>
          <w:rFonts w:cs="Times New Roman"/>
        </w:rPr>
        <w:fldChar w:fldCharType="begin"/>
      </w:r>
      <w:r w:rsidR="00FA2AEF">
        <w:instrText xml:space="preserve"> XE "</w:instrText>
      </w:r>
      <w:r w:rsidR="00FA2AEF" w:rsidRPr="002D78BE">
        <w:rPr>
          <w:rFonts w:cs="Times New Roman"/>
        </w:rPr>
        <w:instrText>owner-occupied</w:instrText>
      </w:r>
      <w:r w:rsidR="00FA2AEF">
        <w:instrText xml:space="preserve">" </w:instrText>
      </w:r>
      <w:r w:rsidR="001858B5">
        <w:rPr>
          <w:rFonts w:cs="Times New Roman"/>
        </w:rPr>
        <w:fldChar w:fldCharType="end"/>
      </w:r>
      <w:r w:rsidR="0095649B" w:rsidRPr="00124B71">
        <w:rPr>
          <w:rFonts w:cs="Times New Roman"/>
        </w:rPr>
        <w:t xml:space="preserve"> home often enters the rental pool. (A popular misconception is that rents will go up. The number of rentals will increase along with the number of renters</w:t>
      </w:r>
      <w:r w:rsidR="00A40CA5" w:rsidRPr="00124B71">
        <w:rPr>
          <w:rFonts w:cs="Times New Roman"/>
        </w:rPr>
        <w:t>).</w:t>
      </w:r>
      <w:r w:rsidR="0095649B" w:rsidRPr="00124B71">
        <w:rPr>
          <w:rFonts w:cs="Times New Roman"/>
        </w:rPr>
        <w:t xml:space="preserve"> </w:t>
      </w:r>
    </w:p>
    <w:p w14:paraId="1FE2DD3A" w14:textId="77777777" w:rsidR="00A62139" w:rsidRDefault="00A62139" w:rsidP="00A62139">
      <w:r w:rsidRPr="00124B71">
        <w:t>Prices fall below rental parity</w:t>
      </w:r>
      <w:r w:rsidR="001858B5">
        <w:fldChar w:fldCharType="begin"/>
      </w:r>
      <w:r>
        <w:instrText xml:space="preserve"> XE "</w:instrText>
      </w:r>
      <w:r w:rsidRPr="00E11DBD">
        <w:instrText>rental parity</w:instrText>
      </w:r>
      <w:r>
        <w:instrText xml:space="preserve">" </w:instrText>
      </w:r>
      <w:r w:rsidR="001858B5">
        <w:fldChar w:fldCharType="end"/>
      </w:r>
      <w:r w:rsidRPr="00124B71">
        <w:t xml:space="preserve"> in conditions of decreasing home ownership rates because Rent Savers</w:t>
      </w:r>
      <w:r w:rsidR="001858B5">
        <w:fldChar w:fldCharType="begin"/>
      </w:r>
      <w:r>
        <w:instrText xml:space="preserve"> XE "</w:instrText>
      </w:r>
      <w:r w:rsidRPr="005F5643">
        <w:instrText>Rent Savers</w:instrText>
      </w:r>
      <w:r>
        <w:instrText xml:space="preserve">" </w:instrText>
      </w:r>
      <w:r w:rsidR="001858B5">
        <w:fldChar w:fldCharType="end"/>
      </w:r>
      <w:r w:rsidRPr="00124B71">
        <w:t xml:space="preserve">, who are typically owner occupants, are not numerous enough to absorb the foreclosure inventory, hence the decline in home ownership rates.  This means a significant number of the houses due to hit the market due to foreclosure will be purchased as rentals. This is the Cashflow Investor support level. Prices often fall below fundamental valuations at the </w:t>
      </w:r>
      <w:r w:rsidRPr="00124B71">
        <w:lastRenderedPageBreak/>
        <w:t>end of a speculative bubble due to short-term supply and demand</w:t>
      </w:r>
      <w:r w:rsidR="001858B5">
        <w:fldChar w:fldCharType="begin"/>
      </w:r>
      <w:r>
        <w:instrText xml:space="preserve"> XE "</w:instrText>
      </w:r>
      <w:r w:rsidRPr="00112EC2">
        <w:instrText>supply and demand</w:instrText>
      </w:r>
      <w:r>
        <w:instrText xml:space="preserve">" </w:instrText>
      </w:r>
      <w:r w:rsidR="001858B5">
        <w:fldChar w:fldCharType="end"/>
      </w:r>
      <w:r w:rsidRPr="00124B71">
        <w:t xml:space="preserve"> imbalances. If this occurs at the bottom of the price cycle of the Great Housing Bubble, the measures of house values may all be lower than the projections and estimates provided herein.</w:t>
      </w:r>
    </w:p>
    <w:p w14:paraId="5D4DB1E4" w14:textId="6049D0F9" w:rsidR="00DC1774" w:rsidRPr="00EF0EDA" w:rsidRDefault="00CF05FE" w:rsidP="00A80B70">
      <w:pPr>
        <w:pStyle w:val="Caption"/>
      </w:pPr>
      <w:bookmarkStart w:id="224" w:name="_Toc238867503"/>
      <w:r>
        <w:t>Figure</w:t>
      </w:r>
      <w:r w:rsidR="00DC1774" w:rsidRPr="00EF0EDA">
        <w:t xml:space="preserve"> </w:t>
      </w:r>
      <w:fldSimple w:instr=" SEQ Figure \* ARABIC ">
        <w:r w:rsidR="00493733">
          <w:rPr>
            <w:noProof/>
          </w:rPr>
          <w:t>62</w:t>
        </w:r>
      </w:fldSimple>
      <w:r w:rsidR="00317936">
        <w:t xml:space="preserve">: </w:t>
      </w:r>
      <w:r w:rsidR="00DC1774" w:rsidRPr="00EF0EDA">
        <w:t>National Home Ownership Rate</w:t>
      </w:r>
      <w:r w:rsidR="00D24C1E">
        <w:t>,</w:t>
      </w:r>
      <w:r w:rsidR="00DC1774" w:rsidRPr="00EF0EDA">
        <w:t xml:space="preserve"> 1984-2005</w:t>
      </w:r>
      <w:bookmarkEnd w:id="224"/>
    </w:p>
    <w:p w14:paraId="08AE5E09" w14:textId="77777777" w:rsidR="001767A9" w:rsidRPr="00EF0EDA" w:rsidRDefault="00C863CF" w:rsidP="002D7DDD">
      <w:pPr>
        <w:pStyle w:val="Graphics"/>
      </w:pPr>
      <w:r>
        <w:drawing>
          <wp:inline distT="0" distB="0" distL="0" distR="0" wp14:anchorId="5E33646D" wp14:editId="74A0956B">
            <wp:extent cx="3657600" cy="2834640"/>
            <wp:effectExtent l="19050" t="0" r="0" b="0"/>
            <wp:docPr id="127" name="Picture 126" descr="National Home Ownership Rate 1984-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Home Ownership Rate 1984-2005.jpg"/>
                    <pic:cNvPicPr/>
                  </pic:nvPicPr>
                  <pic:blipFill>
                    <a:blip r:embed="rId31" cstate="print"/>
                    <a:stretch>
                      <a:fillRect/>
                    </a:stretch>
                  </pic:blipFill>
                  <pic:spPr>
                    <a:xfrm>
                      <a:off x="0" y="0"/>
                      <a:ext cx="3657600" cy="2834640"/>
                    </a:xfrm>
                    <a:prstGeom prst="rect">
                      <a:avLst/>
                    </a:prstGeom>
                  </pic:spPr>
                </pic:pic>
              </a:graphicData>
            </a:graphic>
          </wp:inline>
        </w:drawing>
      </w:r>
    </w:p>
    <w:p w14:paraId="245A2975" w14:textId="77777777" w:rsidR="001767A9" w:rsidRPr="00EF0EDA" w:rsidRDefault="001767A9" w:rsidP="00024D7F">
      <w:pPr>
        <w:pStyle w:val="Heading2"/>
      </w:pPr>
      <w:bookmarkStart w:id="225" w:name="_Toc238867394"/>
      <w:r w:rsidRPr="00EF0EDA">
        <w:t>Doomsday Scenario</w:t>
      </w:r>
      <w:bookmarkEnd w:id="225"/>
    </w:p>
    <w:p w14:paraId="31F52B19" w14:textId="77777777" w:rsidR="001767A9" w:rsidRPr="00124B71" w:rsidRDefault="000F5F1F" w:rsidP="000F5F1F">
      <w:pPr>
        <w:rPr>
          <w:rFonts w:cs="Times New Roman"/>
        </w:rPr>
      </w:pPr>
      <w:r w:rsidRPr="00124B71">
        <w:rPr>
          <w:rFonts w:cs="Times New Roman"/>
        </w:rPr>
        <w:t xml:space="preserve">The analysis </w:t>
      </w:r>
      <w:r w:rsidR="0070066A" w:rsidRPr="00124B71">
        <w:rPr>
          <w:rFonts w:cs="Times New Roman"/>
        </w:rPr>
        <w:t>presented in</w:t>
      </w:r>
      <w:r w:rsidRPr="00124B71">
        <w:rPr>
          <w:rFonts w:cs="Times New Roman"/>
        </w:rPr>
        <w:t xml:space="preserve"> this section is intended as a conservative estimate of the magnitude and duration of the decline and recovery following the Great Housing Bubble. Due to the relatively extreme declines contained in the projections, it does not appear as conservative as it </w:t>
      </w:r>
      <w:r w:rsidR="0070066A" w:rsidRPr="00124B71">
        <w:rPr>
          <w:rFonts w:cs="Times New Roman"/>
        </w:rPr>
        <w:t xml:space="preserve">really </w:t>
      </w:r>
      <w:r w:rsidRPr="00124B71">
        <w:rPr>
          <w:rFonts w:cs="Times New Roman"/>
        </w:rPr>
        <w:t>is. When bubbles collapse, they often drop lower and last longer than most</w:t>
      </w:r>
      <w:r w:rsidR="0070066A" w:rsidRPr="00124B71">
        <w:rPr>
          <w:rFonts w:cs="Times New Roman"/>
        </w:rPr>
        <w:t xml:space="preserve"> can</w:t>
      </w:r>
      <w:r w:rsidRPr="00124B71">
        <w:rPr>
          <w:rFonts w:cs="Times New Roman"/>
        </w:rPr>
        <w:t xml:space="preserve"> imagine. Few thought the NASDAQ</w:t>
      </w:r>
      <w:r w:rsidR="001858B5">
        <w:rPr>
          <w:rFonts w:cs="Times New Roman"/>
        </w:rPr>
        <w:fldChar w:fldCharType="begin"/>
      </w:r>
      <w:r w:rsidR="00074436">
        <w:instrText xml:space="preserve"> XE "</w:instrText>
      </w:r>
      <w:r w:rsidR="00074436" w:rsidRPr="00CB3115">
        <w:rPr>
          <w:rFonts w:cs="Times New Roman"/>
        </w:rPr>
        <w:instrText>NASDAQ</w:instrText>
      </w:r>
      <w:r w:rsidR="00074436">
        <w:instrText xml:space="preserve">" </w:instrText>
      </w:r>
      <w:r w:rsidR="001858B5">
        <w:rPr>
          <w:rFonts w:cs="Times New Roman"/>
        </w:rPr>
        <w:fldChar w:fldCharType="end"/>
      </w:r>
      <w:r w:rsidRPr="00124B71">
        <w:rPr>
          <w:rFonts w:cs="Times New Roman"/>
        </w:rPr>
        <w:t xml:space="preserve"> w</w:t>
      </w:r>
      <w:r w:rsidR="001767A9" w:rsidRPr="00124B71">
        <w:rPr>
          <w:rFonts w:cs="Times New Roman"/>
        </w:rPr>
        <w:t xml:space="preserve">ould drop </w:t>
      </w:r>
      <w:r w:rsidRPr="00124B71">
        <w:rPr>
          <w:rFonts w:cs="Times New Roman"/>
        </w:rPr>
        <w:t>from 5200 to 1200 from 2000-2003, few thought</w:t>
      </w:r>
      <w:r w:rsidR="001767A9" w:rsidRPr="00124B71">
        <w:rPr>
          <w:rFonts w:cs="Times New Roman"/>
        </w:rPr>
        <w:t xml:space="preserve"> hous</w:t>
      </w:r>
      <w:r w:rsidRPr="00124B71">
        <w:rPr>
          <w:rFonts w:cs="Times New Roman"/>
        </w:rPr>
        <w:t>e</w:t>
      </w:r>
      <w:r w:rsidR="001767A9" w:rsidRPr="00124B71">
        <w:rPr>
          <w:rFonts w:cs="Times New Roman"/>
        </w:rPr>
        <w:t xml:space="preserve"> prices in California would drop from $200K to $177K from 1991-1996 in </w:t>
      </w:r>
      <w:r w:rsidR="0083462A" w:rsidRPr="00124B71">
        <w:rPr>
          <w:rFonts w:cs="Times New Roman"/>
        </w:rPr>
        <w:t>the</w:t>
      </w:r>
      <w:r w:rsidRPr="00124B71">
        <w:rPr>
          <w:rFonts w:cs="Times New Roman"/>
        </w:rPr>
        <w:t xml:space="preserve">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Pr="00124B71">
        <w:rPr>
          <w:rFonts w:cs="Times New Roman"/>
        </w:rPr>
        <w:t xml:space="preserve"> of the last coastal real estate bubble, and few thought</w:t>
      </w:r>
      <w:r w:rsidR="001767A9" w:rsidRPr="00124B71">
        <w:rPr>
          <w:rFonts w:cs="Times New Roman"/>
        </w:rPr>
        <w:t xml:space="preserve"> real estate prices in Japan would</w:t>
      </w:r>
      <w:r w:rsidRPr="00124B71">
        <w:rPr>
          <w:rFonts w:cs="Times New Roman"/>
        </w:rPr>
        <w:t xml:space="preserve"> drop 64% between 1991 and 2005</w:t>
      </w:r>
      <w:r w:rsidR="00732642" w:rsidRPr="00124B71">
        <w:rPr>
          <w:rFonts w:cs="Times New Roman"/>
        </w:rPr>
        <w:t>.</w:t>
      </w:r>
      <w:r w:rsidR="00555DC5" w:rsidRPr="00124B71">
        <w:rPr>
          <w:rFonts w:cs="Times New Roman"/>
        </w:rPr>
        <w:t xml:space="preserve"> </w:t>
      </w:r>
      <w:r w:rsidR="003B4129" w:rsidRPr="00124B71">
        <w:rPr>
          <w:rStyle w:val="EndnoteReference"/>
          <w:rFonts w:cs="Times New Roman"/>
        </w:rPr>
        <w:endnoteReference w:id="133"/>
      </w:r>
      <w:r w:rsidR="001767A9" w:rsidRPr="00124B71">
        <w:rPr>
          <w:rFonts w:cs="Times New Roman"/>
        </w:rPr>
        <w:t xml:space="preserve"> </w:t>
      </w:r>
      <w:r w:rsidRPr="00124B71">
        <w:rPr>
          <w:rFonts w:cs="Times New Roman"/>
        </w:rPr>
        <w:t>The Doomsday Scenario is an examination of what could happen if all the potential problems for the real estate market negatively impact price levels. It is not likely this scenario will come to pass, but it is certainly a possibility.</w:t>
      </w:r>
    </w:p>
    <w:p w14:paraId="25831D66" w14:textId="77777777" w:rsidR="00A62139" w:rsidRPr="00124B71" w:rsidRDefault="00A62139" w:rsidP="00A62139">
      <w:pPr>
        <w:rPr>
          <w:rFonts w:cs="Times New Roman"/>
        </w:rPr>
      </w:pPr>
      <w:r w:rsidRPr="00124B71">
        <w:rPr>
          <w:rFonts w:cs="Times New Roman"/>
        </w:rPr>
        <w:t>Appreciation rates are not fundamental laws of physics. They are dependent upon a solid economy to provide income growth and the willingness of people to put money toward housing payments from their income. If the economy slows and if people choose not to spend large percentages of their incomes toward housing payments (or if people are not permitted to by tighter lending standards,) house prices are not supported. The projection of a worst-</w:t>
      </w:r>
      <w:r w:rsidRPr="00124B71">
        <w:rPr>
          <w:rFonts w:cs="Times New Roman"/>
        </w:rPr>
        <w:lastRenderedPageBreak/>
        <w:t>case scenario shows the impact of an economic recession and a slow recovery due to tightening credit and a reduced willingness on the part of borrowers to take on new debt.</w:t>
      </w:r>
    </w:p>
    <w:p w14:paraId="320B9830" w14:textId="3BF6EA47" w:rsidR="000F5F1F" w:rsidRPr="00EF0EDA" w:rsidRDefault="00CF05FE" w:rsidP="003F44F1">
      <w:pPr>
        <w:pStyle w:val="Caption"/>
      </w:pPr>
      <w:bookmarkStart w:id="226" w:name="_Toc238867504"/>
      <w:r>
        <w:t>Figure</w:t>
      </w:r>
      <w:r w:rsidR="003F44F1" w:rsidRPr="00EF0EDA">
        <w:t xml:space="preserve"> </w:t>
      </w:r>
      <w:fldSimple w:instr=" SEQ Figure \* ARABIC ">
        <w:r w:rsidR="00493733">
          <w:rPr>
            <w:noProof/>
          </w:rPr>
          <w:t>63</w:t>
        </w:r>
      </w:fldSimple>
      <w:r w:rsidR="00317936">
        <w:t xml:space="preserve">: </w:t>
      </w:r>
      <w:r w:rsidR="003F44F1" w:rsidRPr="00EF0EDA">
        <w:t>National Doomsday Scenario</w:t>
      </w:r>
      <w:bookmarkEnd w:id="226"/>
    </w:p>
    <w:p w14:paraId="01DA43E1" w14:textId="77777777" w:rsidR="001767A9" w:rsidRPr="004164CD" w:rsidRDefault="00C863CF" w:rsidP="002D7DDD">
      <w:pPr>
        <w:pStyle w:val="Graphics"/>
      </w:pPr>
      <w:r>
        <w:drawing>
          <wp:inline distT="0" distB="0" distL="0" distR="0" wp14:anchorId="4F911252" wp14:editId="0B78B593">
            <wp:extent cx="3657600" cy="2834640"/>
            <wp:effectExtent l="19050" t="0" r="0" b="0"/>
            <wp:docPr id="128" name="Picture 127" descr="National Doomsday Scen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Doomsday Scenario.jpg"/>
                    <pic:cNvPicPr/>
                  </pic:nvPicPr>
                  <pic:blipFill>
                    <a:blip r:embed="rId100"/>
                    <a:stretch>
                      <a:fillRect/>
                    </a:stretch>
                  </pic:blipFill>
                  <pic:spPr>
                    <a:xfrm>
                      <a:off x="0" y="0"/>
                      <a:ext cx="3657600" cy="2834640"/>
                    </a:xfrm>
                    <a:prstGeom prst="rect">
                      <a:avLst/>
                    </a:prstGeom>
                  </pic:spPr>
                </pic:pic>
              </a:graphicData>
            </a:graphic>
          </wp:inline>
        </w:drawing>
      </w:r>
    </w:p>
    <w:p w14:paraId="2D6ACB6F" w14:textId="77777777" w:rsidR="003B39D6" w:rsidRPr="00124B71" w:rsidRDefault="003B39D6" w:rsidP="00FF5046">
      <w:pPr>
        <w:rPr>
          <w:rFonts w:cs="Times New Roman"/>
        </w:rPr>
      </w:pPr>
      <w:r w:rsidRPr="00124B71">
        <w:rPr>
          <w:rFonts w:cs="Times New Roman"/>
        </w:rPr>
        <w:t>The primary mechanism of the decline is the high rate of foreclosures. This is caused by rising unemployment</w:t>
      </w:r>
      <w:r w:rsidR="001858B5">
        <w:rPr>
          <w:rFonts w:cs="Times New Roman"/>
        </w:rPr>
        <w:fldChar w:fldCharType="begin"/>
      </w:r>
      <w:r w:rsidR="00FB4BC9">
        <w:instrText xml:space="preserve"> XE "</w:instrText>
      </w:r>
      <w:r w:rsidR="00FB4BC9" w:rsidRPr="00E7306C">
        <w:rPr>
          <w:rFonts w:cs="Times New Roman"/>
        </w:rPr>
        <w:instrText>unemployment</w:instrText>
      </w:r>
      <w:r w:rsidR="00FB4BC9">
        <w:instrText xml:space="preserve">" </w:instrText>
      </w:r>
      <w:r w:rsidR="001858B5">
        <w:rPr>
          <w:rFonts w:cs="Times New Roman"/>
        </w:rPr>
        <w:fldChar w:fldCharType="end"/>
      </w:r>
      <w:r w:rsidRPr="00124B71">
        <w:rPr>
          <w:rFonts w:cs="Times New Roman"/>
        </w:rPr>
        <w:t xml:space="preserve"> and the resetting of adjustable rate mortgage payments to much higher amounts due to higher interest rates and the inability of people to refinance into affordable payments</w:t>
      </w:r>
      <w:r w:rsidR="00A55A88" w:rsidRPr="00124B71">
        <w:rPr>
          <w:rFonts w:cs="Times New Roman"/>
        </w:rPr>
        <w:t>, and the inability to make further home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A55A88" w:rsidRPr="00124B71">
        <w:rPr>
          <w:rFonts w:cs="Times New Roman"/>
        </w:rPr>
        <w:t xml:space="preserve"> line of credit withdrawals to make mortgage payments</w:t>
      </w:r>
      <w:r w:rsidRPr="00124B71">
        <w:rPr>
          <w:rFonts w:cs="Times New Roman"/>
        </w:rPr>
        <w:t xml:space="preserve">. There </w:t>
      </w:r>
      <w:r w:rsidR="0070066A" w:rsidRPr="00124B71">
        <w:rPr>
          <w:rFonts w:cs="Times New Roman"/>
        </w:rPr>
        <w:t>are</w:t>
      </w:r>
      <w:r w:rsidRPr="00124B71">
        <w:rPr>
          <w:rFonts w:cs="Times New Roman"/>
        </w:rPr>
        <w:t xml:space="preserve"> trillions of dollars worth of mortgage obligations in adjustable rate mortgages due to reset by 2011. </w:t>
      </w:r>
      <w:r w:rsidR="0070066A" w:rsidRPr="00124B71">
        <w:rPr>
          <w:rFonts w:cs="Times New Roman"/>
        </w:rPr>
        <w:t>When</w:t>
      </w:r>
      <w:r w:rsidRPr="00124B71">
        <w:rPr>
          <w:rFonts w:cs="Times New Roman"/>
        </w:rPr>
        <w:t xml:space="preserve"> many of these borrowers are unable to refinance </w:t>
      </w:r>
      <w:r w:rsidR="0070066A" w:rsidRPr="00124B71">
        <w:rPr>
          <w:rFonts w:cs="Times New Roman"/>
        </w:rPr>
        <w:t>or</w:t>
      </w:r>
      <w:r w:rsidRPr="00124B71">
        <w:rPr>
          <w:rFonts w:cs="Times New Roman"/>
        </w:rPr>
        <w:t xml:space="preserve"> make their payments, they will lose their homes 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The impact of all these foreclosures will drive prices down quickly, and the depth of the decline may overshoot fundamental valuations due to the temporary imbalance between demand and supply. As each of these borrowers succumbs to the weight of </w:t>
      </w:r>
      <w:r w:rsidR="0070066A" w:rsidRPr="00124B71">
        <w:rPr>
          <w:rFonts w:cs="Times New Roman"/>
        </w:rPr>
        <w:t>his</w:t>
      </w:r>
      <w:r w:rsidRPr="00124B71">
        <w:rPr>
          <w:rFonts w:cs="Times New Roman"/>
        </w:rPr>
        <w:t xml:space="preserve"> housing payments, the rate of recovery will be slowed until the bad loans are purged from the financial system. If this scenario becomes reality, on a national basis prices will decline 33% or more from their peak bottoming out </w:t>
      </w:r>
      <w:r w:rsidR="006663FB" w:rsidRPr="00124B71">
        <w:rPr>
          <w:rFonts w:cs="Times New Roman"/>
        </w:rPr>
        <w:t>at a median</w:t>
      </w:r>
      <w:r w:rsidR="001858B5">
        <w:rPr>
          <w:rFonts w:cs="Times New Roman"/>
        </w:rPr>
        <w:fldChar w:fldCharType="begin"/>
      </w:r>
      <w:r w:rsidR="00AE7D38">
        <w:instrText xml:space="preserve"> XE "</w:instrText>
      </w:r>
      <w:r w:rsidR="00AE7D38" w:rsidRPr="008D714B">
        <w:rPr>
          <w:rFonts w:cs="Times New Roman"/>
        </w:rPr>
        <w:instrText>median</w:instrText>
      </w:r>
      <w:r w:rsidR="00AE7D38">
        <w:instrText xml:space="preserve">" </w:instrText>
      </w:r>
      <w:r w:rsidR="001858B5">
        <w:rPr>
          <w:rFonts w:cs="Times New Roman"/>
        </w:rPr>
        <w:fldChar w:fldCharType="end"/>
      </w:r>
      <w:r w:rsidR="006663FB" w:rsidRPr="00124B71">
        <w:rPr>
          <w:rFonts w:cs="Times New Roman"/>
        </w:rPr>
        <w:t xml:space="preserve"> price of $165,000 in 2012 or later. The slow recover</w:t>
      </w:r>
      <w:r w:rsidR="001061B0">
        <w:rPr>
          <w:rFonts w:cs="Times New Roman"/>
        </w:rPr>
        <w:t>y</w:t>
      </w:r>
      <w:r w:rsidR="006663FB" w:rsidRPr="00124B71">
        <w:rPr>
          <w:rFonts w:cs="Times New Roman"/>
        </w:rPr>
        <w:t xml:space="preserve"> </w:t>
      </w:r>
      <w:r w:rsidR="001061B0">
        <w:rPr>
          <w:rFonts w:cs="Times New Roman"/>
        </w:rPr>
        <w:t>at</w:t>
      </w:r>
      <w:r w:rsidR="006663FB" w:rsidRPr="00124B71">
        <w:rPr>
          <w:rFonts w:cs="Times New Roman"/>
        </w:rPr>
        <w:t xml:space="preserve"> historic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6663FB" w:rsidRPr="00124B71">
        <w:rPr>
          <w:rFonts w:cs="Times New Roman"/>
        </w:rPr>
        <w:t xml:space="preserve"> rates will not bring national prices back up to their peak </w:t>
      </w:r>
      <w:r w:rsidR="0070066A" w:rsidRPr="00124B71">
        <w:rPr>
          <w:rFonts w:cs="Times New Roman"/>
        </w:rPr>
        <w:t xml:space="preserve">again </w:t>
      </w:r>
      <w:r w:rsidR="006663FB" w:rsidRPr="00124B71">
        <w:rPr>
          <w:rFonts w:cs="Times New Roman"/>
        </w:rPr>
        <w:t>until 2024.</w:t>
      </w:r>
    </w:p>
    <w:p w14:paraId="750B19BF" w14:textId="77777777" w:rsidR="00A62139" w:rsidRPr="00124B71" w:rsidRDefault="00A62139" w:rsidP="00A62139">
      <w:pPr>
        <w:rPr>
          <w:rFonts w:cs="Times New Roman"/>
        </w:rPr>
      </w:pPr>
      <w:r w:rsidRPr="00124B71">
        <w:rPr>
          <w:rFonts w:cs="Times New Roman"/>
        </w:rPr>
        <w:t>In Irvine, California, and other extreme bubble markets the forecast is even grimmer. The doomsday scenario would see a 51% decline from peak to trough with prices bottoming at a median</w:t>
      </w:r>
      <w:r w:rsidR="001858B5">
        <w:rPr>
          <w:rFonts w:cs="Times New Roman"/>
        </w:rPr>
        <w:fldChar w:fldCharType="begin"/>
      </w:r>
      <w:r>
        <w:instrText xml:space="preserve"> XE "</w:instrText>
      </w:r>
      <w:r w:rsidRPr="008D714B">
        <w:rPr>
          <w:rFonts w:cs="Times New Roman"/>
        </w:rPr>
        <w:instrText>median</w:instrText>
      </w:r>
      <w:r>
        <w:instrText xml:space="preserve">" </w:instrText>
      </w:r>
      <w:r w:rsidR="001858B5">
        <w:rPr>
          <w:rFonts w:cs="Times New Roman"/>
        </w:rPr>
        <w:fldChar w:fldCharType="end"/>
      </w:r>
      <w:r w:rsidRPr="00124B71">
        <w:rPr>
          <w:rFonts w:cs="Times New Roman"/>
        </w:rPr>
        <w:t xml:space="preserve"> price of $351,000 in 2012. Prices will not recover to the previous peak until 2030. Price declines of this magnitude are </w:t>
      </w:r>
      <w:r w:rsidRPr="00124B71">
        <w:rPr>
          <w:rFonts w:cs="Times New Roman"/>
        </w:rPr>
        <w:lastRenderedPageBreak/>
        <w:t>not likely, but the scenario is not unrealistic. The only requirement is the confluence of all the negative forces working on the market.</w:t>
      </w:r>
    </w:p>
    <w:p w14:paraId="45E79C9D" w14:textId="701FB76F" w:rsidR="003F44F1" w:rsidRPr="00EF0EDA" w:rsidRDefault="00CF05FE" w:rsidP="003F44F1">
      <w:pPr>
        <w:pStyle w:val="Caption"/>
        <w:rPr>
          <w:b/>
          <w:bCs w:val="0"/>
          <w:sz w:val="24"/>
          <w:szCs w:val="24"/>
        </w:rPr>
      </w:pPr>
      <w:bookmarkStart w:id="227" w:name="_Toc238867505"/>
      <w:r>
        <w:t>Figure</w:t>
      </w:r>
      <w:r w:rsidR="003F44F1" w:rsidRPr="00EF0EDA">
        <w:t xml:space="preserve"> </w:t>
      </w:r>
      <w:fldSimple w:instr=" SEQ Figure \* ARABIC ">
        <w:r w:rsidR="00493733">
          <w:rPr>
            <w:noProof/>
          </w:rPr>
          <w:t>64</w:t>
        </w:r>
      </w:fldSimple>
      <w:r w:rsidR="00317936">
        <w:t xml:space="preserve">: </w:t>
      </w:r>
      <w:r w:rsidR="003F44F1" w:rsidRPr="00EF0EDA">
        <w:t>Irvine, California</w:t>
      </w:r>
      <w:r w:rsidR="004164CD">
        <w:t>,</w:t>
      </w:r>
      <w:r w:rsidR="003F44F1" w:rsidRPr="00EF0EDA">
        <w:t xml:space="preserve"> Doomsday Scenario</w:t>
      </w:r>
      <w:bookmarkEnd w:id="227"/>
    </w:p>
    <w:p w14:paraId="616FFFFC" w14:textId="77777777" w:rsidR="003F44F1" w:rsidRPr="004164CD" w:rsidRDefault="00C863CF" w:rsidP="002D7DDD">
      <w:pPr>
        <w:pStyle w:val="Graphics"/>
      </w:pPr>
      <w:r>
        <w:drawing>
          <wp:inline distT="0" distB="0" distL="0" distR="0" wp14:anchorId="30DA7D74" wp14:editId="490B95B2">
            <wp:extent cx="3657600" cy="2834640"/>
            <wp:effectExtent l="19050" t="0" r="0" b="0"/>
            <wp:docPr id="129" name="Picture 128" descr="Irvine, California, Doomsday Scen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vine, California, Doomsday Scenario.jpg"/>
                    <pic:cNvPicPr/>
                  </pic:nvPicPr>
                  <pic:blipFill>
                    <a:blip r:embed="rId101"/>
                    <a:stretch>
                      <a:fillRect/>
                    </a:stretch>
                  </pic:blipFill>
                  <pic:spPr>
                    <a:xfrm>
                      <a:off x="0" y="0"/>
                      <a:ext cx="3657600" cy="2834640"/>
                    </a:xfrm>
                    <a:prstGeom prst="rect">
                      <a:avLst/>
                    </a:prstGeom>
                  </pic:spPr>
                </pic:pic>
              </a:graphicData>
            </a:graphic>
          </wp:inline>
        </w:drawing>
      </w:r>
    </w:p>
    <w:p w14:paraId="20BC554B" w14:textId="77777777" w:rsidR="00292F0F" w:rsidRPr="00EF0EDA" w:rsidRDefault="00292F0F" w:rsidP="00024D7F">
      <w:pPr>
        <w:pStyle w:val="Heading2"/>
      </w:pPr>
      <w:bookmarkStart w:id="228" w:name="_Toc238867395"/>
      <w:r w:rsidRPr="00EF0EDA">
        <w:t>Lingering Problems</w:t>
      </w:r>
      <w:bookmarkEnd w:id="228"/>
    </w:p>
    <w:p w14:paraId="7420E38D" w14:textId="77777777" w:rsidR="00E32B76" w:rsidRPr="00124B71" w:rsidRDefault="00E32B76" w:rsidP="00292F0F">
      <w:pPr>
        <w:rPr>
          <w:rFonts w:cs="Times New Roman"/>
        </w:rPr>
      </w:pPr>
      <w:r w:rsidRPr="00124B71">
        <w:rPr>
          <w:rFonts w:cs="Times New Roman"/>
        </w:rPr>
        <w:t>As with any illness, the recovery is often plagued by symptoms of the disease and unwanted side effects. The recovery from the Great Housing Bubble will be no exception. The main problems will be experienced by those who bought at peak prices and did not go through the cleansing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process. As painful as foreclosure is to those who must endure it, foreclosure is the cure to the</w:t>
      </w:r>
      <w:r w:rsidR="00842455" w:rsidRPr="00124B71">
        <w:rPr>
          <w:rFonts w:cs="Times New Roman"/>
        </w:rPr>
        <w:t xml:space="preserve"> disease of the market. After foreclosure, a borrower is no longer burdened by high housing payments, and is free to move to find new work and spend income on consumer goods.</w:t>
      </w:r>
    </w:p>
    <w:p w14:paraId="2CC6991A" w14:textId="77777777" w:rsidR="00E32B76" w:rsidRPr="00124B71" w:rsidRDefault="00E32B76" w:rsidP="00292F0F">
      <w:pPr>
        <w:rPr>
          <w:rFonts w:cs="Times New Roman"/>
        </w:rPr>
      </w:pPr>
      <w:r w:rsidRPr="00124B71">
        <w:rPr>
          <w:rFonts w:cs="Times New Roman"/>
        </w:rPr>
        <w:t xml:space="preserve">Houses </w:t>
      </w:r>
      <w:r w:rsidR="00842455" w:rsidRPr="00124B71">
        <w:rPr>
          <w:rFonts w:cs="Times New Roman"/>
        </w:rPr>
        <w:t>will become</w:t>
      </w:r>
      <w:r w:rsidRPr="00124B71">
        <w:rPr>
          <w:rFonts w:cs="Times New Roman"/>
        </w:rPr>
        <w:t xml:space="preserve"> America’s new debtor</w:t>
      </w:r>
      <w:r w:rsidR="00842455" w:rsidRPr="00124B71">
        <w:rPr>
          <w:rFonts w:cs="Times New Roman"/>
        </w:rPr>
        <w:t>’</w:t>
      </w:r>
      <w:r w:rsidRPr="00124B71">
        <w:rPr>
          <w:rFonts w:cs="Times New Roman"/>
        </w:rPr>
        <w:t>s prisons</w:t>
      </w:r>
      <w:r w:rsidR="001858B5">
        <w:rPr>
          <w:rFonts w:cs="Times New Roman"/>
        </w:rPr>
        <w:fldChar w:fldCharType="begin"/>
      </w:r>
      <w:r w:rsidR="00074436">
        <w:instrText xml:space="preserve"> XE "</w:instrText>
      </w:r>
      <w:r w:rsidR="00074436" w:rsidRPr="006126DB">
        <w:rPr>
          <w:rFonts w:cs="Times New Roman"/>
        </w:rPr>
        <w:instrText>debtor’s prisons</w:instrText>
      </w:r>
      <w:r w:rsidR="00074436">
        <w:instrText xml:space="preserve">" </w:instrText>
      </w:r>
      <w:r w:rsidR="001858B5">
        <w:rPr>
          <w:rFonts w:cs="Times New Roman"/>
        </w:rPr>
        <w:fldChar w:fldCharType="end"/>
      </w:r>
      <w:r w:rsidRPr="00124B71">
        <w:rPr>
          <w:rFonts w:cs="Times New Roman"/>
        </w:rPr>
        <w:t>. By the end of 2008, anyone who purchased between 2004 and 2007 will be underwater. Everyone who is underwater and making crushing home payments will be stuck in their homes until values climb back above their purchase price. Since there are a great many people in th</w:t>
      </w:r>
      <w:r w:rsidR="001611C2" w:rsidRPr="00124B71">
        <w:rPr>
          <w:rFonts w:cs="Times New Roman"/>
        </w:rPr>
        <w:t>ese</w:t>
      </w:r>
      <w:r w:rsidRPr="00124B71">
        <w:rPr>
          <w:rFonts w:cs="Times New Roman"/>
        </w:rPr>
        <w:t xml:space="preserve"> </w:t>
      </w:r>
      <w:r w:rsidR="001611C2" w:rsidRPr="00124B71">
        <w:rPr>
          <w:rFonts w:cs="Times New Roman"/>
        </w:rPr>
        <w:t>circumstances</w:t>
      </w:r>
      <w:r w:rsidRPr="00124B71">
        <w:rPr>
          <w:rFonts w:cs="Times New Roman"/>
        </w:rPr>
        <w:t xml:space="preserve"> and since each of these people </w:t>
      </w:r>
      <w:r w:rsidR="001611C2" w:rsidRPr="00124B71">
        <w:rPr>
          <w:rFonts w:cs="Times New Roman"/>
        </w:rPr>
        <w:t>are</w:t>
      </w:r>
      <w:r w:rsidRPr="00124B71">
        <w:rPr>
          <w:rFonts w:cs="Times New Roman"/>
        </w:rPr>
        <w:t xml:space="preserve"> in at a different price point, each one will have a different term in debtor’s prison, but when their sentence is up, </w:t>
      </w:r>
      <w:r w:rsidR="003465AA" w:rsidRPr="00124B71">
        <w:rPr>
          <w:rFonts w:cs="Times New Roman"/>
        </w:rPr>
        <w:t>many</w:t>
      </w:r>
      <w:r w:rsidRPr="00124B71">
        <w:rPr>
          <w:rFonts w:cs="Times New Roman"/>
        </w:rPr>
        <w:t xml:space="preserve"> will opt to sell to get out from under the crushing payments. Each of these people selling their home</w:t>
      </w:r>
      <w:r w:rsidR="001611C2" w:rsidRPr="00124B71">
        <w:rPr>
          <w:rFonts w:cs="Times New Roman"/>
        </w:rPr>
        <w:t>s</w:t>
      </w:r>
      <w:r w:rsidRPr="00124B71">
        <w:rPr>
          <w:rFonts w:cs="Times New Roman"/>
        </w:rPr>
        <w:t xml:space="preserve"> keep prices from rising. This is</w:t>
      </w:r>
      <w:r w:rsidR="001061B0">
        <w:rPr>
          <w:rFonts w:cs="Times New Roman"/>
        </w:rPr>
        <w:t xml:space="preserve"> the</w:t>
      </w:r>
      <w:r w:rsidRPr="00124B71">
        <w:rPr>
          <w:rFonts w:cs="Times New Roman"/>
        </w:rPr>
        <w:t xml:space="preserve"> </w:t>
      </w:r>
      <w:r w:rsidR="00842455" w:rsidRPr="00124B71">
        <w:rPr>
          <w:rFonts w:cs="Times New Roman"/>
        </w:rPr>
        <w:t>impact of</w:t>
      </w:r>
      <w:r w:rsidRPr="00124B71">
        <w:rPr>
          <w:rFonts w:cs="Times New Roman"/>
        </w:rPr>
        <w:t xml:space="preserve"> overhead supply. It is also why the market will not see meaningful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xml:space="preserve"> without capitulatory selling.</w:t>
      </w:r>
      <w:r w:rsidR="00842455" w:rsidRPr="00124B71">
        <w:rPr>
          <w:rFonts w:cs="Times New Roman"/>
        </w:rPr>
        <w:t xml:space="preserve"> People trapped in their homes cannot move to accept promotions or advancements in their careers, and people who are making large debt service payments have less </w:t>
      </w:r>
      <w:r w:rsidR="00842455" w:rsidRPr="00124B71">
        <w:rPr>
          <w:rFonts w:cs="Times New Roman"/>
        </w:rPr>
        <w:lastRenderedPageBreak/>
        <w:t>discretionary income to spend. In an economy heavily dependent upon consumer spending, the impact of this loss of spending power will serve as a drag on economic growth</w:t>
      </w:r>
      <w:r w:rsidR="00732642" w:rsidRPr="00124B71">
        <w:rPr>
          <w:rFonts w:cs="Times New Roman"/>
        </w:rPr>
        <w:t>.</w:t>
      </w:r>
      <w:r w:rsidR="00E625C5" w:rsidRPr="00124B71">
        <w:rPr>
          <w:rFonts w:cs="Times New Roman"/>
        </w:rPr>
        <w:t xml:space="preserve"> </w:t>
      </w:r>
      <w:r w:rsidR="009E727A" w:rsidRPr="00124B71">
        <w:rPr>
          <w:rStyle w:val="EndnoteReference"/>
          <w:rFonts w:cs="Times New Roman"/>
        </w:rPr>
        <w:endnoteReference w:id="134"/>
      </w:r>
      <w:r w:rsidR="00842455" w:rsidRPr="00124B71">
        <w:rPr>
          <w:rFonts w:cs="Times New Roman"/>
        </w:rPr>
        <w:t xml:space="preserve"> Aside from the broader economic ramifications, the heavily indebted will need to adjust to a lifestyle within their available after-tax and after-debt income. This will be a disheartening adjustment to many, particularly those who had become </w:t>
      </w:r>
      <w:r w:rsidR="00AD6841" w:rsidRPr="00124B71">
        <w:rPr>
          <w:rFonts w:cs="Times New Roman"/>
        </w:rPr>
        <w:t>dependent</w:t>
      </w:r>
      <w:r w:rsidR="00842455" w:rsidRPr="00124B71">
        <w:rPr>
          <w:rFonts w:cs="Times New Roman"/>
        </w:rPr>
        <w:t xml:space="preserve"> upon mortgage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842455" w:rsidRPr="00124B71">
        <w:rPr>
          <w:rFonts w:cs="Times New Roman"/>
        </w:rPr>
        <w:t xml:space="preserve"> withdrawal to sustain their lifestyles.</w:t>
      </w:r>
    </w:p>
    <w:p w14:paraId="59EC3E1B" w14:textId="77777777" w:rsidR="001767A9" w:rsidRPr="00EF0EDA" w:rsidRDefault="001767A9" w:rsidP="00024D7F">
      <w:pPr>
        <w:pStyle w:val="Heading2"/>
      </w:pPr>
      <w:bookmarkStart w:id="229" w:name="_Toc238867396"/>
      <w:r w:rsidRPr="00EF0EDA">
        <w:t>Summary</w:t>
      </w:r>
      <w:bookmarkEnd w:id="229"/>
    </w:p>
    <w:p w14:paraId="57176C79" w14:textId="77777777" w:rsidR="00AD6841" w:rsidRPr="00124B71" w:rsidRDefault="00AD6841" w:rsidP="0056372B">
      <w:pPr>
        <w:rPr>
          <w:rFonts w:cs="Times New Roman"/>
        </w:rPr>
      </w:pPr>
      <w:r w:rsidRPr="00124B71">
        <w:rPr>
          <w:rFonts w:cs="Times New Roman"/>
        </w:rPr>
        <w:t>During the decline of house prices in the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Pr="00124B71">
        <w:rPr>
          <w:rFonts w:cs="Times New Roman"/>
        </w:rPr>
        <w:t xml:space="preserve"> of the Great Housing Bubble, price levels will fall to fundamental valuations of historic levels of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price-to-rent</w:t>
      </w:r>
      <w:r w:rsidR="001858B5">
        <w:rPr>
          <w:rFonts w:cs="Times New Roman"/>
        </w:rPr>
        <w:fldChar w:fldCharType="begin"/>
      </w:r>
      <w:r w:rsidR="00180E6F">
        <w:instrText xml:space="preserve"> XE "</w:instrText>
      </w:r>
      <w:r w:rsidR="00180E6F" w:rsidRPr="0007121C">
        <w:rPr>
          <w:rFonts w:cs="Times New Roman"/>
        </w:rPr>
        <w:instrText>price-to-rent</w:instrText>
      </w:r>
      <w:r w:rsidR="00180E6F">
        <w:instrText xml:space="preserve">" </w:instrText>
      </w:r>
      <w:r w:rsidR="001858B5">
        <w:rPr>
          <w:rFonts w:cs="Times New Roman"/>
        </w:rPr>
        <w:fldChar w:fldCharType="end"/>
      </w:r>
      <w:r w:rsidRPr="00124B71">
        <w:rPr>
          <w:rFonts w:cs="Times New Roman"/>
        </w:rPr>
        <w:t xml:space="preserve"> ratios, and price-to-income</w:t>
      </w:r>
      <w:r w:rsidR="001858B5">
        <w:rPr>
          <w:rFonts w:cs="Times New Roman"/>
        </w:rPr>
        <w:fldChar w:fldCharType="begin"/>
      </w:r>
      <w:r w:rsidR="00AE7D38">
        <w:instrText xml:space="preserve"> XE "</w:instrText>
      </w:r>
      <w:r w:rsidR="00AE7D38" w:rsidRPr="008121A2">
        <w:rPr>
          <w:rFonts w:cs="Times New Roman"/>
        </w:rPr>
        <w:instrText>price-to-income</w:instrText>
      </w:r>
      <w:r w:rsidR="00AE7D38">
        <w:instrText xml:space="preserve">" </w:instrText>
      </w:r>
      <w:r w:rsidR="001858B5">
        <w:rPr>
          <w:rFonts w:cs="Times New Roman"/>
        </w:rPr>
        <w:fldChar w:fldCharType="end"/>
      </w:r>
      <w:r w:rsidRPr="00124B71">
        <w:rPr>
          <w:rFonts w:cs="Times New Roman"/>
        </w:rPr>
        <w:t xml:space="preserve"> ratios.</w:t>
      </w:r>
      <w:r w:rsidR="00D03481" w:rsidRPr="00124B71">
        <w:rPr>
          <w:rFonts w:cs="Times New Roman"/>
        </w:rPr>
        <w:t xml:space="preserve"> The nominal price declines may be impacted by inflation and monetary policy of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00D03481" w:rsidRPr="00124B71">
        <w:rPr>
          <w:rFonts w:cs="Times New Roman"/>
        </w:rPr>
        <w:t>, but inflation adjusted prices will fall precipitously. As people put less money toward housing payments either by choice or by tightening lender standards, prices will not be supported at inflated levels. The combination of unemployment</w:t>
      </w:r>
      <w:r w:rsidR="001858B5">
        <w:rPr>
          <w:rFonts w:cs="Times New Roman"/>
        </w:rPr>
        <w:fldChar w:fldCharType="begin"/>
      </w:r>
      <w:r w:rsidR="00FB4BC9">
        <w:instrText xml:space="preserve"> XE "</w:instrText>
      </w:r>
      <w:r w:rsidR="00FB4BC9" w:rsidRPr="00E7306C">
        <w:rPr>
          <w:rFonts w:cs="Times New Roman"/>
        </w:rPr>
        <w:instrText>unemployment</w:instrText>
      </w:r>
      <w:r w:rsidR="00FB4BC9">
        <w:instrText xml:space="preserve">" </w:instrText>
      </w:r>
      <w:r w:rsidR="001858B5">
        <w:rPr>
          <w:rFonts w:cs="Times New Roman"/>
        </w:rPr>
        <w:fldChar w:fldCharType="end"/>
      </w:r>
      <w:r w:rsidR="00D03481" w:rsidRPr="00124B71">
        <w:rPr>
          <w:rFonts w:cs="Times New Roman"/>
        </w:rPr>
        <w:t>, higher interest rates and the elimination or severe curtailment of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00D03481" w:rsidRPr="00124B71">
        <w:rPr>
          <w:rFonts w:cs="Times New Roman"/>
        </w:rPr>
        <w:t xml:space="preserve"> terms will make refinancing more difficult and the resulting unaffordable mortgage payments will put many borrowers into foreclosures adding large amounts of must-sell</w:t>
      </w:r>
      <w:r w:rsidR="001858B5">
        <w:rPr>
          <w:rFonts w:cs="Times New Roman"/>
        </w:rPr>
        <w:fldChar w:fldCharType="begin"/>
      </w:r>
      <w:r w:rsidR="00C12412">
        <w:instrText xml:space="preserve"> XE "</w:instrText>
      </w:r>
      <w:r w:rsidR="00C12412" w:rsidRPr="0032623E">
        <w:rPr>
          <w:rFonts w:cs="Times New Roman"/>
        </w:rPr>
        <w:instrText>must-sell</w:instrText>
      </w:r>
      <w:r w:rsidR="00C12412">
        <w:instrText xml:space="preserve">" </w:instrText>
      </w:r>
      <w:r w:rsidR="001858B5">
        <w:rPr>
          <w:rFonts w:cs="Times New Roman"/>
        </w:rPr>
        <w:fldChar w:fldCharType="end"/>
      </w:r>
      <w:r w:rsidR="00D03481" w:rsidRPr="00124B71">
        <w:rPr>
          <w:rFonts w:cs="Times New Roman"/>
        </w:rPr>
        <w:t xml:space="preserve"> supply to the market</w:t>
      </w:r>
      <w:r w:rsidR="001611C2" w:rsidRPr="00124B71">
        <w:rPr>
          <w:rFonts w:cs="Times New Roman"/>
        </w:rPr>
        <w:t>,</w:t>
      </w:r>
      <w:r w:rsidR="00D03481" w:rsidRPr="00124B71">
        <w:rPr>
          <w:rFonts w:cs="Times New Roman"/>
        </w:rPr>
        <w:t xml:space="preserve"> driving prices lower. If prices follow their historical pattern, they will fall down to their fundamental valuations by 2011. There are a number of variables which will influence the depth and timing of the decline, and most of the risks are to the downside. There will likely be an overshoot of fundamental valuations at the bottom. Despite all the nuance and analysis, everything comes down to one simple indicator: to paraphrase James Carville</w:t>
      </w:r>
      <w:r w:rsidR="001858B5">
        <w:rPr>
          <w:rFonts w:cs="Times New Roman"/>
        </w:rPr>
        <w:fldChar w:fldCharType="begin"/>
      </w:r>
      <w:r w:rsidR="00074436">
        <w:instrText xml:space="preserve"> XE "</w:instrText>
      </w:r>
      <w:r w:rsidR="00074436" w:rsidRPr="00C45BF8">
        <w:rPr>
          <w:rFonts w:cs="Times New Roman"/>
        </w:rPr>
        <w:instrText>James Carville</w:instrText>
      </w:r>
      <w:r w:rsidR="00074436">
        <w:instrText xml:space="preserve">" </w:instrText>
      </w:r>
      <w:r w:rsidR="001858B5">
        <w:rPr>
          <w:rFonts w:cs="Times New Roman"/>
        </w:rPr>
        <w:fldChar w:fldCharType="end"/>
      </w:r>
      <w:r w:rsidR="00D03481" w:rsidRPr="00124B71">
        <w:rPr>
          <w:rFonts w:cs="Times New Roman"/>
        </w:rPr>
        <w:t xml:space="preserve"> and Bill Clinton</w:t>
      </w:r>
      <w:r w:rsidR="001858B5">
        <w:rPr>
          <w:rFonts w:cs="Times New Roman"/>
        </w:rPr>
        <w:fldChar w:fldCharType="begin"/>
      </w:r>
      <w:r w:rsidR="00074436">
        <w:instrText xml:space="preserve"> XE "</w:instrText>
      </w:r>
      <w:r w:rsidR="00074436" w:rsidRPr="004C7617">
        <w:rPr>
          <w:rFonts w:cs="Times New Roman"/>
        </w:rPr>
        <w:instrText>Bill Clinton</w:instrText>
      </w:r>
      <w:r w:rsidR="00074436">
        <w:instrText xml:space="preserve">" </w:instrText>
      </w:r>
      <w:r w:rsidR="001858B5">
        <w:rPr>
          <w:rFonts w:cs="Times New Roman"/>
        </w:rPr>
        <w:fldChar w:fldCharType="end"/>
      </w:r>
      <w:r w:rsidR="00D03481" w:rsidRPr="00124B71">
        <w:rPr>
          <w:rFonts w:cs="Times New Roman"/>
        </w:rPr>
        <w:t>, “It’s the Foreclosures, Stupid!”</w:t>
      </w:r>
    </w:p>
    <w:p w14:paraId="38A92F8E" w14:textId="77777777" w:rsidR="00D03481" w:rsidRPr="00124B71" w:rsidRDefault="00D03481" w:rsidP="00D03481">
      <w:pPr>
        <w:rPr>
          <w:rFonts w:cs="Times New Roman"/>
        </w:rPr>
      </w:pPr>
      <w:r w:rsidRPr="00124B71">
        <w:rPr>
          <w:rFonts w:cs="Times New Roman"/>
        </w:rPr>
        <w:t>So what implication does all of this have on a future buying decision? Buyers should not</w:t>
      </w:r>
      <w:r w:rsidRPr="00124B71">
        <w:rPr>
          <w:rStyle w:val="Strong"/>
          <w:rFonts w:cs="Times New Roman"/>
        </w:rPr>
        <w:t xml:space="preserve"> </w:t>
      </w:r>
      <w:r w:rsidRPr="00124B71">
        <w:rPr>
          <w:rStyle w:val="Strong"/>
          <w:rFonts w:cs="Times New Roman"/>
          <w:b w:val="0"/>
        </w:rPr>
        <w:t>count on appreciation</w:t>
      </w:r>
      <w:r w:rsidR="001858B5">
        <w:rPr>
          <w:rStyle w:val="Strong"/>
          <w:rFonts w:cs="Times New Roman"/>
          <w:b w:val="0"/>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Style w:val="Strong"/>
          <w:rFonts w:cs="Times New Roman"/>
          <w:b w:val="0"/>
        </w:rPr>
        <w:fldChar w:fldCharType="end"/>
      </w:r>
      <w:r w:rsidRPr="00124B71">
        <w:rPr>
          <w:rFonts w:cs="Times New Roman"/>
          <w:b/>
        </w:rPr>
        <w:t>.</w:t>
      </w:r>
      <w:r w:rsidRPr="00124B71">
        <w:rPr>
          <w:rFonts w:cs="Times New Roman"/>
        </w:rPr>
        <w:t xml:space="preserve"> If a buyer needs to factor in appreciation to make the math work on a home purchase, </w:t>
      </w:r>
      <w:r w:rsidR="001611C2" w:rsidRPr="00124B71">
        <w:rPr>
          <w:rFonts w:cs="Times New Roman"/>
        </w:rPr>
        <w:t>she</w:t>
      </w:r>
      <w:r w:rsidRPr="00124B71">
        <w:rPr>
          <w:rFonts w:cs="Times New Roman"/>
        </w:rPr>
        <w:t xml:space="preserve"> will buy too early, and </w:t>
      </w:r>
      <w:r w:rsidR="001611C2" w:rsidRPr="00124B71">
        <w:rPr>
          <w:rFonts w:cs="Times New Roman"/>
        </w:rPr>
        <w:t>she</w:t>
      </w:r>
      <w:r w:rsidRPr="00124B71">
        <w:rPr>
          <w:rFonts w:cs="Times New Roman"/>
        </w:rPr>
        <w:t xml:space="preserve"> will pay too much. When the cost of ownership</w:t>
      </w:r>
      <w:r w:rsidR="001858B5">
        <w:rPr>
          <w:rFonts w:cs="Times New Roman"/>
        </w:rPr>
        <w:fldChar w:fldCharType="begin"/>
      </w:r>
      <w:r w:rsidR="00180E6F">
        <w:instrText xml:space="preserve"> XE "</w:instrText>
      </w:r>
      <w:r w:rsidR="00180E6F" w:rsidRPr="00E403F7">
        <w:rPr>
          <w:rFonts w:cs="Times New Roman"/>
        </w:rPr>
        <w:instrText>cost of ownership</w:instrText>
      </w:r>
      <w:r w:rsidR="00180E6F">
        <w:instrText xml:space="preserve">" </w:instrText>
      </w:r>
      <w:r w:rsidR="001858B5">
        <w:rPr>
          <w:rFonts w:cs="Times New Roman"/>
        </w:rPr>
        <w:fldChar w:fldCharType="end"/>
      </w:r>
      <w:r w:rsidRPr="00124B71">
        <w:rPr>
          <w:rFonts w:cs="Times New Roman"/>
        </w:rPr>
        <w:t xml:space="preserve"> is equal to the cost of rental it is safe to buy. Even if prices drop further</w:t>
      </w:r>
      <w:r w:rsidR="007C469A">
        <w:rPr>
          <w:rFonts w:cs="Times New Roman"/>
        </w:rPr>
        <w:t>–</w:t>
      </w:r>
      <w:r w:rsidRPr="00124B71">
        <w:rPr>
          <w:rFonts w:cs="Times New Roman"/>
        </w:rPr>
        <w:t>which they might</w:t>
      </w:r>
      <w:r w:rsidR="007C469A">
        <w:rPr>
          <w:rFonts w:cs="Times New Roman"/>
        </w:rPr>
        <w:t>–</w:t>
      </w:r>
      <w:r w:rsidRPr="00124B71">
        <w:rPr>
          <w:rFonts w:cs="Times New Roman"/>
        </w:rPr>
        <w:t xml:space="preserve">buyers will not be hurt because they will be saving money versus renting. If buyers are counting on increasing rents or house price appreciation to get to breakeven sometime later, they will probably get burned. </w:t>
      </w:r>
    </w:p>
    <w:p w14:paraId="4D922D02" w14:textId="77777777" w:rsidR="00AE5BC0" w:rsidRPr="00124B71" w:rsidRDefault="00D03481" w:rsidP="0056372B">
      <w:pPr>
        <w:rPr>
          <w:rFonts w:cs="Times New Roman"/>
          <w:i/>
        </w:rPr>
      </w:pPr>
      <w:r w:rsidRPr="00124B71">
        <w:rPr>
          <w:rFonts w:cs="Times New Roman"/>
        </w:rPr>
        <w:t>Buyers should t</w:t>
      </w:r>
      <w:r w:rsidR="00AE5BC0" w:rsidRPr="00124B71">
        <w:rPr>
          <w:rFonts w:cs="Times New Roman"/>
        </w:rPr>
        <w:t xml:space="preserve">hink about what terms and conditions a </w:t>
      </w:r>
      <w:r w:rsidRPr="00124B71">
        <w:rPr>
          <w:rFonts w:cs="Times New Roman"/>
        </w:rPr>
        <w:t xml:space="preserve">future </w:t>
      </w:r>
      <w:r w:rsidR="00AE5BC0" w:rsidRPr="00124B71">
        <w:rPr>
          <w:rFonts w:cs="Times New Roman"/>
        </w:rPr>
        <w:t xml:space="preserve">buyer will face. During the bubble </w:t>
      </w:r>
      <w:r w:rsidRPr="00124B71">
        <w:rPr>
          <w:rFonts w:cs="Times New Roman"/>
        </w:rPr>
        <w:t>prices were bid</w:t>
      </w:r>
      <w:r w:rsidR="00AE5BC0" w:rsidRPr="00124B71">
        <w:rPr>
          <w:rFonts w:cs="Times New Roman"/>
        </w:rPr>
        <w:t xml:space="preserve"> up to unsustainable heights. </w:t>
      </w:r>
      <w:r w:rsidRPr="00124B71">
        <w:rPr>
          <w:rFonts w:cs="Times New Roman"/>
        </w:rPr>
        <w:t>Prospective buyers should</w:t>
      </w:r>
      <w:r w:rsidR="00AE5BC0" w:rsidRPr="00124B71">
        <w:rPr>
          <w:rFonts w:cs="Times New Roman"/>
        </w:rPr>
        <w:t xml:space="preserve"> not</w:t>
      </w:r>
      <w:r w:rsidRPr="00124B71">
        <w:rPr>
          <w:rFonts w:cs="Times New Roman"/>
        </w:rPr>
        <w:t xml:space="preserve"> purchase</w:t>
      </w:r>
      <w:r w:rsidR="00AE5BC0" w:rsidRPr="00124B71">
        <w:rPr>
          <w:rFonts w:cs="Times New Roman"/>
        </w:rPr>
        <w:t xml:space="preserve"> when conditions are not favorable. If interest rates are low,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AE5BC0" w:rsidRPr="00124B71">
        <w:rPr>
          <w:rFonts w:cs="Times New Roman"/>
        </w:rPr>
        <w:t xml:space="preserve"> ratios are high, and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00AE5BC0" w:rsidRPr="00124B71">
        <w:rPr>
          <w:rFonts w:cs="Times New Roman"/>
        </w:rPr>
        <w:t xml:space="preserve"> is the norm, it is a bad time to buy. </w:t>
      </w:r>
      <w:r w:rsidR="009C2556" w:rsidRPr="00124B71">
        <w:rPr>
          <w:rFonts w:cs="Times New Roman"/>
        </w:rPr>
        <w:t>It seems counter-intuitive, but a</w:t>
      </w:r>
      <w:r w:rsidR="00AE5BC0" w:rsidRPr="00124B71">
        <w:rPr>
          <w:rFonts w:cs="Times New Roman"/>
        </w:rPr>
        <w:t xml:space="preserve"> wise buyer wants to purchase when credit is tight and values are depressed.</w:t>
      </w:r>
      <w:r w:rsidRPr="00124B71">
        <w:rPr>
          <w:rFonts w:cs="Times New Roman"/>
        </w:rPr>
        <w:t xml:space="preserve"> </w:t>
      </w:r>
      <w:r w:rsidR="009C2556" w:rsidRPr="00124B71">
        <w:rPr>
          <w:rFonts w:cs="Times New Roman"/>
        </w:rPr>
        <w:t>Buyers should be</w:t>
      </w:r>
      <w:r w:rsidR="00AE5BC0" w:rsidRPr="00124B71">
        <w:rPr>
          <w:rFonts w:cs="Times New Roman"/>
        </w:rPr>
        <w:t xml:space="preserve"> patient and wait for the conditions to be right because a future buyer can pay more when credit is loose and prices are inflated.</w:t>
      </w:r>
      <w:r w:rsidR="00DC1B72" w:rsidRPr="00124B71">
        <w:rPr>
          <w:rFonts w:cs="Times New Roman"/>
        </w:rPr>
        <w:t xml:space="preserve"> A</w:t>
      </w:r>
      <w:r w:rsidR="00AE5BC0" w:rsidRPr="00124B71">
        <w:rPr>
          <w:rStyle w:val="Emphasis"/>
          <w:rFonts w:cs="Times New Roman"/>
          <w:b w:val="0"/>
          <w:bCs w:val="0"/>
          <w:i w:val="0"/>
        </w:rPr>
        <w:t xml:space="preserve"> house is only worth what a buyer will pay for it.</w:t>
      </w:r>
    </w:p>
    <w:p w14:paraId="7BD57812" w14:textId="77777777" w:rsidR="009F7B4C" w:rsidRPr="00124B71" w:rsidRDefault="009F7B4C" w:rsidP="002D7DDD">
      <w:pPr>
        <w:rPr>
          <w:rFonts w:cs="Times New Roman"/>
        </w:rPr>
        <w:sectPr w:rsidR="009F7B4C" w:rsidRPr="00124B71" w:rsidSect="009729DE">
          <w:headerReference w:type="even" r:id="rId102"/>
          <w:headerReference w:type="default" r:id="rId103"/>
          <w:endnotePr>
            <w:numFmt w:val="decimal"/>
          </w:endnotePr>
          <w:type w:val="oddPage"/>
          <w:pgSz w:w="8640" w:h="12960" w:code="173"/>
          <w:pgMar w:top="1008" w:right="936" w:bottom="1080" w:left="936" w:header="504" w:footer="504" w:gutter="0"/>
          <w:cols w:space="720"/>
          <w:titlePg/>
          <w:docGrid w:linePitch="360"/>
        </w:sectPr>
      </w:pPr>
    </w:p>
    <w:p w14:paraId="476C3C48" w14:textId="77777777" w:rsidR="00E56A4A" w:rsidRPr="00EF0EDA" w:rsidRDefault="00E56A4A" w:rsidP="00024D7F">
      <w:pPr>
        <w:pStyle w:val="Heading1"/>
      </w:pPr>
      <w:bookmarkStart w:id="230" w:name="_Toc238867397"/>
      <w:r w:rsidRPr="00EF0EDA">
        <w:lastRenderedPageBreak/>
        <w:t>Buying and Selling During a Decline</w:t>
      </w:r>
      <w:bookmarkEnd w:id="230"/>
    </w:p>
    <w:p w14:paraId="1E5165A8" w14:textId="77777777" w:rsidR="002270D5" w:rsidRPr="00124B71" w:rsidRDefault="002270D5" w:rsidP="002D7DDD">
      <w:pPr>
        <w:rPr>
          <w:rFonts w:cs="Times New Roman"/>
        </w:rPr>
      </w:pPr>
      <w:r w:rsidRPr="00124B71">
        <w:rPr>
          <w:rFonts w:cs="Times New Roman"/>
        </w:rPr>
        <w:t>During the bubble price rally, sellers and realtors, the agents of sellers, had everything going their way. It was easy to price and sell a house. A realtor would look at recent comparable sales, and set an asking price 5% to 10% higher and wait for multiple bids on the property</w:t>
      </w:r>
      <w:r w:rsidR="007C469A">
        <w:rPr>
          <w:rFonts w:cs="Times New Roman"/>
        </w:rPr>
        <w:t>–</w:t>
      </w:r>
      <w:r w:rsidRPr="00124B71">
        <w:rPr>
          <w:rFonts w:cs="Times New Roman"/>
        </w:rPr>
        <w:t>some of which would come in over asking. The quality of the property did not matter, and the techniques used to market and sell the property did not matter either. As far as buyers and sellers were concerned house prices always went up, so the sellers were thought to be giving away free money; obviously, the product was in high demand. As the financial mania ran its course, buyers became scarcer; all the ones who could buy did buy. The buyer pool was seriously depleted leaving prices at artificially high levels. When the abundance of sellers became greater than the number of available buyers</w:t>
      </w:r>
      <w:r w:rsidR="00A55A88" w:rsidRPr="00124B71">
        <w:rPr>
          <w:rFonts w:cs="Times New Roman"/>
        </w:rPr>
        <w:t xml:space="preserve"> qualifying for financing</w:t>
      </w:r>
      <w:r w:rsidRPr="00124B71">
        <w:rPr>
          <w:rFonts w:cs="Times New Roman"/>
        </w:rPr>
        <w:t>, prices began to fall.</w:t>
      </w:r>
    </w:p>
    <w:p w14:paraId="33B5AD28" w14:textId="77777777" w:rsidR="002270D5" w:rsidRPr="00124B71" w:rsidRDefault="002270D5" w:rsidP="002D7DDD">
      <w:pPr>
        <w:rPr>
          <w:rFonts w:cs="Times New Roman"/>
        </w:rPr>
      </w:pPr>
      <w:r w:rsidRPr="00124B71">
        <w:rPr>
          <w:rFonts w:cs="Times New Roman"/>
        </w:rPr>
        <w:t>Residential real estate markets generally move very slowly and trend in a single direction for long periods of time. Once these markets reach an inflection point, the direction of price movement changes, and the balance of negotiating power shifts from an advantage to one side to an advantage for the other. However, most market participants do not recognize this change for some time. Sellers continue to price and attempt to sell using tactics that worked during the rally, and they find they are unable to sell their properties. It often takes two years or more before sellers accept the reality of the new market and adjust their attitudes and behaviors to the new dynamics of a buyer’s market.</w:t>
      </w:r>
    </w:p>
    <w:p w14:paraId="5BC0AA2D" w14:textId="77777777" w:rsidR="002270D5" w:rsidRPr="00124B71" w:rsidRDefault="002270D5" w:rsidP="002D7DDD">
      <w:pPr>
        <w:rPr>
          <w:rFonts w:cs="Times New Roman"/>
        </w:rPr>
      </w:pPr>
      <w:r w:rsidRPr="00124B71">
        <w:rPr>
          <w:rFonts w:cs="Times New Roman"/>
        </w:rPr>
        <w:t xml:space="preserve">In a buyer’s market, buyers have the upper hand, and sellers need to adjust their pricing tactics to reflect this fact. During a rally, many buyers must compete with each other for the property of a few sellers. In a price decline, many sellers must compete with each other for the money of a few available buyers. It is common for sellers to ask their realtor to find a buyer who will appreciate the “unique qualities” of their property. Every seller thinks their property is the finest in the neighborhood and certainly commands a premium 5% to 10% more than their neighbors. These fantasies are reinforced by the behavior of buyers during the rally. At the risk of losing the listing, the realtor </w:t>
      </w:r>
      <w:r w:rsidRPr="00124B71">
        <w:rPr>
          <w:rFonts w:cs="Times New Roman"/>
        </w:rPr>
        <w:lastRenderedPageBreak/>
        <w:t xml:space="preserve">must find a diplomatic way to convince a would-be seller their property is average at best and needs to be priced accordingly. It is a difficult challenge for an experienced realtor to persuade an owner </w:t>
      </w:r>
      <w:r w:rsidR="001611C2" w:rsidRPr="00124B71">
        <w:rPr>
          <w:rFonts w:cs="Times New Roman"/>
        </w:rPr>
        <w:t>her</w:t>
      </w:r>
      <w:r w:rsidRPr="00124B71">
        <w:rPr>
          <w:rFonts w:cs="Times New Roman"/>
        </w:rPr>
        <w:t xml:space="preserve"> castle is a cottage. Failure to educate the sellers to the reality of the market wastes the seller’s time and the realtor’s resources. Experienced realtors who thrive in bear markets earn their commissions.</w:t>
      </w:r>
    </w:p>
    <w:p w14:paraId="094D679A" w14:textId="77777777" w:rsidR="007A3A92" w:rsidRPr="00EF0EDA" w:rsidRDefault="007A3A92" w:rsidP="007A3A92">
      <w:pPr>
        <w:pStyle w:val="Heading2"/>
      </w:pPr>
      <w:bookmarkStart w:id="231" w:name="_Toc238867398"/>
      <w:r w:rsidRPr="00EF0EDA">
        <w:t>Selling for Less</w:t>
      </w:r>
      <w:bookmarkEnd w:id="231"/>
    </w:p>
    <w:p w14:paraId="798C3DF5" w14:textId="77777777" w:rsidR="007A3A92" w:rsidRPr="00124B71" w:rsidRDefault="007A3A92" w:rsidP="002D7DDD">
      <w:pPr>
        <w:rPr>
          <w:rFonts w:cs="Times New Roman"/>
        </w:rPr>
      </w:pPr>
      <w:r w:rsidRPr="00124B71">
        <w:rPr>
          <w:rFonts w:cs="Times New Roman"/>
        </w:rPr>
        <w:t xml:space="preserve">Sellers in declining markets must compete on price. Only the best properties can command prices equal to recent comps. In a buyer’s market, there are no premiums: getting the price of recent comps reflects a premium because prices are declining. Properties with negatives must price 10% or more below recent comps to attract the attention of buyers. There are many books and articles written about staging a property and various </w:t>
      </w:r>
      <w:r w:rsidR="00DC1B72" w:rsidRPr="00124B71">
        <w:rPr>
          <w:rFonts w:cs="Times New Roman"/>
        </w:rPr>
        <w:t>techniques</w:t>
      </w:r>
      <w:r w:rsidRPr="00124B71">
        <w:rPr>
          <w:rFonts w:cs="Times New Roman"/>
        </w:rPr>
        <w:t xml:space="preserve"> a seller should </w:t>
      </w:r>
      <w:r w:rsidR="00DC1B72" w:rsidRPr="00124B71">
        <w:rPr>
          <w:rFonts w:cs="Times New Roman"/>
        </w:rPr>
        <w:t>employ</w:t>
      </w:r>
      <w:r w:rsidRPr="00124B71">
        <w:rPr>
          <w:rFonts w:cs="Times New Roman"/>
        </w:rPr>
        <w:t xml:space="preserve"> to sell their home. Most of these writings pander to the ego and false hopes</w:t>
      </w:r>
      <w:r w:rsidR="001858B5">
        <w:rPr>
          <w:rFonts w:cs="Times New Roman"/>
        </w:rPr>
        <w:fldChar w:fldCharType="begin"/>
      </w:r>
      <w:r w:rsidR="001A53F8">
        <w:instrText xml:space="preserve"> XE "</w:instrText>
      </w:r>
      <w:r w:rsidR="001A53F8" w:rsidRPr="00DC069C">
        <w:rPr>
          <w:rFonts w:cs="Times New Roman"/>
        </w:rPr>
        <w:instrText>false hopes</w:instrText>
      </w:r>
      <w:r w:rsidR="001A53F8">
        <w:instrText xml:space="preserve">" </w:instrText>
      </w:r>
      <w:r w:rsidR="001858B5">
        <w:rPr>
          <w:rFonts w:cs="Times New Roman"/>
        </w:rPr>
        <w:fldChar w:fldCharType="end"/>
      </w:r>
      <w:r w:rsidRPr="00124B71">
        <w:rPr>
          <w:rFonts w:cs="Times New Roman"/>
        </w:rPr>
        <w:t xml:space="preserve"> of sellers who refuse to compete on price. No amount of sales and marketing is going to convince a buyer to overpay in a buyer’s market. Price is the ultimate amenity.</w:t>
      </w:r>
    </w:p>
    <w:p w14:paraId="1431D6FE" w14:textId="77777777" w:rsidR="007A3A92" w:rsidRPr="00EF0EDA" w:rsidRDefault="007A3A92" w:rsidP="007A3A92">
      <w:pPr>
        <w:pStyle w:val="Heading3"/>
      </w:pPr>
      <w:bookmarkStart w:id="232" w:name="_Toc238867399"/>
      <w:r w:rsidRPr="00EF0EDA">
        <w:t>Paying off a Mortgage</w:t>
      </w:r>
      <w:bookmarkEnd w:id="232"/>
    </w:p>
    <w:p w14:paraId="571192D5" w14:textId="77777777" w:rsidR="007A3A92" w:rsidRPr="00124B71" w:rsidRDefault="007A3A92" w:rsidP="002D7DDD">
      <w:pPr>
        <w:rPr>
          <w:rFonts w:cs="Times New Roman"/>
        </w:rPr>
      </w:pPr>
      <w:r w:rsidRPr="00124B71">
        <w:rPr>
          <w:rFonts w:cs="Times New Roman"/>
        </w:rPr>
        <w:t xml:space="preserve">Once a price decline gets underway many buyers who were late to the price rally find they are in a property worth less than they paid for it. As prices continue to fall, many find themselves “underwater” owing more on their mortgage than their property is worth. When these late buyers want to become sellers, they cannot sell and pay off the mortgage balance with the proceeds from the sale. Then they have a real problem. It is a problem with only 4 </w:t>
      </w:r>
      <w:r w:rsidR="003465AA" w:rsidRPr="00124B71">
        <w:rPr>
          <w:rFonts w:cs="Times New Roman"/>
        </w:rPr>
        <w:t xml:space="preserve">plausible </w:t>
      </w:r>
      <w:r w:rsidRPr="00124B71">
        <w:rPr>
          <w:rFonts w:cs="Times New Roman"/>
        </w:rPr>
        <w:t>solutions:</w:t>
      </w:r>
    </w:p>
    <w:p w14:paraId="583AD6EF" w14:textId="77777777" w:rsidR="007A3A92" w:rsidRPr="00124B71" w:rsidRDefault="007A3A92" w:rsidP="007A3A92">
      <w:pPr>
        <w:numPr>
          <w:ilvl w:val="0"/>
          <w:numId w:val="34"/>
        </w:numPr>
        <w:spacing w:before="100" w:beforeAutospacing="1" w:after="100" w:afterAutospacing="1"/>
        <w:rPr>
          <w:rFonts w:cs="Times New Roman"/>
        </w:rPr>
      </w:pPr>
      <w:r w:rsidRPr="00124B71">
        <w:rPr>
          <w:rFonts w:cs="Times New Roman"/>
        </w:rPr>
        <w:t>The borrower can keep making the mortgage payments until prices go back up. This is the “hold and hope” strategy. If the borrower uses exotic financing</w:t>
      </w:r>
      <w:r w:rsidR="001858B5">
        <w:rPr>
          <w:rFonts w:cs="Times New Roman"/>
        </w:rPr>
        <w:fldChar w:fldCharType="begin"/>
      </w:r>
      <w:r w:rsidR="00E84A0F">
        <w:instrText xml:space="preserve"> XE "</w:instrText>
      </w:r>
      <w:r w:rsidR="00E84A0F" w:rsidRPr="00DC5992">
        <w:rPr>
          <w:rFonts w:cs="Times New Roman"/>
        </w:rPr>
        <w:instrText>exotic financing</w:instrText>
      </w:r>
      <w:r w:rsidR="00E84A0F">
        <w:instrText xml:space="preserve">" </w:instrText>
      </w:r>
      <w:r w:rsidR="001858B5">
        <w:rPr>
          <w:rFonts w:cs="Times New Roman"/>
        </w:rPr>
        <w:fldChar w:fldCharType="end"/>
      </w:r>
      <w:r w:rsidR="007C469A">
        <w:rPr>
          <w:rFonts w:cs="Times New Roman"/>
        </w:rPr>
        <w:t>–</w:t>
      </w:r>
      <w:r w:rsidRPr="00124B71">
        <w:rPr>
          <w:rFonts w:cs="Times New Roman"/>
        </w:rPr>
        <w:t>which most buyers did in the later stages of the Great Housing Bubble</w:t>
      </w:r>
      <w:r w:rsidR="007C469A">
        <w:rPr>
          <w:rFonts w:cs="Times New Roman"/>
        </w:rPr>
        <w:t>–</w:t>
      </w:r>
      <w:r w:rsidRPr="00124B71">
        <w:rPr>
          <w:rFonts w:cs="Times New Roman"/>
        </w:rPr>
        <w:t>it may be difficult to continue making mortgage payments because these payments are likely to increase substantially. If the property is not owner</w:t>
      </w:r>
      <w:r w:rsidR="003465AA" w:rsidRPr="00124B71">
        <w:rPr>
          <w:rFonts w:cs="Times New Roman"/>
        </w:rPr>
        <w:t>-</w:t>
      </w:r>
      <w:r w:rsidRPr="00124B71">
        <w:rPr>
          <w:rFonts w:cs="Times New Roman"/>
        </w:rPr>
        <w:t>occupied</w:t>
      </w:r>
      <w:r w:rsidR="001858B5">
        <w:rPr>
          <w:rFonts w:cs="Times New Roman"/>
        </w:rPr>
        <w:fldChar w:fldCharType="begin"/>
      </w:r>
      <w:r w:rsidR="00FA2AEF">
        <w:instrText xml:space="preserve"> XE "</w:instrText>
      </w:r>
      <w:r w:rsidR="00FA2AEF" w:rsidRPr="002D78BE">
        <w:rPr>
          <w:rFonts w:cs="Times New Roman"/>
        </w:rPr>
        <w:instrText>owner-occupied</w:instrText>
      </w:r>
      <w:r w:rsidR="00FA2AEF">
        <w:instrText xml:space="preserve">" </w:instrText>
      </w:r>
      <w:r w:rsidR="001858B5">
        <w:rPr>
          <w:rFonts w:cs="Times New Roman"/>
        </w:rPr>
        <w:fldChar w:fldCharType="end"/>
      </w:r>
      <w:r w:rsidRPr="00124B71">
        <w:rPr>
          <w:rFonts w:cs="Times New Roman"/>
        </w:rPr>
        <w:t>, the borrower may try to rent it out to cover expenses; however, this is generally not feasible. Buyers who purchased during the mania paid too much money relative to prevailing rents and available income. If this were not the case, it would not have been a financial mania. Since the payments are too high, renting the property does not cover the expenses. Renting out the property lessens the pain, but it does not make it go away. Also, since housing market corrections often last 5 years or more, it may be a very long time before prices recover to peak bubble levels. Keeping the property is a “death by a thousand cuts,” or perhaps a death by a thousand payments.</w:t>
      </w:r>
    </w:p>
    <w:p w14:paraId="64547BB1" w14:textId="77777777" w:rsidR="007A3A92" w:rsidRPr="00124B71" w:rsidRDefault="007A3A92" w:rsidP="007A3A92">
      <w:pPr>
        <w:numPr>
          <w:ilvl w:val="0"/>
          <w:numId w:val="34"/>
        </w:numPr>
        <w:spacing w:before="100" w:beforeAutospacing="1" w:after="100" w:afterAutospacing="1"/>
        <w:rPr>
          <w:rFonts w:cs="Times New Roman"/>
        </w:rPr>
      </w:pPr>
      <w:r w:rsidRPr="00124B71">
        <w:rPr>
          <w:rFonts w:cs="Times New Roman"/>
        </w:rPr>
        <w:lastRenderedPageBreak/>
        <w:t xml:space="preserve">The borrower can write a check at the closing to pay off the portion of the mortgage not covered by the proceeds from the sale. Many people do not have the amount necessary in savings, as few thought such a loss was even possible, and even fewer are willing to go through with the sale knowing they will have to pay for the loss. The </w:t>
      </w:r>
      <w:r w:rsidR="005C0E51" w:rsidRPr="00124B71">
        <w:rPr>
          <w:rFonts w:cs="Times New Roman"/>
        </w:rPr>
        <w:t>undesirability</w:t>
      </w:r>
      <w:r w:rsidRPr="00124B71">
        <w:rPr>
          <w:rFonts w:cs="Times New Roman"/>
        </w:rPr>
        <w:t xml:space="preserve"> of this option usually forces the borrower to keep the property and try to endure the pain, or let it go up for auction at a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w:t>
      </w:r>
    </w:p>
    <w:p w14:paraId="181A3295" w14:textId="77777777" w:rsidR="007A3A92" w:rsidRPr="00124B71" w:rsidRDefault="007A3A92" w:rsidP="007A3A92">
      <w:pPr>
        <w:numPr>
          <w:ilvl w:val="0"/>
          <w:numId w:val="34"/>
        </w:numPr>
        <w:spacing w:before="100" w:beforeAutospacing="1" w:after="100" w:afterAutospacing="1"/>
        <w:rPr>
          <w:rFonts w:cs="Times New Roman"/>
        </w:rPr>
      </w:pPr>
      <w:r w:rsidRPr="00124B71">
        <w:rPr>
          <w:rFonts w:cs="Times New Roman"/>
        </w:rPr>
        <w:t>The borrower can try to convince the lender to agree to a short sale. A short sale is a closing where the lender accepts less than the full mortgage amount at the closing.</w:t>
      </w:r>
    </w:p>
    <w:p w14:paraId="40134C94" w14:textId="77777777" w:rsidR="007A3A92" w:rsidRPr="00124B71" w:rsidRDefault="007A3A92" w:rsidP="007A3A92">
      <w:pPr>
        <w:numPr>
          <w:ilvl w:val="0"/>
          <w:numId w:val="34"/>
        </w:numPr>
        <w:spacing w:before="100" w:beforeAutospacing="1" w:after="100" w:afterAutospacing="1"/>
        <w:rPr>
          <w:rFonts w:cs="Times New Roman"/>
        </w:rPr>
      </w:pPr>
      <w:r w:rsidRPr="00124B71">
        <w:rPr>
          <w:rFonts w:cs="Times New Roman"/>
        </w:rPr>
        <w:t>The borrower can simply stop making payments and allow the property to go to public auction in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Both short sales and foreclosures have strongly negative impacts on credit scores and the availability of credit in the future.</w:t>
      </w:r>
    </w:p>
    <w:p w14:paraId="3F6DAA6C" w14:textId="77777777" w:rsidR="007A3A92" w:rsidRPr="00124B71" w:rsidRDefault="007A3A92" w:rsidP="002D7DDD">
      <w:pPr>
        <w:rPr>
          <w:rFonts w:cs="Times New Roman"/>
        </w:rPr>
      </w:pPr>
      <w:r w:rsidRPr="00124B71">
        <w:rPr>
          <w:rFonts w:cs="Times New Roman"/>
        </w:rPr>
        <w:t xml:space="preserve">In the price declines of the early 90s, most people opted </w:t>
      </w:r>
      <w:r w:rsidR="00F12B59">
        <w:rPr>
          <w:rFonts w:cs="Times New Roman"/>
        </w:rPr>
        <w:t>for option number one</w:t>
      </w:r>
      <w:r w:rsidRPr="00124B71">
        <w:rPr>
          <w:rFonts w:cs="Times New Roman"/>
        </w:rPr>
        <w:t xml:space="preserve">. Downpayment requirements were high, and the use of exotic loan programs was less common in the </w:t>
      </w:r>
      <w:r w:rsidR="00DC1B72" w:rsidRPr="00124B71">
        <w:rPr>
          <w:rFonts w:cs="Times New Roman"/>
        </w:rPr>
        <w:t xml:space="preserve">preceding </w:t>
      </w:r>
      <w:r w:rsidRPr="00124B71">
        <w:rPr>
          <w:rFonts w:cs="Times New Roman"/>
        </w:rPr>
        <w:t>rally, so many homeowners had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DC1B72" w:rsidRPr="00124B71">
        <w:rPr>
          <w:rFonts w:cs="Times New Roman"/>
        </w:rPr>
        <w:t xml:space="preserve"> in their properties</w:t>
      </w:r>
      <w:r w:rsidRPr="00124B71">
        <w:rPr>
          <w:rFonts w:cs="Times New Roman"/>
        </w:rPr>
        <w:t xml:space="preserve"> and were able to make their payments. They accepted debt servitude as part of the price of home ownership. When faced with the four options presented to them, most chose to stay in their homes and keep making payments. As the slowdown in the housing market helped facilitate a recession in the early 90s, a recession compounded in California with defense industry layoffs, many people lost their jobs and as a result, lost their ability to make high mortgage payments. This created a problem with foreclosures that pushed prices lower. The decline in prices in the early 90s, though extreme in certain fringe markets, was not so deep to cause many people to voluntarily walk away from their mortgages. Most buyers during this period were required to put 20% down. This represented years of savings and sacrifice for many, so they were not willing to lose it. Since the total peak to trough correction was a bit less than 20% statewide in California and even less in other states, many homeowners still had some equity in their homes. The combination of high equity requirements and a relatively shallow correction made staying in the home the best choice for many. This kept foreclosures to high but manageable levels.</w:t>
      </w:r>
      <w:r w:rsidR="001611C2" w:rsidRPr="00124B71">
        <w:rPr>
          <w:rFonts w:cs="Times New Roman"/>
        </w:rPr>
        <w:t xml:space="preserve"> In contrast, t</w:t>
      </w:r>
      <w:r w:rsidRPr="00124B71">
        <w:rPr>
          <w:rFonts w:cs="Times New Roman"/>
        </w:rPr>
        <w:t xml:space="preserve">he Great Housing Bubble was characterized by low or non-existent equity requirements, and </w:t>
      </w:r>
      <w:r w:rsidR="00C717E1" w:rsidRPr="00124B71">
        <w:rPr>
          <w:rFonts w:cs="Times New Roman"/>
        </w:rPr>
        <w:t>very steep initial drop in house prices</w:t>
      </w:r>
      <w:r w:rsidRPr="00124B71">
        <w:rPr>
          <w:rFonts w:cs="Times New Roman"/>
        </w:rPr>
        <w:t>. These conditions made foreclosures, both voluntary and involuntary, a tremendous problem.</w:t>
      </w:r>
    </w:p>
    <w:p w14:paraId="6D2FD736" w14:textId="0C4D889C" w:rsidR="007A3A92" w:rsidRPr="00124B71" w:rsidRDefault="007A3A92" w:rsidP="002D7DDD">
      <w:pPr>
        <w:rPr>
          <w:rFonts w:cs="Times New Roman"/>
        </w:rPr>
      </w:pPr>
      <w:r w:rsidRPr="00124B71">
        <w:rPr>
          <w:rFonts w:cs="Times New Roman"/>
        </w:rPr>
        <w:t>Much of the purchase money in the bubble rally was debt. As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xml:space="preserve"> became common, the average combined loan-to-value</w:t>
      </w:r>
      <w:r w:rsidR="001858B5">
        <w:rPr>
          <w:rFonts w:cs="Times New Roman"/>
        </w:rPr>
        <w:fldChar w:fldCharType="begin"/>
      </w:r>
      <w:r w:rsidR="001A53F8">
        <w:instrText xml:space="preserve"> XE "</w:instrText>
      </w:r>
      <w:r w:rsidR="001A53F8" w:rsidRPr="00DB4DD4">
        <w:rPr>
          <w:rFonts w:cs="Times New Roman"/>
        </w:rPr>
        <w:instrText>loan-to-value</w:instrText>
      </w:r>
      <w:r w:rsidR="001A53F8">
        <w:instrText xml:space="preserve">" </w:instrText>
      </w:r>
      <w:r w:rsidR="001858B5">
        <w:rPr>
          <w:rFonts w:cs="Times New Roman"/>
        </w:rPr>
        <w:fldChar w:fldCharType="end"/>
      </w:r>
      <w:r w:rsidRPr="00124B71">
        <w:rPr>
          <w:rFonts w:cs="Times New Roman"/>
        </w:rPr>
        <w:t xml:space="preserve"> on purchase money mortgages climbed to more than 90%</w:t>
      </w:r>
      <w:r w:rsidR="001611C2" w:rsidRPr="00124B71">
        <w:rPr>
          <w:rFonts w:cs="Times New Roman"/>
        </w:rPr>
        <w:t xml:space="preserve"> </w:t>
      </w:r>
      <w:sdt>
        <w:sdtPr>
          <w:rPr>
            <w:rFonts w:cs="Times New Roman"/>
          </w:rPr>
          <w:id w:val="59964107"/>
          <w:citation/>
        </w:sdtPr>
        <w:sdtContent>
          <w:r w:rsidR="001858B5" w:rsidRPr="00124B71">
            <w:rPr>
              <w:rFonts w:cs="Times New Roman"/>
            </w:rPr>
            <w:fldChar w:fldCharType="begin"/>
          </w:r>
          <w:r w:rsidR="00F43CEA" w:rsidRPr="00124B71">
            <w:rPr>
              <w:rFonts w:cs="Times New Roman"/>
            </w:rPr>
            <w:instrText xml:space="preserve"> CITATION Cre07 \l 1033 </w:instrText>
          </w:r>
          <w:r w:rsidR="001858B5" w:rsidRPr="00124B71">
            <w:rPr>
              <w:rFonts w:cs="Times New Roman"/>
            </w:rPr>
            <w:fldChar w:fldCharType="separate"/>
          </w:r>
          <w:r w:rsidR="007E3004" w:rsidRPr="007E3004">
            <w:rPr>
              <w:rFonts w:cs="Times New Roman"/>
              <w:noProof/>
            </w:rPr>
            <w:t>(Credit Suisse, 2007)</w:t>
          </w:r>
          <w:r w:rsidR="001858B5" w:rsidRPr="00124B71">
            <w:rPr>
              <w:rFonts w:cs="Times New Roman"/>
            </w:rPr>
            <w:fldChar w:fldCharType="end"/>
          </w:r>
        </w:sdtContent>
      </w:sdt>
      <w:r w:rsidRPr="00124B71">
        <w:rPr>
          <w:rFonts w:cs="Times New Roman"/>
        </w:rPr>
        <w:t xml:space="preserve">. With so many people with so little in the transaction, it did not take much of a price decline to cause people to give up. By late 2007 prices had already fallen 10% or more in many markets, and there was no sign this would change </w:t>
      </w:r>
      <w:r w:rsidR="00DC1B72" w:rsidRPr="00124B71">
        <w:rPr>
          <w:rFonts w:cs="Times New Roman"/>
        </w:rPr>
        <w:t>in the immediate future</w:t>
      </w:r>
      <w:r w:rsidRPr="00124B71">
        <w:rPr>
          <w:rFonts w:cs="Times New Roman"/>
        </w:rPr>
        <w:t>. It was becoming obvious that those with little at risk were well under</w:t>
      </w:r>
      <w:r w:rsidRPr="00124B71">
        <w:rPr>
          <w:rFonts w:cs="Times New Roman"/>
        </w:rPr>
        <w:lastRenderedPageBreak/>
        <w:t>water and they were going to be that way for the foreseeable future. This inevitably lead to one of the unique phenomen</w:t>
      </w:r>
      <w:r w:rsidR="001611C2" w:rsidRPr="00124B71">
        <w:rPr>
          <w:rFonts w:cs="Times New Roman"/>
        </w:rPr>
        <w:t>a</w:t>
      </w:r>
      <w:r w:rsidRPr="00124B71">
        <w:rPr>
          <w:rFonts w:cs="Times New Roman"/>
        </w:rPr>
        <w:t xml:space="preserve"> of the Great Housing Bubble</w:t>
      </w:r>
      <w:r w:rsidR="007C469A">
        <w:rPr>
          <w:rFonts w:cs="Times New Roman"/>
        </w:rPr>
        <w:t>–</w:t>
      </w:r>
      <w:r w:rsidRPr="00124B71">
        <w:rPr>
          <w:rFonts w:cs="Times New Roman"/>
        </w:rPr>
        <w:t>Predatory Borrowing</w:t>
      </w:r>
      <w:r w:rsidR="001858B5">
        <w:rPr>
          <w:rFonts w:cs="Times New Roman"/>
        </w:rPr>
        <w:fldChar w:fldCharType="begin"/>
      </w:r>
      <w:r w:rsidR="00074436">
        <w:instrText xml:space="preserve"> XE "</w:instrText>
      </w:r>
      <w:r w:rsidR="00074436" w:rsidRPr="004D67E5">
        <w:rPr>
          <w:rFonts w:cs="Times New Roman"/>
        </w:rPr>
        <w:instrText>predatory borrowing</w:instrText>
      </w:r>
      <w:r w:rsidR="00074436">
        <w:instrText xml:space="preserve">" </w:instrText>
      </w:r>
      <w:r w:rsidR="001858B5">
        <w:rPr>
          <w:rFonts w:cs="Times New Roman"/>
        </w:rPr>
        <w:fldChar w:fldCharType="end"/>
      </w:r>
      <w:r w:rsidRPr="00124B71">
        <w:rPr>
          <w:rFonts w:cs="Times New Roman"/>
        </w:rPr>
        <w:t>. Many simply stopped making payments they could afford because the value of their property had declined significantly. Nowhere in the terms of the mortgage did it state the payments would be made if, and only if, resale values increased, but many borrowers acted as if it did. When borrowers quit making payments they were capable of making simply because they were not going to make money on the deal, their behavior was predatory to the lender who ultimately had to absorb the loss. These borrowers often had so little of their own money invested in the form of a downpayment they felt little actual damage from just walking away from the property and mailing the lender the keys. Many borrowers simply stopped making payments, did not respond to letters or phone calls from the lender, and moved out. Short sales and foreclosures were not the end of the nightmare for sellers. It is the last contact they had with the property, but in many circumstances the debt</w:t>
      </w:r>
      <w:r w:rsidR="007C469A">
        <w:rPr>
          <w:rFonts w:cs="Times New Roman"/>
        </w:rPr>
        <w:t>–</w:t>
      </w:r>
      <w:r w:rsidRPr="00124B71">
        <w:rPr>
          <w:rFonts w:cs="Times New Roman"/>
        </w:rPr>
        <w:t>and debt collectors</w:t>
      </w:r>
      <w:r w:rsidR="007C469A">
        <w:rPr>
          <w:rFonts w:cs="Times New Roman"/>
        </w:rPr>
        <w:t>–</w:t>
      </w:r>
      <w:r w:rsidRPr="00124B71">
        <w:rPr>
          <w:rFonts w:cs="Times New Roman"/>
        </w:rPr>
        <w:t>followed them until the debt was repaid or discharged in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Pr="00124B71">
        <w:rPr>
          <w:rFonts w:cs="Times New Roman"/>
        </w:rPr>
        <w:t>.</w:t>
      </w:r>
    </w:p>
    <w:p w14:paraId="5F60149F" w14:textId="77777777" w:rsidR="007A3A92" w:rsidRPr="00EF0EDA" w:rsidRDefault="007A3A92" w:rsidP="007A3A92">
      <w:pPr>
        <w:pStyle w:val="Heading3"/>
      </w:pPr>
      <w:bookmarkStart w:id="233" w:name="_Toc238867400"/>
      <w:r w:rsidRPr="00EF0EDA">
        <w:t>Short Sale</w:t>
      </w:r>
      <w:bookmarkEnd w:id="233"/>
    </w:p>
    <w:p w14:paraId="04040815" w14:textId="77777777" w:rsidR="007A3A92" w:rsidRPr="00124B71" w:rsidRDefault="007A3A92" w:rsidP="002D7DDD">
      <w:pPr>
        <w:rPr>
          <w:rFonts w:cs="Times New Roman"/>
        </w:rPr>
      </w:pPr>
      <w:r w:rsidRPr="00124B71">
        <w:rPr>
          <w:rFonts w:cs="Times New Roman"/>
        </w:rPr>
        <w:t>A short sale is a property closing where the proceeds from the closing do not satisfy the outstanding debt on the property. The lender must agree to accept less money at the closing table for the closing to occur. From a credit perspective, there is little or no difference between a short sale and a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Both a short sale and a foreclosure will show a series of missed payments and a secured credit line (or multiple credit lines) with a permanent delinquency and discharge for what is generally a very large sum of money. Both will have a strong, negative impact on the borrower’s FICO</w:t>
      </w:r>
      <w:r w:rsidR="001858B5">
        <w:rPr>
          <w:rFonts w:cs="Times New Roman"/>
        </w:rPr>
        <w:fldChar w:fldCharType="begin"/>
      </w:r>
      <w:r w:rsidR="003247C5">
        <w:instrText xml:space="preserve"> XE "</w:instrText>
      </w:r>
      <w:r w:rsidR="003247C5" w:rsidRPr="006E6D09">
        <w:rPr>
          <w:rFonts w:cs="Times New Roman"/>
        </w:rPr>
        <w:instrText>FICO</w:instrText>
      </w:r>
      <w:r w:rsidR="003247C5">
        <w:instrText xml:space="preserve">" </w:instrText>
      </w:r>
      <w:r w:rsidR="001858B5">
        <w:rPr>
          <w:rFonts w:cs="Times New Roman"/>
        </w:rPr>
        <w:fldChar w:fldCharType="end"/>
      </w:r>
      <w:r w:rsidRPr="00124B71">
        <w:rPr>
          <w:rFonts w:cs="Times New Roman"/>
        </w:rPr>
        <w:t xml:space="preserve"> credit score that will persist for many years.</w:t>
      </w:r>
    </w:p>
    <w:p w14:paraId="29B6CBD2" w14:textId="77777777" w:rsidR="007A3A92" w:rsidRPr="00124B71" w:rsidRDefault="007A3A92" w:rsidP="002D7DDD">
      <w:pPr>
        <w:rPr>
          <w:rFonts w:cs="Times New Roman"/>
        </w:rPr>
      </w:pPr>
      <w:r w:rsidRPr="00124B71">
        <w:rPr>
          <w:rFonts w:cs="Times New Roman"/>
        </w:rPr>
        <w:t xml:space="preserve">Because of the potential for fraud and the bureaucratic tangle of various parties involved, it is very difficult to get a short sale approved. If a lender is going to lose money, they are going to want to be sure the borrower is not selling the property to a friend or relative or engaging in some other kind of fraudulent conveyance. Also, the lender will want to be sure the borrower cannot pay back the money. </w:t>
      </w:r>
      <w:r w:rsidR="00DC1B72" w:rsidRPr="00124B71">
        <w:rPr>
          <w:rFonts w:cs="Times New Roman"/>
        </w:rPr>
        <w:t>They often</w:t>
      </w:r>
      <w:r w:rsidRPr="00124B71">
        <w:rPr>
          <w:rFonts w:cs="Times New Roman"/>
        </w:rPr>
        <w:t xml:space="preserve"> require additional financial information like updated W-2s, 1040 tax returns, and a statement of assets certified by an accountant. In most cases, the borrower will have to stop making payments as evidence of their inability to do so in the future. Further, the property will also need to be listed for some period of time at a sales price which would result in sufficient funds to pay off the loan. Once it is demonstrated to the lender that the borrower has stopped making payments, cannot reasonably make future payments, and the property cannot be sold for a breakeven amount, then the lender may grant a short sale request. None of this happens quickly. If a buyer is found who is willing to purchase the property, the process of approving a short sale is so long and cumbersome, most buyers will move on to one of several other available properties on the market.</w:t>
      </w:r>
    </w:p>
    <w:p w14:paraId="64B607FC" w14:textId="77777777" w:rsidR="007A3A92" w:rsidRPr="00124B71" w:rsidRDefault="007A3A92" w:rsidP="002D7DDD">
      <w:pPr>
        <w:rPr>
          <w:rFonts w:cs="Times New Roman"/>
        </w:rPr>
      </w:pPr>
      <w:r w:rsidRPr="00124B71">
        <w:rPr>
          <w:rFonts w:cs="Times New Roman"/>
        </w:rPr>
        <w:lastRenderedPageBreak/>
        <w:t xml:space="preserve">In the end, a short sale is only in the best interest of the borrower if they believe the bank will try to collect on the shortfall from the property sale. If a borrower is in a position where </w:t>
      </w:r>
      <w:r w:rsidR="001611C2" w:rsidRPr="00124B71">
        <w:rPr>
          <w:rFonts w:cs="Times New Roman"/>
        </w:rPr>
        <w:t>he</w:t>
      </w:r>
      <w:r w:rsidRPr="00124B71">
        <w:rPr>
          <w:rFonts w:cs="Times New Roman"/>
        </w:rPr>
        <w:t xml:space="preserve"> will have to pay back any losses, a short sale may result in a smaller loss than a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and subsequent auction. If the borrower is not in a position where the lender either can or will go after the deficiency, there is little incentive for the borrower to even attempt a short sale. In these instances, the borrower generally let</w:t>
      </w:r>
      <w:r w:rsidR="003465AA" w:rsidRPr="00124B71">
        <w:rPr>
          <w:rFonts w:cs="Times New Roman"/>
        </w:rPr>
        <w:t>s</w:t>
      </w:r>
      <w:r w:rsidRPr="00124B71">
        <w:rPr>
          <w:rFonts w:cs="Times New Roman"/>
        </w:rPr>
        <w:t xml:space="preserve"> the property go into foreclosure.</w:t>
      </w:r>
    </w:p>
    <w:p w14:paraId="365D4070" w14:textId="77777777" w:rsidR="007A3A92" w:rsidRPr="00EF0EDA" w:rsidRDefault="007A3A92" w:rsidP="007A3A92">
      <w:pPr>
        <w:pStyle w:val="Heading3"/>
      </w:pPr>
      <w:bookmarkStart w:id="234" w:name="_Toc238867401"/>
      <w:r w:rsidRPr="00EF0EDA">
        <w:t>Foreclosure</w:t>
      </w:r>
      <w:bookmarkEnd w:id="234"/>
    </w:p>
    <w:p w14:paraId="327DE620" w14:textId="77777777" w:rsidR="007A3A92" w:rsidRPr="00124B71" w:rsidRDefault="007A3A92" w:rsidP="00A6765F">
      <w:pPr>
        <w:suppressAutoHyphens/>
        <w:rPr>
          <w:rFonts w:cs="Times New Roman"/>
        </w:rPr>
      </w:pPr>
      <w:r w:rsidRPr="00124B71">
        <w:rPr>
          <w:rFonts w:cs="Times New Roman"/>
        </w:rPr>
        <w:t xml:space="preserve">Foreclosure is the forced sale of a property owned by the borrower in order to satisfy the debt(s) secured by the property. Foreclosure laws are complex, and they vary from state to state. There are no federal laws governing foreclosures. The borrower is the legal owner of the property who has entered into a mortgage agreement with a lender to pay back all borrowed money, fees and interest due. The Mortgage is a security instrument that pledges the property as the security for the loan. This document provides the lender the ability to force the sale of property to satisfy the debt if the borrower fails to pay in accordance with the terms of the agreement. The lender does not own the </w:t>
      </w:r>
      <w:r w:rsidR="00C717E1" w:rsidRPr="00124B71">
        <w:rPr>
          <w:rFonts w:cs="Times New Roman"/>
        </w:rPr>
        <w:t>property;</w:t>
      </w:r>
      <w:r w:rsidRPr="00124B71">
        <w:rPr>
          <w:rFonts w:cs="Times New Roman"/>
        </w:rPr>
        <w:t xml:space="preserve"> they merely own a lien</w:t>
      </w:r>
      <w:r w:rsidR="001858B5">
        <w:rPr>
          <w:rFonts w:cs="Times New Roman"/>
        </w:rPr>
        <w:fldChar w:fldCharType="begin"/>
      </w:r>
      <w:r w:rsidR="00180E6F">
        <w:instrText xml:space="preserve"> XE "</w:instrText>
      </w:r>
      <w:r w:rsidR="00180E6F" w:rsidRPr="00502317">
        <w:rPr>
          <w:rFonts w:cs="Times New Roman"/>
        </w:rPr>
        <w:instrText>lien</w:instrText>
      </w:r>
      <w:r w:rsidR="00180E6F">
        <w:instrText xml:space="preserve">" </w:instrText>
      </w:r>
      <w:r w:rsidR="001858B5">
        <w:rPr>
          <w:rFonts w:cs="Times New Roman"/>
        </w:rPr>
        <w:fldChar w:fldCharType="end"/>
      </w:r>
      <w:r w:rsidRPr="00124B71">
        <w:rPr>
          <w:rFonts w:cs="Times New Roman"/>
        </w:rPr>
        <w:t xml:space="preserve"> on the property which can be exercised to force a sale to satisfy the debt. At the time of a sale, all proceeds first go to settling this indebtedness before any residual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goes to the seller. Foreclosures are always public auctions where the lender must notify the general public in advance, and the general public must be allowed to bid on the property. This public auction is necessary to prevent the lender from forcing the borrower to sell the property at a below market price to the lender who could then resell it for a profit on the open market.</w:t>
      </w:r>
    </w:p>
    <w:p w14:paraId="22F22082" w14:textId="77777777" w:rsidR="007A3A92" w:rsidRPr="00124B71" w:rsidRDefault="007A3A92" w:rsidP="002D7DDD">
      <w:pPr>
        <w:rPr>
          <w:rFonts w:cs="Times New Roman"/>
        </w:rPr>
      </w:pPr>
      <w:r w:rsidRPr="00124B71">
        <w:rPr>
          <w:rFonts w:cs="Times New Roman"/>
        </w:rPr>
        <w:t>Lenders do not want to own real estate. Lenders are in the business of loaning money and collecting fees and interest. At a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auction the lender will </w:t>
      </w:r>
      <w:r w:rsidR="00A55A88" w:rsidRPr="00124B71">
        <w:rPr>
          <w:rFonts w:cs="Times New Roman"/>
        </w:rPr>
        <w:t xml:space="preserve">generally </w:t>
      </w:r>
      <w:r w:rsidRPr="00124B71">
        <w:rPr>
          <w:rFonts w:cs="Times New Roman"/>
        </w:rPr>
        <w:t>bid on the property up to the value of the loan</w:t>
      </w:r>
      <w:r w:rsidR="00732642" w:rsidRPr="00124B71">
        <w:rPr>
          <w:rFonts w:cs="Times New Roman"/>
        </w:rPr>
        <w:t>.</w:t>
      </w:r>
      <w:r w:rsidR="00E625C5" w:rsidRPr="00124B71">
        <w:rPr>
          <w:rFonts w:cs="Times New Roman"/>
        </w:rPr>
        <w:t xml:space="preserve"> </w:t>
      </w:r>
      <w:r w:rsidR="00A55A88" w:rsidRPr="00124B71">
        <w:rPr>
          <w:rStyle w:val="EndnoteReference"/>
          <w:rFonts w:cs="Times New Roman"/>
        </w:rPr>
        <w:endnoteReference w:id="135"/>
      </w:r>
      <w:r w:rsidRPr="00124B71">
        <w:rPr>
          <w:rFonts w:cs="Times New Roman"/>
        </w:rPr>
        <w:t xml:space="preserve"> This ensures auction bids will be high enough to satisfy the outstanding loan amount. The lenders do not want to be the highest bidder. They would rather someone else bid over the loan amount and make them whole. If they end up being the highest bidder, then they must manage the property and ultimately arrange for its sale in the non-auction real estate market. There are costs and fees associated with this endeavor which eats in to the final disposition amount garnered from the final sale of the property. These fees generally increase the loss for the lender.</w:t>
      </w:r>
    </w:p>
    <w:p w14:paraId="3DD5EE9F" w14:textId="77777777" w:rsidR="007A3A92" w:rsidRPr="00EF0EDA" w:rsidRDefault="007A3A92" w:rsidP="007A3A92">
      <w:pPr>
        <w:pStyle w:val="Heading3"/>
      </w:pPr>
      <w:bookmarkStart w:id="235" w:name="_Toc238867402"/>
      <w:r w:rsidRPr="00EF0EDA">
        <w:t>Recourse vs. Non-Recourse Loans</w:t>
      </w:r>
      <w:bookmarkEnd w:id="235"/>
    </w:p>
    <w:p w14:paraId="533029F8" w14:textId="77777777" w:rsidR="007A3A92" w:rsidRPr="00124B71" w:rsidRDefault="007A3A92" w:rsidP="002D7DDD">
      <w:pPr>
        <w:rPr>
          <w:rFonts w:cs="Times New Roman"/>
        </w:rPr>
      </w:pPr>
      <w:r w:rsidRPr="00124B71">
        <w:rPr>
          <w:rFonts w:cs="Times New Roman"/>
        </w:rPr>
        <w:t>Loans used to purchase real estate assets can be either recourse loans or non-recourse</w:t>
      </w:r>
      <w:r w:rsidR="001858B5">
        <w:rPr>
          <w:rFonts w:cs="Times New Roman"/>
        </w:rPr>
        <w:fldChar w:fldCharType="begin"/>
      </w:r>
      <w:r w:rsidR="00A7313A">
        <w:instrText xml:space="preserve"> XE "</w:instrText>
      </w:r>
      <w:r w:rsidR="00A7313A" w:rsidRPr="003432A5">
        <w:rPr>
          <w:rFonts w:cs="Times New Roman"/>
        </w:rPr>
        <w:instrText>non-recourse</w:instrText>
      </w:r>
      <w:r w:rsidR="00A7313A">
        <w:instrText xml:space="preserve">" </w:instrText>
      </w:r>
      <w:r w:rsidR="001858B5">
        <w:rPr>
          <w:rFonts w:cs="Times New Roman"/>
        </w:rPr>
        <w:fldChar w:fldCharType="end"/>
      </w:r>
      <w:r w:rsidRPr="00124B71">
        <w:rPr>
          <w:rFonts w:cs="Times New Roman"/>
        </w:rPr>
        <w:t xml:space="preserve"> loans. A recourse loan is one where the lender can sue the borrower for any amount owed in the terms of the loan contract. As with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laws, whether a loan is recourse or non-recourse varies from state to state. In California, all purchase money mortgages are non-recourse loans. In most states, including California, all refinances, home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w:t>
      </w:r>
      <w:r w:rsidR="001858B5">
        <w:rPr>
          <w:rFonts w:cs="Times New Roman"/>
        </w:rPr>
        <w:fldChar w:fldCharType="begin"/>
      </w:r>
      <w:r w:rsidR="00FA2AEF">
        <w:instrText xml:space="preserve"> XE "</w:instrText>
      </w:r>
      <w:r w:rsidR="00FA2AEF" w:rsidRPr="006C558D">
        <w:rPr>
          <w:rFonts w:cs="Times New Roman"/>
        </w:rPr>
        <w:instrText>home equity lines of credit</w:instrText>
      </w:r>
      <w:r w:rsidR="00FA2AEF">
        <w:instrText xml:space="preserve">" </w:instrText>
      </w:r>
      <w:r w:rsidR="001858B5">
        <w:rPr>
          <w:rFonts w:cs="Times New Roman"/>
        </w:rPr>
        <w:fldChar w:fldCharType="end"/>
      </w:r>
      <w:r w:rsidRPr="00124B71">
        <w:rPr>
          <w:rFonts w:cs="Times New Roman"/>
        </w:rPr>
        <w:t xml:space="preserve">lines of credit or </w:t>
      </w:r>
      <w:r w:rsidRPr="00124B71">
        <w:rPr>
          <w:rFonts w:cs="Times New Roman"/>
        </w:rPr>
        <w:lastRenderedPageBreak/>
        <w:t>other loans not used to purchase the property will be recourse loans. This distinction becomes very important in a foreclosure or short sale. If a loan is non-recourse, the lender cannot collect from the borrower for deficiency under any circumstances. The sale and closing of the property is the end of the matter: the debt does not survive. If the loan is a recourse loan the lender may have the right under certain circumstances to go after the borrowers assets after a foreclosure. This depends on whether the foreclosure was judicial or non-judicial.</w:t>
      </w:r>
    </w:p>
    <w:p w14:paraId="79C6F19F" w14:textId="77777777" w:rsidR="007A3A92" w:rsidRPr="00EF0EDA" w:rsidRDefault="007A3A92" w:rsidP="007A3A92">
      <w:pPr>
        <w:pStyle w:val="Heading3"/>
      </w:pPr>
      <w:bookmarkStart w:id="236" w:name="_Toc238867403"/>
      <w:r w:rsidRPr="00EF0EDA">
        <w:t>Judicial vs. Non-Judicial Foreclosure</w:t>
      </w:r>
      <w:bookmarkEnd w:id="236"/>
    </w:p>
    <w:p w14:paraId="60305B7E" w14:textId="77777777" w:rsidR="007A3A92" w:rsidRPr="00124B71" w:rsidRDefault="007A3A92" w:rsidP="002D7DDD">
      <w:pPr>
        <w:rPr>
          <w:rFonts w:cs="Times New Roman"/>
        </w:rPr>
      </w:pPr>
      <w:r w:rsidRPr="00124B71">
        <w:rPr>
          <w:rFonts w:cs="Times New Roman"/>
        </w:rPr>
        <w:t>Foreclosure proceedings in most states can be either judicial or non-judicial at the lenders discretion. The lender has the right to sue the borrower in a court of law for repayment of the debt on the property. This legal action is a judicial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A judicial foreclosure</w:t>
      </w:r>
      <w:r w:rsidR="001858B5">
        <w:rPr>
          <w:rFonts w:cs="Times New Roman"/>
        </w:rPr>
        <w:fldChar w:fldCharType="begin"/>
      </w:r>
      <w:r w:rsidR="00074436">
        <w:instrText xml:space="preserve"> XE "</w:instrText>
      </w:r>
      <w:r w:rsidR="00074436" w:rsidRPr="00E019A4">
        <w:rPr>
          <w:rFonts w:cs="Times New Roman"/>
        </w:rPr>
        <w:instrText>judicial foreclosure</w:instrText>
      </w:r>
      <w:r w:rsidR="00074436">
        <w:instrText xml:space="preserve">" </w:instrText>
      </w:r>
      <w:r w:rsidR="001858B5">
        <w:rPr>
          <w:rFonts w:cs="Times New Roman"/>
        </w:rPr>
        <w:fldChar w:fldCharType="end"/>
      </w:r>
      <w:r w:rsidRPr="00124B71">
        <w:rPr>
          <w:rFonts w:cs="Times New Roman"/>
        </w:rPr>
        <w:t xml:space="preserve"> is slower and costlier than a non-judicial foreclosure. The mortgage agreement has a provision where the borrower authorizes the lender to sell the property at a public auction if the borrower fails to pay the debt. A lender can exercise this right without a court order, and therefore it is considered a non-judicial foreclosure. It is faster and less expensive to perform a non-judicial foreclosure because no attorneys are involved and there is no waiting for a case to come up on a court’s schedule; however, there is a problem with non-judicial foreclosure, in most states the lender waives their rights to obtain money in a deficiency situation because no deficiency judgment is entered in the court record. When faced with deciding between a judicial or non-judicial foreclosure, the lender must weigh the cost and time of a judicial foreclosure against the probability of actually collecting any </w:t>
      </w:r>
      <w:r w:rsidR="00DC1B72" w:rsidRPr="00124B71">
        <w:rPr>
          <w:rFonts w:cs="Times New Roman"/>
        </w:rPr>
        <w:t xml:space="preserve">money with a </w:t>
      </w:r>
      <w:r w:rsidRPr="00124B71">
        <w:rPr>
          <w:rFonts w:cs="Times New Roman"/>
        </w:rPr>
        <w:t>deficiency judgment. If a borrower is insolvent, which they often are if they are going through a foreclosure, they may not have enough money or other assets for the lender to collect on the deficiency judgment. In these circumstances, the lender will foreclose with a non-judicial procedure to minimize their losses. In these circumstances the borrower is not liable for repayment on the deficiency.</w:t>
      </w:r>
    </w:p>
    <w:p w14:paraId="3A32DED8" w14:textId="77777777" w:rsidR="007A3A92" w:rsidRPr="00EF0EDA" w:rsidRDefault="007A3A92" w:rsidP="007A3A92">
      <w:pPr>
        <w:pStyle w:val="Heading3"/>
      </w:pPr>
      <w:bookmarkStart w:id="237" w:name="_Toc238867404"/>
      <w:r w:rsidRPr="00EF0EDA">
        <w:t>Tax Implications</w:t>
      </w:r>
      <w:bookmarkEnd w:id="237"/>
    </w:p>
    <w:p w14:paraId="4C9BD7CA" w14:textId="77777777" w:rsidR="007A3A92" w:rsidRPr="00124B71" w:rsidRDefault="007A3A92" w:rsidP="002D7DDD">
      <w:pPr>
        <w:rPr>
          <w:rFonts w:cs="Times New Roman"/>
        </w:rPr>
      </w:pPr>
      <w:r w:rsidRPr="00124B71">
        <w:rPr>
          <w:rFonts w:cs="Times New Roman"/>
        </w:rPr>
        <w:t>Prior to the Great Housing Bubble, if a mortgage debt was forgiven, the amount of forgiven debt was subject to taxation as ordinary income. Since people who lost their house under these circumstances were already financially ruined, this tax provision was seen as unduly burdensome to those it was levied against. The President signed into law the Mortgage Forgiveness Debt Relief Act of 2007</w:t>
      </w:r>
      <w:r w:rsidR="001858B5">
        <w:rPr>
          <w:rFonts w:cs="Times New Roman"/>
        </w:rPr>
        <w:fldChar w:fldCharType="begin"/>
      </w:r>
      <w:r w:rsidR="00074436">
        <w:instrText xml:space="preserve"> XE "</w:instrText>
      </w:r>
      <w:r w:rsidR="00074436" w:rsidRPr="008350C3">
        <w:rPr>
          <w:rFonts w:cs="Times New Roman"/>
        </w:rPr>
        <w:instrText>Mortgage Forgiveness Debt Relief Act of 2007</w:instrText>
      </w:r>
      <w:r w:rsidR="00074436">
        <w:instrText xml:space="preserve">" </w:instrText>
      </w:r>
      <w:r w:rsidR="001858B5">
        <w:rPr>
          <w:rFonts w:cs="Times New Roman"/>
        </w:rPr>
        <w:fldChar w:fldCharType="end"/>
      </w:r>
      <w:r w:rsidRPr="00124B71">
        <w:rPr>
          <w:rFonts w:cs="Times New Roman"/>
        </w:rPr>
        <w:t xml:space="preserve"> to relieve the federal income tax burden on debt forgiven in a short sale,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dead in lieu of foreclosure, or a loan restructuring where the principal amount was reduced. This tax relief is only given to an owner’s principal residence and only for debt used to acquire the property. Speculative properties purchased as second or third homes are not covered, and debt incurred after the purchase through refinancing or opening new credit lines is not covered. This tax change made it easier for some borrowers to make the </w:t>
      </w:r>
      <w:r w:rsidRPr="00124B71">
        <w:rPr>
          <w:rFonts w:cs="Times New Roman"/>
        </w:rPr>
        <w:lastRenderedPageBreak/>
        <w:t>decision to go through a foreclosure because it removed one of the negative consequences of the decision.</w:t>
      </w:r>
    </w:p>
    <w:p w14:paraId="11B239A0" w14:textId="77777777" w:rsidR="00024D7F" w:rsidRPr="00EF0EDA" w:rsidRDefault="00024D7F" w:rsidP="00E56A4A">
      <w:pPr>
        <w:pStyle w:val="Heading2"/>
      </w:pPr>
      <w:bookmarkStart w:id="238" w:name="_Toc238867405"/>
      <w:r w:rsidRPr="00EF0EDA">
        <w:t>A Buyer’s Market</w:t>
      </w:r>
      <w:bookmarkEnd w:id="238"/>
    </w:p>
    <w:p w14:paraId="7D596F69" w14:textId="77777777" w:rsidR="001767A9" w:rsidRPr="00124B71" w:rsidRDefault="001767A9" w:rsidP="002D7DDD">
      <w:pPr>
        <w:rPr>
          <w:rFonts w:cs="Times New Roman"/>
        </w:rPr>
      </w:pPr>
      <w:r w:rsidRPr="00124B71">
        <w:rPr>
          <w:rFonts w:cs="Times New Roman"/>
        </w:rPr>
        <w:t>When the market turned up in the late 19</w:t>
      </w:r>
      <w:r w:rsidR="009767F5" w:rsidRPr="00124B71">
        <w:rPr>
          <w:rFonts w:cs="Times New Roman"/>
        </w:rPr>
        <w:t>90s</w:t>
      </w:r>
      <w:r w:rsidRPr="00124B71">
        <w:rPr>
          <w:rFonts w:cs="Times New Roman"/>
        </w:rPr>
        <w:t xml:space="preserve"> the market shifted. During the last decline, the buyers had an advantage. During the bubble the advantage went to the sellers. The seller’s market went on for so long and became so feverish that people have forgotten (or may never have known) what it was like to see buyers in control of the action. </w:t>
      </w:r>
      <w:r w:rsidR="002270D5" w:rsidRPr="00124B71">
        <w:rPr>
          <w:rFonts w:cs="Times New Roman"/>
        </w:rPr>
        <w:t>Buyers need to be re-educated</w:t>
      </w:r>
      <w:r w:rsidRPr="00124B71">
        <w:rPr>
          <w:rFonts w:cs="Times New Roman"/>
        </w:rPr>
        <w:t xml:space="preserve"> on how to behave in a buyer’s market.</w:t>
      </w:r>
      <w:r w:rsidR="002270D5" w:rsidRPr="00124B71">
        <w:rPr>
          <w:rFonts w:cs="Times New Roman"/>
        </w:rPr>
        <w:t xml:space="preserve"> </w:t>
      </w:r>
      <w:r w:rsidRPr="00124B71">
        <w:rPr>
          <w:rFonts w:cs="Times New Roman"/>
        </w:rPr>
        <w:t xml:space="preserve">Buyers must remember they are the ones in control. </w:t>
      </w:r>
      <w:r w:rsidRPr="00124B71">
        <w:rPr>
          <w:rStyle w:val="Emphasis"/>
          <w:rFonts w:cs="Times New Roman"/>
          <w:b w:val="0"/>
          <w:i w:val="0"/>
        </w:rPr>
        <w:t>Buyers</w:t>
      </w:r>
      <w:r w:rsidRPr="00124B71">
        <w:rPr>
          <w:rStyle w:val="Emphasis"/>
          <w:rFonts w:cs="Times New Roman"/>
        </w:rPr>
        <w:t xml:space="preserve"> </w:t>
      </w:r>
      <w:r w:rsidRPr="00124B71">
        <w:rPr>
          <w:rFonts w:cs="Times New Roman"/>
        </w:rPr>
        <w:t xml:space="preserve">are the scarce </w:t>
      </w:r>
      <w:r w:rsidR="001611C2" w:rsidRPr="00124B71">
        <w:rPr>
          <w:rFonts w:cs="Times New Roman"/>
        </w:rPr>
        <w:t>resource</w:t>
      </w:r>
      <w:r w:rsidRPr="00124B71">
        <w:rPr>
          <w:rFonts w:cs="Times New Roman"/>
        </w:rPr>
        <w:t xml:space="preserve"> in the marketplace. The seller is one of many for the buyer to choose from, and all sellers are desperate. Sellers need buyers. Buyers do not need sellers. No matter which seller the buyer purchases from, the buyer is going to leave all the other sellers disappointed because they are going to continue to be trapped in their </w:t>
      </w:r>
      <w:r w:rsidR="00EE7CAE" w:rsidRPr="00124B71">
        <w:rPr>
          <w:rFonts w:cs="Times New Roman"/>
        </w:rPr>
        <w:t>homeowner</w:t>
      </w:r>
      <w:r w:rsidRPr="00124B71">
        <w:rPr>
          <w:rFonts w:cs="Times New Roman"/>
        </w:rPr>
        <w:t>’s prison</w:t>
      </w:r>
      <w:r w:rsidR="00E625C5" w:rsidRPr="00124B71">
        <w:rPr>
          <w:rFonts w:cs="Times New Roman"/>
        </w:rPr>
        <w:t xml:space="preserve">. </w:t>
      </w:r>
      <w:r w:rsidR="00DC1B72" w:rsidRPr="00124B71">
        <w:rPr>
          <w:rStyle w:val="EndnoteReference"/>
          <w:rFonts w:cs="Times New Roman"/>
        </w:rPr>
        <w:endnoteReference w:id="136"/>
      </w:r>
      <w:r w:rsidRPr="00124B71">
        <w:rPr>
          <w:rFonts w:cs="Times New Roman"/>
        </w:rPr>
        <w:t xml:space="preserve"> Buyers ca</w:t>
      </w:r>
      <w:r w:rsidR="00BD30B2" w:rsidRPr="00124B71">
        <w:rPr>
          <w:rFonts w:cs="Times New Roman"/>
        </w:rPr>
        <w:t>n</w:t>
      </w:r>
      <w:r w:rsidRPr="00124B71">
        <w:rPr>
          <w:rFonts w:cs="Times New Roman"/>
        </w:rPr>
        <w:t>not please everyone, so they should focus on pleasing themselves.</w:t>
      </w:r>
    </w:p>
    <w:p w14:paraId="6B140980" w14:textId="77777777" w:rsidR="001767A9" w:rsidRPr="00124B71" w:rsidRDefault="001767A9" w:rsidP="002D7DDD">
      <w:pPr>
        <w:rPr>
          <w:rFonts w:cs="Times New Roman"/>
        </w:rPr>
      </w:pPr>
      <w:r w:rsidRPr="00124B71">
        <w:rPr>
          <w:rFonts w:cs="Times New Roman"/>
        </w:rPr>
        <w:t xml:space="preserve">Buyers should </w:t>
      </w:r>
      <w:r w:rsidR="00BD30B2" w:rsidRPr="00124B71">
        <w:rPr>
          <w:rFonts w:cs="Times New Roman"/>
        </w:rPr>
        <w:t xml:space="preserve">not </w:t>
      </w:r>
      <w:r w:rsidRPr="00124B71">
        <w:rPr>
          <w:rFonts w:cs="Times New Roman"/>
        </w:rPr>
        <w:t>become concerned with the sellers needs, wants and problems. Does it matter if this house is the seller’s entire savings for retirement? Should a buyer care if a sale below a certain price puts the seller into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Pr="00124B71">
        <w:rPr>
          <w:rFonts w:cs="Times New Roman"/>
        </w:rPr>
        <w:t>? Buyers need to ask themselves, “Would I give the seller money if I were not buying their home?” Unless the buyer is running a charity,</w:t>
      </w:r>
      <w:r w:rsidR="00BD30B2" w:rsidRPr="00124B71">
        <w:rPr>
          <w:rFonts w:cs="Times New Roman"/>
        </w:rPr>
        <w:t xml:space="preserve"> the answer should be no, and</w:t>
      </w:r>
      <w:r w:rsidRPr="00124B71">
        <w:rPr>
          <w:rFonts w:cs="Times New Roman"/>
        </w:rPr>
        <w:t xml:space="preserve"> </w:t>
      </w:r>
      <w:r w:rsidR="001611C2" w:rsidRPr="00124B71">
        <w:rPr>
          <w:rFonts w:cs="Times New Roman"/>
        </w:rPr>
        <w:t>she</w:t>
      </w:r>
      <w:r w:rsidRPr="00124B71">
        <w:rPr>
          <w:rFonts w:cs="Times New Roman"/>
        </w:rPr>
        <w:t xml:space="preserve"> should not care about the consequences of the seller’s financial decisions. The seller created </w:t>
      </w:r>
      <w:r w:rsidR="001611C2" w:rsidRPr="00124B71">
        <w:rPr>
          <w:rFonts w:cs="Times New Roman"/>
        </w:rPr>
        <w:t>her</w:t>
      </w:r>
      <w:r w:rsidRPr="00124B71">
        <w:rPr>
          <w:rFonts w:cs="Times New Roman"/>
        </w:rPr>
        <w:t xml:space="preserve"> own problems; it is not the buyer’s responsibility to solve these problems by overpaying for a house.</w:t>
      </w:r>
    </w:p>
    <w:p w14:paraId="7ABD652A" w14:textId="77777777" w:rsidR="001767A9" w:rsidRPr="00EF0EDA" w:rsidRDefault="001767A9" w:rsidP="00E56A4A">
      <w:pPr>
        <w:pStyle w:val="Heading3"/>
      </w:pPr>
      <w:bookmarkStart w:id="239" w:name="_Toc238867406"/>
      <w:r w:rsidRPr="00EF0EDA">
        <w:t>Pay the Lowest Possible Price</w:t>
      </w:r>
      <w:bookmarkEnd w:id="239"/>
    </w:p>
    <w:p w14:paraId="4EDEEB3A" w14:textId="77777777" w:rsidR="001767A9" w:rsidRPr="00124B71" w:rsidRDefault="001767A9" w:rsidP="002D7DDD">
      <w:pPr>
        <w:rPr>
          <w:rFonts w:cs="Times New Roman"/>
        </w:rPr>
      </w:pPr>
      <w:r w:rsidRPr="00124B71">
        <w:rPr>
          <w:rFonts w:cs="Times New Roman"/>
        </w:rPr>
        <w:t xml:space="preserve">This may sound like common sense, but the behavior of </w:t>
      </w:r>
      <w:r w:rsidR="00B148C5" w:rsidRPr="00124B71">
        <w:rPr>
          <w:rFonts w:cs="Times New Roman"/>
        </w:rPr>
        <w:t>many buyers</w:t>
      </w:r>
      <w:r w:rsidRPr="00124B71">
        <w:rPr>
          <w:rFonts w:cs="Times New Roman"/>
        </w:rPr>
        <w:t xml:space="preserve"> during the early part of the decline demonstrated a lack of understanding of this principal. Buyers should not ask for or take any incentives, and they should pay their own closing costs. They are paying for </w:t>
      </w:r>
      <w:r w:rsidR="00B148C5" w:rsidRPr="00124B71">
        <w:rPr>
          <w:rFonts w:cs="Times New Roman"/>
        </w:rPr>
        <w:t>all these incentives</w:t>
      </w:r>
      <w:r w:rsidRPr="00124B71">
        <w:rPr>
          <w:rFonts w:cs="Times New Roman"/>
        </w:rPr>
        <w:t>; it is just buried in the loan. They will be paying interest on this purchase for the next 30 years, and the buyer will be paying property tax on these costs for as long as they own the house. Buyers are far, far better off lowering the price and foregoing the incentives and paying their own closing costs.</w:t>
      </w:r>
      <w:r w:rsidR="002270D5" w:rsidRPr="00124B71">
        <w:rPr>
          <w:rFonts w:cs="Times New Roman"/>
        </w:rPr>
        <w:t xml:space="preserve"> </w:t>
      </w:r>
      <w:r w:rsidRPr="00124B71">
        <w:rPr>
          <w:rFonts w:cs="Times New Roman"/>
        </w:rPr>
        <w:t>A buyer’s brokerage typically kicks back 2% at closing. Work out a deal with them in advance where they will agree to take a 1% commission at the closing so the price can lowered by 2%. Again, the buyer is paying taxes on the purchase price, so they should make this as low as possible.</w:t>
      </w:r>
    </w:p>
    <w:p w14:paraId="58F2EA5C" w14:textId="77777777" w:rsidR="001767A9" w:rsidRPr="00EF0EDA" w:rsidRDefault="001767A9" w:rsidP="00E56A4A">
      <w:pPr>
        <w:pStyle w:val="Heading3"/>
      </w:pPr>
      <w:bookmarkStart w:id="240" w:name="_Toc238867407"/>
      <w:r w:rsidRPr="00EF0EDA">
        <w:t>The First Offer is the Best Offer</w:t>
      </w:r>
      <w:bookmarkEnd w:id="240"/>
      <w:r w:rsidRPr="00EF0EDA">
        <w:t xml:space="preserve"> </w:t>
      </w:r>
    </w:p>
    <w:p w14:paraId="7A15A08A" w14:textId="77777777" w:rsidR="00D220A6" w:rsidRPr="00124B71" w:rsidRDefault="001767A9" w:rsidP="002D7DDD">
      <w:pPr>
        <w:rPr>
          <w:rFonts w:cs="Times New Roman"/>
        </w:rPr>
      </w:pPr>
      <w:r w:rsidRPr="00124B71">
        <w:rPr>
          <w:rFonts w:cs="Times New Roman"/>
        </w:rPr>
        <w:t xml:space="preserve">This is the most counter-intuitive part of buying in a buyer’s market. Ordinarily sellers, or more accurately the seller’s realtor, try to create a sense of urgency to buy the house. They want the buyer to think other people are </w:t>
      </w:r>
      <w:r w:rsidRPr="00124B71">
        <w:rPr>
          <w:rFonts w:cs="Times New Roman"/>
        </w:rPr>
        <w:lastRenderedPageBreak/>
        <w:t>looking</w:t>
      </w:r>
      <w:r w:rsidR="00D220A6" w:rsidRPr="00124B71">
        <w:rPr>
          <w:rFonts w:cs="Times New Roman"/>
        </w:rPr>
        <w:t>,</w:t>
      </w:r>
      <w:r w:rsidRPr="00124B71">
        <w:rPr>
          <w:rFonts w:cs="Times New Roman"/>
        </w:rPr>
        <w:t xml:space="preserve"> there is going to be a bidding war,</w:t>
      </w:r>
      <w:r w:rsidR="00D220A6" w:rsidRPr="00124B71">
        <w:rPr>
          <w:rFonts w:cs="Times New Roman"/>
        </w:rPr>
        <w:t xml:space="preserve"> and</w:t>
      </w:r>
      <w:r w:rsidRPr="00124B71">
        <w:rPr>
          <w:rFonts w:cs="Times New Roman"/>
        </w:rPr>
        <w:t xml:space="preserve"> the buyer needs</w:t>
      </w:r>
      <w:r w:rsidR="00D220A6" w:rsidRPr="00124B71">
        <w:rPr>
          <w:rFonts w:cs="Times New Roman"/>
        </w:rPr>
        <w:t xml:space="preserve"> to get an offer in today. Realtors</w:t>
      </w:r>
      <w:r w:rsidR="001858B5">
        <w:rPr>
          <w:rFonts w:cs="Times New Roman"/>
        </w:rPr>
        <w:fldChar w:fldCharType="begin"/>
      </w:r>
      <w:r w:rsidR="001A53F8">
        <w:instrText xml:space="preserve"> XE "</w:instrText>
      </w:r>
      <w:r w:rsidR="001A53F8" w:rsidRPr="00957A14">
        <w:rPr>
          <w:rFonts w:cs="Times New Roman"/>
        </w:rPr>
        <w:instrText>Realtors</w:instrText>
      </w:r>
      <w:r w:rsidR="001A53F8">
        <w:instrText xml:space="preserve">" </w:instrText>
      </w:r>
      <w:r w:rsidR="001858B5">
        <w:rPr>
          <w:rFonts w:cs="Times New Roman"/>
        </w:rPr>
        <w:fldChar w:fldCharType="end"/>
      </w:r>
      <w:r w:rsidR="00D220A6" w:rsidRPr="00124B71">
        <w:rPr>
          <w:rFonts w:cs="Times New Roman"/>
        </w:rPr>
        <w:t xml:space="preserve"> thrive by creating fear in buyers. They will use lines like</w:t>
      </w:r>
      <w:r w:rsidR="000820E4" w:rsidRPr="00124B71">
        <w:rPr>
          <w:rFonts w:cs="Times New Roman"/>
        </w:rPr>
        <w:t>:</w:t>
      </w:r>
    </w:p>
    <w:p w14:paraId="2ABCB529" w14:textId="77777777" w:rsidR="000820E4" w:rsidRDefault="000820E4" w:rsidP="000820E4">
      <w:pPr>
        <w:pStyle w:val="ListParagraph"/>
        <w:numPr>
          <w:ilvl w:val="0"/>
          <w:numId w:val="36"/>
        </w:numPr>
      </w:pPr>
      <w:r>
        <w:t>It is a good time to buy!</w:t>
      </w:r>
    </w:p>
    <w:p w14:paraId="247EB672" w14:textId="77777777" w:rsidR="000820E4" w:rsidRDefault="000820E4" w:rsidP="000820E4">
      <w:pPr>
        <w:pStyle w:val="ListParagraph"/>
        <w:numPr>
          <w:ilvl w:val="0"/>
          <w:numId w:val="36"/>
        </w:numPr>
      </w:pPr>
      <w:r>
        <w:t>Hurry. This one won't last.</w:t>
      </w:r>
    </w:p>
    <w:p w14:paraId="2C29F102" w14:textId="77777777" w:rsidR="000820E4" w:rsidRDefault="000820E4" w:rsidP="000820E4">
      <w:pPr>
        <w:pStyle w:val="ListParagraph"/>
        <w:numPr>
          <w:ilvl w:val="0"/>
          <w:numId w:val="36"/>
        </w:numPr>
      </w:pPr>
      <w:r>
        <w:t>Don't throw away your money on rent.</w:t>
      </w:r>
    </w:p>
    <w:p w14:paraId="600F990A" w14:textId="77777777" w:rsidR="000820E4" w:rsidRDefault="000820E4" w:rsidP="000820E4">
      <w:pPr>
        <w:pStyle w:val="ListParagraph"/>
        <w:numPr>
          <w:ilvl w:val="0"/>
          <w:numId w:val="36"/>
        </w:numPr>
      </w:pPr>
      <w:r>
        <w:t>If you are serious, you had better buy now or you might be priced out of the market.</w:t>
      </w:r>
    </w:p>
    <w:p w14:paraId="516F0121" w14:textId="77777777" w:rsidR="000820E4" w:rsidRDefault="000820E4" w:rsidP="000820E4">
      <w:pPr>
        <w:pStyle w:val="ListParagraph"/>
        <w:numPr>
          <w:ilvl w:val="0"/>
          <w:numId w:val="36"/>
        </w:numPr>
      </w:pPr>
      <w:r>
        <w:t>They are not making land anymore.</w:t>
      </w:r>
    </w:p>
    <w:p w14:paraId="2A8B296E" w14:textId="77777777" w:rsidR="000820E4" w:rsidRDefault="00B148C5" w:rsidP="000820E4">
      <w:pPr>
        <w:pStyle w:val="ListParagraph"/>
        <w:numPr>
          <w:ilvl w:val="0"/>
          <w:numId w:val="36"/>
        </w:numPr>
      </w:pPr>
      <w:r>
        <w:t>I</w:t>
      </w:r>
      <w:r w:rsidR="000820E4">
        <w:t>f you see a property you love, you really need to make an offer.</w:t>
      </w:r>
    </w:p>
    <w:p w14:paraId="37C11DA7" w14:textId="77777777" w:rsidR="000820E4" w:rsidRDefault="000820E4" w:rsidP="000820E4">
      <w:pPr>
        <w:pStyle w:val="ListParagraph"/>
        <w:numPr>
          <w:ilvl w:val="0"/>
          <w:numId w:val="36"/>
        </w:numPr>
      </w:pPr>
      <w:r>
        <w:t>The more earnest money you put down, the more seriously your offer is taken.</w:t>
      </w:r>
    </w:p>
    <w:p w14:paraId="069B6E75" w14:textId="77777777" w:rsidR="000820E4" w:rsidRDefault="000820E4" w:rsidP="000820E4">
      <w:pPr>
        <w:pStyle w:val="ListParagraph"/>
        <w:numPr>
          <w:ilvl w:val="0"/>
          <w:numId w:val="36"/>
        </w:numPr>
      </w:pPr>
      <w:r>
        <w:t>Things have been a bit slower than last year, but the last two weeks we have seen a lot more traffic.</w:t>
      </w:r>
    </w:p>
    <w:p w14:paraId="13E9295E" w14:textId="77777777" w:rsidR="000820E4" w:rsidRDefault="000820E4" w:rsidP="000820E4">
      <w:pPr>
        <w:pStyle w:val="ListParagraph"/>
        <w:numPr>
          <w:ilvl w:val="0"/>
          <w:numId w:val="36"/>
        </w:numPr>
      </w:pPr>
      <w:r>
        <w:t>Rates are at all time lows and buyers have more choice than ever!</w:t>
      </w:r>
    </w:p>
    <w:p w14:paraId="72E4AABA" w14:textId="77777777" w:rsidR="00B148C5" w:rsidRDefault="00B148C5" w:rsidP="00B148C5">
      <w:pPr>
        <w:pStyle w:val="ListParagraph"/>
        <w:numPr>
          <w:ilvl w:val="0"/>
          <w:numId w:val="36"/>
        </w:numPr>
      </w:pPr>
      <w:r>
        <w:t>Rates are creeping up, so you better get in now.</w:t>
      </w:r>
    </w:p>
    <w:p w14:paraId="49768886" w14:textId="77777777" w:rsidR="000820E4" w:rsidRDefault="000820E4" w:rsidP="000820E4">
      <w:pPr>
        <w:pStyle w:val="ListParagraph"/>
        <w:numPr>
          <w:ilvl w:val="0"/>
          <w:numId w:val="36"/>
        </w:numPr>
      </w:pPr>
      <w:r>
        <w:t>If you wait until the bottom, you will miss out on getting a property that you really like.</w:t>
      </w:r>
    </w:p>
    <w:p w14:paraId="6360462F" w14:textId="77777777" w:rsidR="000820E4" w:rsidRDefault="000820E4" w:rsidP="000820E4">
      <w:pPr>
        <w:pStyle w:val="ListParagraph"/>
        <w:numPr>
          <w:ilvl w:val="0"/>
          <w:numId w:val="36"/>
        </w:numPr>
      </w:pPr>
      <w:r>
        <w:t>This property is priced at below market value.</w:t>
      </w:r>
    </w:p>
    <w:p w14:paraId="7F715A2E" w14:textId="77777777" w:rsidR="000820E4" w:rsidRDefault="000820E4" w:rsidP="000820E4">
      <w:pPr>
        <w:pStyle w:val="ListParagraph"/>
        <w:numPr>
          <w:ilvl w:val="0"/>
          <w:numId w:val="36"/>
        </w:numPr>
      </w:pPr>
      <w:r>
        <w:t>Incentives this good won't be available after...</w:t>
      </w:r>
    </w:p>
    <w:p w14:paraId="3A9D8023" w14:textId="77777777" w:rsidR="000820E4" w:rsidRDefault="000820E4" w:rsidP="000820E4">
      <w:pPr>
        <w:pStyle w:val="ListParagraph"/>
        <w:numPr>
          <w:ilvl w:val="0"/>
          <w:numId w:val="36"/>
        </w:numPr>
      </w:pPr>
      <w:r>
        <w:t>Don't worry about the asking price</w:t>
      </w:r>
      <w:r w:rsidR="00317936">
        <w:t xml:space="preserve">: </w:t>
      </w:r>
      <w:r>
        <w:t>just offer what you're willing to pay.</w:t>
      </w:r>
    </w:p>
    <w:p w14:paraId="47498812" w14:textId="77777777" w:rsidR="000820E4" w:rsidRDefault="000820E4" w:rsidP="000820E4">
      <w:pPr>
        <w:pStyle w:val="ListParagraph"/>
        <w:numPr>
          <w:ilvl w:val="0"/>
          <w:numId w:val="36"/>
        </w:numPr>
      </w:pPr>
      <w:r>
        <w:t>Don't worry. You can afford this house.</w:t>
      </w:r>
    </w:p>
    <w:p w14:paraId="6AF5EDB5" w14:textId="77777777" w:rsidR="000820E4" w:rsidRDefault="000820E4" w:rsidP="000820E4">
      <w:pPr>
        <w:pStyle w:val="ListParagraph"/>
        <w:numPr>
          <w:ilvl w:val="0"/>
          <w:numId w:val="36"/>
        </w:numPr>
      </w:pPr>
      <w:r>
        <w:t>I will show my client the offer, but I just want to let you know that we have another offer for more coming in this afternoon.</w:t>
      </w:r>
    </w:p>
    <w:p w14:paraId="77AD2A6B" w14:textId="77777777" w:rsidR="000820E4" w:rsidRDefault="000820E4" w:rsidP="000820E4">
      <w:pPr>
        <w:pStyle w:val="ListParagraph"/>
        <w:numPr>
          <w:ilvl w:val="0"/>
          <w:numId w:val="36"/>
        </w:numPr>
      </w:pPr>
      <w:r>
        <w:t>Trust me.</w:t>
      </w:r>
    </w:p>
    <w:p w14:paraId="494139D7" w14:textId="77777777" w:rsidR="000820E4" w:rsidRDefault="000820E4" w:rsidP="00C50961">
      <w:pPr>
        <w:pStyle w:val="ListParagraph"/>
        <w:numPr>
          <w:ilvl w:val="0"/>
          <w:numId w:val="36"/>
        </w:numPr>
        <w:spacing w:after="120"/>
      </w:pPr>
      <w:r>
        <w:t>It’s not just the commission. I really care about you.</w:t>
      </w:r>
    </w:p>
    <w:p w14:paraId="6654C764" w14:textId="77777777" w:rsidR="001767A9" w:rsidRPr="00124B71" w:rsidRDefault="001767A9" w:rsidP="00E56A4A">
      <w:pPr>
        <w:rPr>
          <w:rFonts w:cs="Times New Roman"/>
        </w:rPr>
      </w:pPr>
      <w:r w:rsidRPr="00124B71">
        <w:rPr>
          <w:rFonts w:cs="Times New Roman"/>
        </w:rPr>
        <w:t>In a buyer’s market these ploys are all lies</w:t>
      </w:r>
      <w:r w:rsidR="000820E4" w:rsidRPr="00124B71">
        <w:rPr>
          <w:rFonts w:cs="Times New Roman"/>
        </w:rPr>
        <w:t xml:space="preserve"> (the truthfulness</w:t>
      </w:r>
      <w:r w:rsidR="00B148C5" w:rsidRPr="00124B71">
        <w:rPr>
          <w:rFonts w:cs="Times New Roman"/>
        </w:rPr>
        <w:t xml:space="preserve"> of these statements</w:t>
      </w:r>
      <w:r w:rsidR="000820E4" w:rsidRPr="00124B71">
        <w:rPr>
          <w:rFonts w:cs="Times New Roman"/>
        </w:rPr>
        <w:t xml:space="preserve"> is questionable in all market conditions</w:t>
      </w:r>
      <w:r w:rsidR="00A40CA5" w:rsidRPr="00124B71">
        <w:rPr>
          <w:rFonts w:cs="Times New Roman"/>
        </w:rPr>
        <w:t>).</w:t>
      </w:r>
      <w:r w:rsidRPr="00124B71">
        <w:rPr>
          <w:rFonts w:cs="Times New Roman"/>
        </w:rPr>
        <w:t xml:space="preserve"> Generally, the buyer is the only prospective buyer, and they can take as long as they want to buy the house. The buyer’s task in negotiating is to create a sense of urgency and panic in the seller. This is why buyers should make their first offer their best offer.</w:t>
      </w:r>
    </w:p>
    <w:p w14:paraId="5D7242CF" w14:textId="77777777" w:rsidR="001767A9" w:rsidRPr="00124B71" w:rsidRDefault="002270D5" w:rsidP="00E56A4A">
      <w:pPr>
        <w:rPr>
          <w:rFonts w:cs="Times New Roman"/>
        </w:rPr>
      </w:pPr>
      <w:r w:rsidRPr="00124B71">
        <w:rPr>
          <w:rFonts w:cs="Times New Roman"/>
        </w:rPr>
        <w:t>There are many properties priced over market in a buyer’s market. Sellers resist the realities of the market environment. Asking prices that are much too high do not warrant buyer consideration. Most sellers will not reduce their asking prices more than 15% to consummate a transaction, so “lowballing</w:t>
      </w:r>
      <w:r w:rsidR="001858B5">
        <w:rPr>
          <w:rFonts w:cs="Times New Roman"/>
        </w:rPr>
        <w:fldChar w:fldCharType="begin"/>
      </w:r>
      <w:r w:rsidR="00074436">
        <w:instrText xml:space="preserve"> XE "</w:instrText>
      </w:r>
      <w:r w:rsidR="00074436" w:rsidRPr="00B04BC5">
        <w:rPr>
          <w:rFonts w:cs="Times New Roman"/>
        </w:rPr>
        <w:instrText>lowballing</w:instrText>
      </w:r>
      <w:r w:rsidR="00074436">
        <w:instrText xml:space="preserve">" </w:instrText>
      </w:r>
      <w:r w:rsidR="001858B5">
        <w:rPr>
          <w:rFonts w:cs="Times New Roman"/>
        </w:rPr>
        <w:fldChar w:fldCharType="end"/>
      </w:r>
      <w:r w:rsidRPr="00124B71">
        <w:rPr>
          <w:rFonts w:cs="Times New Roman"/>
        </w:rPr>
        <w:t>” a seller with an offer 25% from their asking price is a waste of everyone’s time. If the asking price is not within 15% of the price a buyer is willing to pay, the buyer should not even instigate a negotiation. If the asking price is within range, buyers should s</w:t>
      </w:r>
      <w:r w:rsidR="001767A9" w:rsidRPr="00124B71">
        <w:rPr>
          <w:rFonts w:cs="Times New Roman"/>
        </w:rPr>
        <w:t>tart with a bid at least 10% below asking price</w:t>
      </w:r>
      <w:r w:rsidRPr="00124B71">
        <w:rPr>
          <w:rFonts w:cs="Times New Roman"/>
        </w:rPr>
        <w:t>. This is the best offer</w:t>
      </w:r>
      <w:r w:rsidR="001767A9" w:rsidRPr="00124B71">
        <w:rPr>
          <w:rFonts w:cs="Times New Roman"/>
        </w:rPr>
        <w:t>. The buyer should lower the opening bid as follows:</w:t>
      </w:r>
    </w:p>
    <w:p w14:paraId="0379E63B" w14:textId="77777777" w:rsidR="001767A9" w:rsidRPr="00EF0EDA" w:rsidRDefault="001767A9" w:rsidP="00E56A4A">
      <w:pPr>
        <w:pStyle w:val="ListParagraph"/>
        <w:numPr>
          <w:ilvl w:val="0"/>
          <w:numId w:val="9"/>
        </w:numPr>
        <w:rPr>
          <w:rFonts w:eastAsia="Calibri"/>
        </w:rPr>
      </w:pPr>
      <w:r w:rsidRPr="00EF0EDA">
        <w:rPr>
          <w:rFonts w:eastAsia="Calibri"/>
        </w:rPr>
        <w:t xml:space="preserve">If actively bidding on the property, the buyer should make all offers expire in 3 days, and these offers should be delivered on a Tuesday. The buyer should not allow the seller to think about things over the weekend. If the buyer is still interested in the property after the offer </w:t>
      </w:r>
      <w:r w:rsidRPr="00EF0EDA">
        <w:rPr>
          <w:rFonts w:eastAsia="Calibri"/>
        </w:rPr>
        <w:lastRenderedPageBreak/>
        <w:t>expires, resubmit a fractionally-lower offer</w:t>
      </w:r>
      <w:r w:rsidR="002270D5" w:rsidRPr="00EF0EDA">
        <w:rPr>
          <w:rFonts w:eastAsia="Calibri"/>
        </w:rPr>
        <w:t xml:space="preserve"> (1% is a good rule)</w:t>
      </w:r>
      <w:r w:rsidRPr="00EF0EDA">
        <w:rPr>
          <w:rFonts w:eastAsia="Calibri"/>
        </w:rPr>
        <w:t xml:space="preserve"> on the following Tuesday (make them sweat over the weekend</w:t>
      </w:r>
      <w:r w:rsidR="00A40CA5">
        <w:rPr>
          <w:rFonts w:eastAsia="Calibri"/>
        </w:rPr>
        <w:t>).</w:t>
      </w:r>
      <w:r w:rsidRPr="00EF0EDA">
        <w:rPr>
          <w:rFonts w:eastAsia="Calibri"/>
        </w:rPr>
        <w:t xml:space="preserve"> The new offer should not be so much lower as to lose consideration, but it should be enough lower</w:t>
      </w:r>
      <w:r w:rsidR="00F12B59">
        <w:rPr>
          <w:rFonts w:eastAsia="Calibri"/>
        </w:rPr>
        <w:t xml:space="preserve"> so</w:t>
      </w:r>
      <w:r w:rsidRPr="00EF0EDA">
        <w:rPr>
          <w:rFonts w:eastAsia="Calibri"/>
        </w:rPr>
        <w:t xml:space="preserve"> that the seller gets the message they need to accept the offer before it </w:t>
      </w:r>
      <w:r w:rsidR="00F12B59">
        <w:rPr>
          <w:rFonts w:eastAsia="Calibri"/>
        </w:rPr>
        <w:t>drops further</w:t>
      </w:r>
      <w:r w:rsidRPr="00EF0EDA">
        <w:rPr>
          <w:rFonts w:eastAsia="Calibri"/>
        </w:rPr>
        <w:t>.</w:t>
      </w:r>
    </w:p>
    <w:p w14:paraId="76820F8A" w14:textId="77777777" w:rsidR="001767A9" w:rsidRPr="00EF0EDA" w:rsidRDefault="001767A9" w:rsidP="00E56A4A">
      <w:pPr>
        <w:pStyle w:val="ListParagraph"/>
        <w:numPr>
          <w:ilvl w:val="0"/>
          <w:numId w:val="9"/>
        </w:numPr>
        <w:rPr>
          <w:rFonts w:eastAsia="Calibri"/>
        </w:rPr>
      </w:pPr>
      <w:r w:rsidRPr="00EF0EDA">
        <w:rPr>
          <w:rFonts w:eastAsia="Calibri"/>
        </w:rPr>
        <w:t>If the seller makes a counter offer, the buyer should retract the offer and resubmit a lower one. This works the same as the time decay offer above. After the buyer has lowered an offer a few times, the seller may panic and take the offer before it goes any lower. This is what buyers are after.</w:t>
      </w:r>
    </w:p>
    <w:p w14:paraId="769B247B" w14:textId="77777777" w:rsidR="001767A9" w:rsidRPr="00EF0EDA" w:rsidRDefault="001767A9" w:rsidP="00E56A4A">
      <w:pPr>
        <w:pStyle w:val="ListParagraph"/>
        <w:numPr>
          <w:ilvl w:val="0"/>
          <w:numId w:val="9"/>
        </w:numPr>
        <w:rPr>
          <w:rFonts w:eastAsia="Calibri"/>
        </w:rPr>
      </w:pPr>
      <w:r w:rsidRPr="00EF0EDA">
        <w:rPr>
          <w:rFonts w:eastAsia="Calibri"/>
        </w:rPr>
        <w:t>Buyers should lower their offers 1% each time they speak with the seller’s realtor. Every time the seller’s realtor communicates with the buyer, the realtor will pressure the buyer to increase their offer. If the buyer lowers their bid each time the realtor speaks, the buyer sends a message that the realtor pressure is not working, and it is, in fact, hurting the deal.</w:t>
      </w:r>
      <w:r w:rsidR="002270D5" w:rsidRPr="00EF0EDA">
        <w:rPr>
          <w:rFonts w:eastAsia="Calibri"/>
        </w:rPr>
        <w:t xml:space="preserve"> </w:t>
      </w:r>
      <w:r w:rsidRPr="00EF0EDA">
        <w:rPr>
          <w:rFonts w:eastAsia="Calibri"/>
        </w:rPr>
        <w:t>Buyers should lower their offer 2% if the realtor uses one of the standard lies mentioned above.</w:t>
      </w:r>
    </w:p>
    <w:p w14:paraId="38D36C8F" w14:textId="77777777" w:rsidR="001767A9" w:rsidRPr="00EF0EDA" w:rsidRDefault="001767A9" w:rsidP="00E56A4A">
      <w:pPr>
        <w:pStyle w:val="ListParagraph"/>
        <w:numPr>
          <w:ilvl w:val="0"/>
          <w:numId w:val="9"/>
        </w:numPr>
        <w:rPr>
          <w:rFonts w:eastAsia="Calibri"/>
        </w:rPr>
      </w:pPr>
      <w:r w:rsidRPr="00EF0EDA">
        <w:rPr>
          <w:rFonts w:eastAsia="Calibri"/>
        </w:rPr>
        <w:t>If the realtor tells the buyer there is another bidder on the property, the buyer should immediately withdraw their offer and tell the realtor to call if the deal falls out of escrow with the other buyer. Since this statement from the realtor is almost certainly a lie, it will cause them to have to explain to their client why the only buyer around has pulled their offer.</w:t>
      </w:r>
    </w:p>
    <w:p w14:paraId="21F876C1" w14:textId="77777777" w:rsidR="001767A9" w:rsidRPr="00EF0EDA" w:rsidRDefault="000B2F6F" w:rsidP="00E56A4A">
      <w:pPr>
        <w:pStyle w:val="Heading3"/>
      </w:pPr>
      <w:bookmarkStart w:id="241" w:name="_Toc238867408"/>
      <w:r>
        <w:t>Closing the Deal</w:t>
      </w:r>
      <w:bookmarkEnd w:id="241"/>
    </w:p>
    <w:p w14:paraId="53F0848E" w14:textId="77777777" w:rsidR="000B2F6F" w:rsidRDefault="001767A9" w:rsidP="002D7DDD">
      <w:pPr>
        <w:rPr>
          <w:rFonts w:cs="Times New Roman"/>
        </w:rPr>
      </w:pPr>
      <w:r w:rsidRPr="00124B71">
        <w:rPr>
          <w:rFonts w:cs="Times New Roman"/>
        </w:rPr>
        <w:t>When the seller starts to counter-offer</w:t>
      </w:r>
      <w:r w:rsidR="001858B5">
        <w:rPr>
          <w:rFonts w:cs="Times New Roman"/>
        </w:rPr>
        <w:fldChar w:fldCharType="begin"/>
      </w:r>
      <w:r w:rsidR="00074436">
        <w:instrText xml:space="preserve"> XE "</w:instrText>
      </w:r>
      <w:r w:rsidR="00074436" w:rsidRPr="00C47A1A">
        <w:rPr>
          <w:rFonts w:cs="Times New Roman"/>
        </w:rPr>
        <w:instrText>counter-offer</w:instrText>
      </w:r>
      <w:r w:rsidR="00074436">
        <w:instrText xml:space="preserve">" </w:instrText>
      </w:r>
      <w:r w:rsidR="001858B5">
        <w:rPr>
          <w:rFonts w:cs="Times New Roman"/>
        </w:rPr>
        <w:fldChar w:fldCharType="end"/>
      </w:r>
      <w:r w:rsidRPr="00124B71">
        <w:rPr>
          <w:rFonts w:cs="Times New Roman"/>
        </w:rPr>
        <w:t>, it is very tempting for buyers to agree to their price to close the deal, particularly if the counter offer is below the original offer. Buyers should not do it. In a buyer’s market, the seller will come to meet the buyer’s terms. Buyers have the power. However, if the seller is now asking below the original offer, and if the buyer really, really wants the house, the buyer may raise the offer one time</w:t>
      </w:r>
      <w:r w:rsidR="00DA48C0">
        <w:rPr>
          <w:rFonts w:cs="Times New Roman"/>
        </w:rPr>
        <w:t>.</w:t>
      </w:r>
      <w:r w:rsidR="000B2F6F">
        <w:rPr>
          <w:rFonts w:cs="Times New Roman"/>
        </w:rPr>
        <w:t xml:space="preserve"> </w:t>
      </w:r>
      <w:r w:rsidRPr="00124B71">
        <w:rPr>
          <w:rFonts w:cs="Times New Roman"/>
        </w:rPr>
        <w:t xml:space="preserve">Even after a price agreement has been reached, the deal can still be made better. The buyer should go through the inspection sheet and establish holdbacks for all repairs. The buyer should do this as an incentive for the owner to get this work done before move-in. </w:t>
      </w:r>
    </w:p>
    <w:p w14:paraId="4D1A2F80" w14:textId="77777777" w:rsidR="008A379C" w:rsidRPr="00124B71" w:rsidRDefault="001767A9" w:rsidP="002D7DDD">
      <w:pPr>
        <w:rPr>
          <w:rFonts w:cs="Times New Roman"/>
        </w:rPr>
      </w:pPr>
      <w:r w:rsidRPr="00124B71">
        <w:rPr>
          <w:rFonts w:cs="Times New Roman"/>
        </w:rPr>
        <w:t xml:space="preserve">Not everyone has what it takes to implement all of these price-shaving techniques. However, the more of these </w:t>
      </w:r>
      <w:r w:rsidR="008A379C" w:rsidRPr="00124B71">
        <w:rPr>
          <w:rFonts w:cs="Times New Roman"/>
        </w:rPr>
        <w:t xml:space="preserve">that </w:t>
      </w:r>
      <w:r w:rsidRPr="00124B71">
        <w:rPr>
          <w:rFonts w:cs="Times New Roman"/>
        </w:rPr>
        <w:t>buyers put into practice, the lower the price they will pay for the home they want. A buyer will never see the seller or the seller’s realtor ever again. It does not matter if they are offended. In the end, they will be relieved the buyer took the house even if that buyer made their lives hell in the process.</w:t>
      </w:r>
    </w:p>
    <w:p w14:paraId="009D1B45" w14:textId="77777777" w:rsidR="000261EF" w:rsidRPr="00EF0EDA" w:rsidRDefault="000261EF" w:rsidP="008A379C">
      <w:pPr>
        <w:pStyle w:val="Heading2"/>
      </w:pPr>
      <w:bookmarkStart w:id="242" w:name="_Toc238867409"/>
      <w:r w:rsidRPr="00EF0EDA">
        <w:t>Summary</w:t>
      </w:r>
      <w:bookmarkEnd w:id="242"/>
    </w:p>
    <w:p w14:paraId="262BCA69" w14:textId="77777777" w:rsidR="0094058C" w:rsidRPr="00124B71" w:rsidRDefault="0094058C" w:rsidP="002D7DDD">
      <w:pPr>
        <w:rPr>
          <w:rFonts w:cs="Times New Roman"/>
        </w:rPr>
      </w:pPr>
      <w:r w:rsidRPr="00124B71">
        <w:rPr>
          <w:rFonts w:cs="Times New Roman"/>
        </w:rPr>
        <w:t>Many would-be sellers failed to sell their homes at inflated bubble prices. This might not have be</w:t>
      </w:r>
      <w:r w:rsidR="00816B46" w:rsidRPr="00124B71">
        <w:rPr>
          <w:rFonts w:cs="Times New Roman"/>
        </w:rPr>
        <w:t>en</w:t>
      </w:r>
      <w:r w:rsidRPr="00124B71">
        <w:rPr>
          <w:rFonts w:cs="Times New Roman"/>
        </w:rPr>
        <w:t xml:space="preserve"> a financial burden depending on how they managed </w:t>
      </w:r>
      <w:r w:rsidRPr="00124B71">
        <w:rPr>
          <w:rFonts w:cs="Times New Roman"/>
        </w:rPr>
        <w:lastRenderedPageBreak/>
        <w:t>their mortgage debt. They may have regretted missing the windfall they could have received by selling at the peak, but they stayed comfortably in their homes and forgot about the excitement of the real estate bubble. The sellers who missed the peak sales prices and fell underwater on their mortgage faced more difficult choices. Many borrowers concluded a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was the best course of action because they owed more on their loan than their property was worth. Also, due to the exotic loan terms utilized by many borrowers, they were experiencing increasing loan payments and decreasing property values. With the prospect for recovery bleak, many decided to give up paying their mortgages and allowed the lender to foreclose. One can argue the morality of this decision, but financially, it was the best course of action given the conditions.</w:t>
      </w:r>
    </w:p>
    <w:p w14:paraId="7900D54A" w14:textId="77777777" w:rsidR="00022359" w:rsidRDefault="00022359" w:rsidP="002D7DDD">
      <w:pPr>
        <w:rPr>
          <w:rFonts w:cs="Times New Roman"/>
        </w:rPr>
      </w:pPr>
      <w:r w:rsidRPr="00124B71">
        <w:rPr>
          <w:rFonts w:cs="Times New Roman"/>
        </w:rPr>
        <w:t xml:space="preserve">In a buyer’s market, the buyer has the power in a negotiation. Buyers should take advantage of this power and negotiate the lowest possible price. Since the price determines the loan amount and often the taxes on the property, the buyer benefits </w:t>
      </w:r>
      <w:r w:rsidR="008A379C" w:rsidRPr="00124B71">
        <w:rPr>
          <w:rFonts w:cs="Times New Roman"/>
        </w:rPr>
        <w:t>through</w:t>
      </w:r>
      <w:r w:rsidRPr="00124B71">
        <w:rPr>
          <w:rFonts w:cs="Times New Roman"/>
        </w:rPr>
        <w:t xml:space="preserve"> lower interest costs and lower taxes by minimizing the purchase price. Buyers are not responsible for </w:t>
      </w:r>
      <w:r w:rsidR="00144121" w:rsidRPr="00124B71">
        <w:rPr>
          <w:rFonts w:cs="Times New Roman"/>
        </w:rPr>
        <w:t xml:space="preserve">fixing the </w:t>
      </w:r>
      <w:r w:rsidRPr="00124B71">
        <w:rPr>
          <w:rFonts w:cs="Times New Roman"/>
        </w:rPr>
        <w:t>prior financial decisions of sellers. Overpaying for real estate to cure the financial mistakes of sellers is not in a buyer’s best interest. Financial transactions with real estate are not relationship building exercises. Buyers almost never maintain a relationship with sellers after the transaction is complete, and paying extra money for a house to be a “good neighbor” or nice person is not to a buyer’s financial benefit.</w:t>
      </w:r>
    </w:p>
    <w:p w14:paraId="30037799" w14:textId="77777777" w:rsidR="00B4765B" w:rsidRDefault="00B4765B" w:rsidP="002D7DDD">
      <w:pPr>
        <w:rPr>
          <w:rFonts w:cs="Times New Roman"/>
        </w:rPr>
        <w:sectPr w:rsidR="00B4765B" w:rsidSect="009729DE">
          <w:headerReference w:type="even" r:id="rId104"/>
          <w:headerReference w:type="default" r:id="rId105"/>
          <w:headerReference w:type="first" r:id="rId106"/>
          <w:endnotePr>
            <w:numFmt w:val="decimal"/>
          </w:endnotePr>
          <w:type w:val="oddPage"/>
          <w:pgSz w:w="8640" w:h="12960" w:code="173"/>
          <w:pgMar w:top="1008" w:right="936" w:bottom="1080" w:left="936" w:header="504" w:footer="504" w:gutter="0"/>
          <w:cols w:space="720"/>
          <w:titlePg/>
          <w:docGrid w:linePitch="360"/>
        </w:sectPr>
      </w:pPr>
    </w:p>
    <w:p w14:paraId="10100678" w14:textId="77777777" w:rsidR="00820086" w:rsidRPr="00EF0EDA" w:rsidRDefault="00820086" w:rsidP="00EB1635">
      <w:pPr>
        <w:pStyle w:val="Heading1"/>
      </w:pPr>
      <w:bookmarkStart w:id="243" w:name="_Toc238867410"/>
      <w:r w:rsidRPr="00EF0EDA">
        <w:lastRenderedPageBreak/>
        <w:t xml:space="preserve">Preventing the Next </w:t>
      </w:r>
      <w:r w:rsidRPr="00EB1635">
        <w:t>Housing</w:t>
      </w:r>
      <w:r w:rsidRPr="00EF0EDA">
        <w:t xml:space="preserve"> Bubble</w:t>
      </w:r>
      <w:bookmarkEnd w:id="243"/>
    </w:p>
    <w:p w14:paraId="51D4F3EC" w14:textId="77777777" w:rsidR="002F40F7" w:rsidRPr="00124B71" w:rsidRDefault="002F40F7" w:rsidP="002D7DDD">
      <w:pPr>
        <w:rPr>
          <w:rFonts w:cs="Times New Roman"/>
        </w:rPr>
      </w:pPr>
      <w:r w:rsidRPr="00124B71">
        <w:rPr>
          <w:rFonts w:cs="Times New Roman"/>
        </w:rPr>
        <w:t>The pain of the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Pr="00124B71">
        <w:rPr>
          <w:rFonts w:cs="Times New Roman"/>
        </w:rPr>
        <w:t xml:space="preserve"> of a housing bubble cannot be avoided by trying to keep the bubble inflated, or by trying to deflate it slowly</w:t>
      </w:r>
      <w:r w:rsidR="00757A8B" w:rsidRPr="00124B71">
        <w:rPr>
          <w:rFonts w:cs="Times New Roman"/>
        </w:rPr>
        <w:t>.</w:t>
      </w:r>
      <w:r w:rsidR="00E625C5" w:rsidRPr="00124B71">
        <w:rPr>
          <w:rFonts w:cs="Times New Roman"/>
        </w:rPr>
        <w:t xml:space="preserve"> </w:t>
      </w:r>
      <w:r w:rsidRPr="00124B71">
        <w:rPr>
          <w:rStyle w:val="EndnoteReference"/>
          <w:rFonts w:cs="Times New Roman"/>
        </w:rPr>
        <w:endnoteReference w:id="137"/>
      </w:r>
      <w:r w:rsidRPr="00124B71">
        <w:rPr>
          <w:rFonts w:cs="Times New Roman"/>
        </w:rPr>
        <w:t xml:space="preserve"> The only way to avoid these problems is to prevent the bubble from </w:t>
      </w:r>
      <w:r w:rsidR="00A401B2" w:rsidRPr="00124B71">
        <w:rPr>
          <w:rFonts w:cs="Times New Roman"/>
        </w:rPr>
        <w:t xml:space="preserve">inflating in the first place through some form of intervention in the mortgage market. </w:t>
      </w:r>
      <w:r w:rsidR="006139B1" w:rsidRPr="00124B71">
        <w:rPr>
          <w:rFonts w:cs="Times New Roman"/>
        </w:rPr>
        <w:t>Intervention can take the form of a market-based intervention demanded by investors and ratings agencies, and it can also come about through direct government regulation</w:t>
      </w:r>
      <w:r w:rsidR="00757A8B" w:rsidRPr="00124B71">
        <w:rPr>
          <w:rFonts w:cs="Times New Roman"/>
        </w:rPr>
        <w:t>.</w:t>
      </w:r>
      <w:r w:rsidR="00E625C5" w:rsidRPr="00124B71">
        <w:rPr>
          <w:rFonts w:cs="Times New Roman"/>
        </w:rPr>
        <w:t xml:space="preserve"> </w:t>
      </w:r>
      <w:r w:rsidR="00677B2F" w:rsidRPr="00124B71">
        <w:rPr>
          <w:rStyle w:val="EndnoteReference"/>
          <w:rFonts w:cs="Times New Roman"/>
        </w:rPr>
        <w:endnoteReference w:id="138"/>
      </w:r>
      <w:r w:rsidR="006139B1" w:rsidRPr="00124B71">
        <w:rPr>
          <w:rFonts w:cs="Times New Roman"/>
        </w:rPr>
        <w:t xml:space="preserve"> </w:t>
      </w:r>
    </w:p>
    <w:p w14:paraId="719E85C4" w14:textId="77777777" w:rsidR="00BC450D" w:rsidRDefault="00BC450D" w:rsidP="00BC450D">
      <w:pPr>
        <w:pStyle w:val="Heading2"/>
      </w:pPr>
      <w:bookmarkStart w:id="244" w:name="_Toc238867411"/>
      <w:r>
        <w:t>Necessary Intervention</w:t>
      </w:r>
      <w:bookmarkEnd w:id="244"/>
    </w:p>
    <w:p w14:paraId="697E92A8" w14:textId="77777777" w:rsidR="000018A2" w:rsidRPr="00124B71" w:rsidRDefault="00BC450D" w:rsidP="002D7DDD">
      <w:pPr>
        <w:rPr>
          <w:rFonts w:cs="Times New Roman"/>
        </w:rPr>
      </w:pPr>
      <w:r w:rsidRPr="00124B71">
        <w:rPr>
          <w:rFonts w:cs="Times New Roman"/>
        </w:rPr>
        <w:t>The regulated free-market</w:t>
      </w:r>
      <w:r w:rsidR="001858B5">
        <w:rPr>
          <w:rFonts w:cs="Times New Roman"/>
        </w:rPr>
        <w:fldChar w:fldCharType="begin"/>
      </w:r>
      <w:r w:rsidR="00074436">
        <w:instrText xml:space="preserve"> XE "</w:instrText>
      </w:r>
      <w:r w:rsidR="00074436" w:rsidRPr="005D0F9A">
        <w:rPr>
          <w:rFonts w:cs="Times New Roman"/>
        </w:rPr>
        <w:instrText>regulated free-market</w:instrText>
      </w:r>
      <w:r w:rsidR="00074436">
        <w:instrText xml:space="preserve">" </w:instrText>
      </w:r>
      <w:r w:rsidR="001858B5">
        <w:rPr>
          <w:rFonts w:cs="Times New Roman"/>
        </w:rPr>
        <w:fldChar w:fldCharType="end"/>
      </w:r>
      <w:r w:rsidRPr="00124B71">
        <w:rPr>
          <w:rFonts w:cs="Times New Roman"/>
        </w:rPr>
        <w:t xml:space="preserve"> system in place at the turn of the millennium allowed the creation of the Great Housing Bubble. Some combination of market-based and regulatory reforms is necessary to prevent the</w:t>
      </w:r>
      <w:r w:rsidR="00E203A4" w:rsidRPr="00124B71">
        <w:rPr>
          <w:rFonts w:cs="Times New Roman"/>
        </w:rPr>
        <w:t xml:space="preserve"> same</w:t>
      </w:r>
      <w:r w:rsidRPr="00124B71">
        <w:rPr>
          <w:rFonts w:cs="Times New Roman"/>
        </w:rPr>
        <w:t xml:space="preserve"> circumstances that created the bubble from creating another one; it is imperative to prevent the next bubble in order to avoid the problems from the bubble’s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00757A8B" w:rsidRPr="00124B71">
        <w:rPr>
          <w:rFonts w:cs="Times New Roman"/>
        </w:rPr>
        <w:t>.</w:t>
      </w:r>
      <w:r w:rsidR="00E625C5" w:rsidRPr="00124B71">
        <w:rPr>
          <w:rFonts w:cs="Times New Roman"/>
        </w:rPr>
        <w:t xml:space="preserve"> </w:t>
      </w:r>
      <w:r w:rsidR="00003795" w:rsidRPr="00124B71">
        <w:rPr>
          <w:rStyle w:val="EndnoteReference"/>
          <w:rFonts w:cs="Times New Roman"/>
        </w:rPr>
        <w:endnoteReference w:id="139"/>
      </w:r>
      <w:r w:rsidR="000018A2" w:rsidRPr="00124B71">
        <w:rPr>
          <w:rFonts w:cs="Times New Roman"/>
        </w:rPr>
        <w:t xml:space="preserve"> The kind of intervention proposed here is not a bailout plan. A substantive bailout plan to rescue homeowners would be fraught with problems and unintended consequences. </w:t>
      </w:r>
      <w:r w:rsidR="00DA48C0">
        <w:rPr>
          <w:rFonts w:cs="Times New Roman"/>
        </w:rPr>
        <w:t>In September of 2008,</w:t>
      </w:r>
      <w:r w:rsidR="000018A2" w:rsidRPr="00124B71">
        <w:rPr>
          <w:rFonts w:cs="Times New Roman"/>
        </w:rPr>
        <w:t xml:space="preserve"> the banking system near</w:t>
      </w:r>
      <w:r w:rsidR="00DA48C0">
        <w:rPr>
          <w:rFonts w:cs="Times New Roman"/>
        </w:rPr>
        <w:t>ed</w:t>
      </w:r>
      <w:r w:rsidR="000018A2" w:rsidRPr="00124B71">
        <w:rPr>
          <w:rFonts w:cs="Times New Roman"/>
        </w:rPr>
        <w:t xml:space="preserve"> collapse due to the problems of the fallout, </w:t>
      </w:r>
      <w:r w:rsidR="00DA48C0">
        <w:rPr>
          <w:rFonts w:cs="Times New Roman"/>
        </w:rPr>
        <w:t xml:space="preserve">and </w:t>
      </w:r>
      <w:r w:rsidR="000018A2" w:rsidRPr="00124B71">
        <w:rPr>
          <w:rFonts w:cs="Times New Roman"/>
        </w:rPr>
        <w:t>a banking system bailout bec</w:t>
      </w:r>
      <w:r w:rsidR="00DA48C0">
        <w:rPr>
          <w:rFonts w:cs="Times New Roman"/>
        </w:rPr>
        <w:t>a</w:t>
      </w:r>
      <w:r w:rsidR="000018A2" w:rsidRPr="00124B71">
        <w:rPr>
          <w:rFonts w:cs="Times New Roman"/>
        </w:rPr>
        <w:t>me necessary</w:t>
      </w:r>
      <w:r w:rsidR="00DA48C0">
        <w:rPr>
          <w:rFonts w:cs="Times New Roman"/>
        </w:rPr>
        <w:t>. This</w:t>
      </w:r>
      <w:r w:rsidR="000018A2" w:rsidRPr="00124B71">
        <w:rPr>
          <w:rFonts w:cs="Times New Roman"/>
        </w:rPr>
        <w:t xml:space="preserve"> outcome argue</w:t>
      </w:r>
      <w:r w:rsidR="00DA48C0">
        <w:rPr>
          <w:rFonts w:cs="Times New Roman"/>
        </w:rPr>
        <w:t>s</w:t>
      </w:r>
      <w:r w:rsidR="000018A2" w:rsidRPr="00124B71">
        <w:rPr>
          <w:rFonts w:cs="Times New Roman"/>
        </w:rPr>
        <w:t xml:space="preserve"> more forcefully for an intervention to prevent future bubbles from occurring in the housing market. </w:t>
      </w:r>
    </w:p>
    <w:p w14:paraId="37CD2ACC" w14:textId="77777777" w:rsidR="008B01A8" w:rsidRDefault="008B01A8" w:rsidP="008B01A8">
      <w:pPr>
        <w:pStyle w:val="Heading3"/>
      </w:pPr>
      <w:bookmarkStart w:id="245" w:name="_Toc238867412"/>
      <w:r>
        <w:t>Economic Problems</w:t>
      </w:r>
      <w:bookmarkEnd w:id="245"/>
    </w:p>
    <w:p w14:paraId="54EF9FF0" w14:textId="77777777" w:rsidR="00BC450D" w:rsidRPr="003A40CE" w:rsidRDefault="00BC450D" w:rsidP="003A40CE">
      <w:r w:rsidRPr="003A40CE">
        <w:t>The foremost problem resulting from the deflation</w:t>
      </w:r>
      <w:r w:rsidR="001858B5" w:rsidRPr="003A40CE">
        <w:fldChar w:fldCharType="begin"/>
      </w:r>
      <w:r w:rsidR="003247C5" w:rsidRPr="003A40CE">
        <w:instrText xml:space="preserve"> XE "deflation" </w:instrText>
      </w:r>
      <w:r w:rsidR="001858B5" w:rsidRPr="003A40CE">
        <w:fldChar w:fldCharType="end"/>
      </w:r>
      <w:r w:rsidRPr="003A40CE">
        <w:t xml:space="preserve"> of the Great Housing Bubble was the imperilment of our banking and financial system. The Great Depression</w:t>
      </w:r>
      <w:r w:rsidR="001858B5" w:rsidRPr="003A40CE">
        <w:fldChar w:fldCharType="begin"/>
      </w:r>
      <w:r w:rsidR="002321D5" w:rsidRPr="003A40CE">
        <w:instrText xml:space="preserve"> XE "Great Depression" </w:instrText>
      </w:r>
      <w:r w:rsidR="001858B5" w:rsidRPr="003A40CE">
        <w:fldChar w:fldCharType="end"/>
      </w:r>
      <w:r w:rsidRPr="003A40CE">
        <w:t xml:space="preserve"> was precipitated by the collapse of margin trading and the subsequent decline of the stock market beginning in 1929; however, this decline is not what made the Great Depression so severe. The policies responding to the upheaval caused many banks to fail, and it was the failure of banks that led to the dramatic decline in business activity and asset deflation of the Great Depression. To prevent a repeat of those problems, </w:t>
      </w:r>
      <w:r w:rsidR="00D61224" w:rsidRPr="003A40CE">
        <w:t xml:space="preserve">Congress passed a number </w:t>
      </w:r>
      <w:r w:rsidR="00D61224" w:rsidRPr="003A40CE">
        <w:lastRenderedPageBreak/>
        <w:t>of banking reforms granting the Federal Reserve</w:t>
      </w:r>
      <w:r w:rsidR="001858B5" w:rsidRPr="003A40CE">
        <w:fldChar w:fldCharType="begin"/>
      </w:r>
      <w:r w:rsidR="00E84A0F" w:rsidRPr="003A40CE">
        <w:instrText xml:space="preserve"> XE "Federal Reserve" </w:instrText>
      </w:r>
      <w:r w:rsidR="001858B5" w:rsidRPr="003A40CE">
        <w:fldChar w:fldCharType="end"/>
      </w:r>
      <w:r w:rsidR="00D61224" w:rsidRPr="003A40CE">
        <w:t xml:space="preserve"> broad powers over our currency and effectively abandoned the gold standard. One of the most </w:t>
      </w:r>
      <w:r w:rsidR="00A401B2" w:rsidRPr="003A40CE">
        <w:t>successful</w:t>
      </w:r>
      <w:r w:rsidR="00D61224" w:rsidRPr="003A40CE">
        <w:t xml:space="preserve"> of these policies was the establishment of the Federal Deposit Insurance Corporation</w:t>
      </w:r>
      <w:r w:rsidR="001858B5" w:rsidRPr="003A40CE">
        <w:fldChar w:fldCharType="begin"/>
      </w:r>
      <w:r w:rsidR="00074436" w:rsidRPr="003A40CE">
        <w:instrText xml:space="preserve"> XE "Federal Deposit Insurance Corporation" \t "See FDIC" </w:instrText>
      </w:r>
      <w:r w:rsidR="001858B5" w:rsidRPr="003A40CE">
        <w:fldChar w:fldCharType="end"/>
      </w:r>
      <w:r w:rsidR="00D61224" w:rsidRPr="003A40CE">
        <w:t xml:space="preserve"> (FDIC</w:t>
      </w:r>
      <w:r w:rsidR="001858B5" w:rsidRPr="003A40CE">
        <w:fldChar w:fldCharType="begin"/>
      </w:r>
      <w:r w:rsidR="00074436" w:rsidRPr="003A40CE">
        <w:instrText xml:space="preserve"> XE "FDIC" </w:instrText>
      </w:r>
      <w:r w:rsidR="001858B5" w:rsidRPr="003A40CE">
        <w:fldChar w:fldCharType="end"/>
      </w:r>
      <w:r w:rsidR="00D61224" w:rsidRPr="003A40CE">
        <w:t>) to guarantee the safety of deposits in banking institutions and prevent panic-induced, mass depositor withdrawals (aka “bank runs”)</w:t>
      </w:r>
      <w:r w:rsidRPr="003A40CE">
        <w:t xml:space="preserve"> </w:t>
      </w:r>
      <w:r w:rsidR="00D61224" w:rsidRPr="003A40CE">
        <w:t xml:space="preserve">from decimating our banking system. Since the FDIC has been in effect, mass depositor withdrawals at </w:t>
      </w:r>
      <w:r w:rsidR="00144121" w:rsidRPr="003A40CE">
        <w:t xml:space="preserve">American </w:t>
      </w:r>
      <w:r w:rsidR="00D61224" w:rsidRPr="003A40CE">
        <w:t xml:space="preserve">banks have been relatively uncommon. Just as the deflation of the stock market asset bubble of the Great Depression imperiled the banking system, the deflation of the Great Housing Bubble endangered the banking system because the bank losses were so severe that most became insolvent and many went bankrupt or were taken over by other lenders. Whenever the banking system is put in </w:t>
      </w:r>
      <w:r w:rsidR="003A1B79" w:rsidRPr="003A40CE">
        <w:t>jeopardy</w:t>
      </w:r>
      <w:r w:rsidR="00D61224" w:rsidRPr="003A40CE">
        <w:t xml:space="preserve">, </w:t>
      </w:r>
      <w:r w:rsidR="003A1B79" w:rsidRPr="003A40CE">
        <w:t>economic growth is curtailed, and other major economic problems develop.</w:t>
      </w:r>
    </w:p>
    <w:p w14:paraId="07D78D23" w14:textId="77777777" w:rsidR="003A1B79" w:rsidRPr="003A40CE" w:rsidRDefault="003A1B79" w:rsidP="003A40CE">
      <w:r w:rsidRPr="003A40CE">
        <w:t>Another source of economic problems caused by housing market bubbles is the immobility of workers.</w:t>
      </w:r>
      <w:r w:rsidR="00A401B2" w:rsidRPr="003A40CE">
        <w:t xml:space="preserve"> These problems were witnessed in the deflation</w:t>
      </w:r>
      <w:r w:rsidR="001858B5" w:rsidRPr="003A40CE">
        <w:fldChar w:fldCharType="begin"/>
      </w:r>
      <w:r w:rsidR="003247C5" w:rsidRPr="003A40CE">
        <w:instrText xml:space="preserve"> XE "deflation" </w:instrText>
      </w:r>
      <w:r w:rsidR="001858B5" w:rsidRPr="003A40CE">
        <w:fldChar w:fldCharType="end"/>
      </w:r>
      <w:r w:rsidR="00A401B2" w:rsidRPr="003A40CE">
        <w:t xml:space="preserve"> of the coastal bubble during the early 1990s, and they occurred again in the deflation of the Great Housing Bubble</w:t>
      </w:r>
      <w:r w:rsidR="006139B1" w:rsidRPr="003A40CE">
        <w:t>.</w:t>
      </w:r>
      <w:r w:rsidRPr="003A40CE">
        <w:t xml:space="preserve"> When people owe more on their mortgage tha</w:t>
      </w:r>
      <w:r w:rsidR="00816B46" w:rsidRPr="003A40CE">
        <w:t xml:space="preserve">n their house is worth, they could </w:t>
      </w:r>
      <w:r w:rsidRPr="003A40CE">
        <w:t xml:space="preserve">not move freely to </w:t>
      </w:r>
      <w:r w:rsidR="006763C3" w:rsidRPr="003A40CE">
        <w:t>accept promotions or work in other areas</w:t>
      </w:r>
      <w:r w:rsidRPr="003A40CE">
        <w:t>. In such circumstances the borrower ha</w:t>
      </w:r>
      <w:r w:rsidR="00A401B2" w:rsidRPr="003A40CE">
        <w:t>d</w:t>
      </w:r>
      <w:r w:rsidRPr="003A40CE">
        <w:t xml:space="preserve"> limited options. The borrower could</w:t>
      </w:r>
      <w:r w:rsidR="00A401B2" w:rsidRPr="003A40CE">
        <w:t xml:space="preserve"> have</w:t>
      </w:r>
      <w:r w:rsidRPr="003A40CE">
        <w:t xml:space="preserve"> </w:t>
      </w:r>
      <w:r w:rsidR="006763C3" w:rsidRPr="003A40CE">
        <w:t>tr</w:t>
      </w:r>
      <w:r w:rsidR="00A401B2" w:rsidRPr="003A40CE">
        <w:t>ied</w:t>
      </w:r>
      <w:r w:rsidR="006763C3" w:rsidRPr="003A40CE">
        <w:t xml:space="preserve"> to rent the property, but those who bought at bubble prices paid in excess of its rental value so renting the property </w:t>
      </w:r>
      <w:r w:rsidR="00A401B2" w:rsidRPr="003A40CE">
        <w:t>did</w:t>
      </w:r>
      <w:r w:rsidR="006763C3" w:rsidRPr="003A40CE">
        <w:t xml:space="preserve"> not cover the costs of ownership. They </w:t>
      </w:r>
      <w:r w:rsidR="00A401B2" w:rsidRPr="003A40CE">
        <w:t>were</w:t>
      </w:r>
      <w:r w:rsidR="006763C3" w:rsidRPr="003A40CE">
        <w:t xml:space="preserve"> losing money each month </w:t>
      </w:r>
      <w:r w:rsidR="00A401B2" w:rsidRPr="003A40CE">
        <w:t xml:space="preserve">trying </w:t>
      </w:r>
      <w:r w:rsidR="006763C3" w:rsidRPr="003A40CE">
        <w:t>to keep the house. If they tr</w:t>
      </w:r>
      <w:r w:rsidR="00A401B2" w:rsidRPr="003A40CE">
        <w:t>ied</w:t>
      </w:r>
      <w:r w:rsidR="006763C3" w:rsidRPr="003A40CE">
        <w:t xml:space="preserve"> to sell the house to avoid the monthly loss, they </w:t>
      </w:r>
      <w:r w:rsidR="00A401B2" w:rsidRPr="003A40CE">
        <w:t>could</w:t>
      </w:r>
      <w:r w:rsidR="006763C3" w:rsidRPr="003A40CE">
        <w:t xml:space="preserve"> not get enough money in the sale to pay off the debt. The borrower would either pay the lender the difference or accept the negative consequences of a short sale or foreclosure</w:t>
      </w:r>
      <w:r w:rsidR="001858B5" w:rsidRPr="003A40CE">
        <w:fldChar w:fldCharType="begin"/>
      </w:r>
      <w:r w:rsidR="00F71DE5" w:rsidRPr="003A40CE">
        <w:instrText xml:space="preserve"> XE "foreclosure" </w:instrText>
      </w:r>
      <w:r w:rsidR="001858B5" w:rsidRPr="003A40CE">
        <w:fldChar w:fldCharType="end"/>
      </w:r>
      <w:r w:rsidR="00A401B2" w:rsidRPr="003A40CE">
        <w:t>. Most often they chose the latter option</w:t>
      </w:r>
      <w:r w:rsidR="006763C3" w:rsidRPr="003A40CE">
        <w:t xml:space="preserve">. Since none of the options available to </w:t>
      </w:r>
      <w:r w:rsidR="00A401B2" w:rsidRPr="003A40CE">
        <w:t>b</w:t>
      </w:r>
      <w:r w:rsidR="006763C3" w:rsidRPr="003A40CE">
        <w:t>orrower</w:t>
      </w:r>
      <w:r w:rsidR="00A401B2" w:rsidRPr="003A40CE">
        <w:t>s</w:t>
      </w:r>
      <w:r w:rsidR="006763C3" w:rsidRPr="003A40CE">
        <w:t xml:space="preserve"> </w:t>
      </w:r>
      <w:r w:rsidR="00A401B2" w:rsidRPr="003A40CE">
        <w:t>we</w:t>
      </w:r>
      <w:r w:rsidR="006763C3" w:rsidRPr="003A40CE">
        <w:t>re very palatable, many pass</w:t>
      </w:r>
      <w:r w:rsidR="00A401B2" w:rsidRPr="003A40CE">
        <w:t>ed</w:t>
      </w:r>
      <w:r w:rsidR="006763C3" w:rsidRPr="003A40CE">
        <w:t xml:space="preserve"> on promotions or other opportunities because they </w:t>
      </w:r>
      <w:r w:rsidR="00A401B2" w:rsidRPr="003A40CE">
        <w:t>we</w:t>
      </w:r>
      <w:r w:rsidR="006763C3" w:rsidRPr="003A40CE">
        <w:t>re trapped in their homes. Employers also face</w:t>
      </w:r>
      <w:r w:rsidR="00A401B2" w:rsidRPr="003A40CE">
        <w:t>d</w:t>
      </w:r>
      <w:r w:rsidR="006763C3" w:rsidRPr="003A40CE">
        <w:t xml:space="preserve"> difficulties when house prices </w:t>
      </w:r>
      <w:r w:rsidR="00A401B2" w:rsidRPr="003A40CE">
        <w:t>we</w:t>
      </w:r>
      <w:r w:rsidR="006763C3" w:rsidRPr="003A40CE">
        <w:t>re much higher than local incomes. When an employer want</w:t>
      </w:r>
      <w:r w:rsidR="00A401B2" w:rsidRPr="003A40CE">
        <w:t>ed</w:t>
      </w:r>
      <w:r w:rsidR="006763C3" w:rsidRPr="003A40CE">
        <w:t xml:space="preserve"> to expand and hire new people, the potential new employee</w:t>
      </w:r>
      <w:r w:rsidR="00F21C58" w:rsidRPr="003A40CE">
        <w:t xml:space="preserve"> wa</w:t>
      </w:r>
      <w:r w:rsidR="006763C3" w:rsidRPr="003A40CE">
        <w:t xml:space="preserve">s repelled by the high house prices and </w:t>
      </w:r>
      <w:r w:rsidR="00F21C58" w:rsidRPr="003A40CE">
        <w:t xml:space="preserve">either </w:t>
      </w:r>
      <w:r w:rsidR="006763C3" w:rsidRPr="003A40CE">
        <w:t>demand</w:t>
      </w:r>
      <w:r w:rsidR="00F21C58" w:rsidRPr="003A40CE">
        <w:t>ed</w:t>
      </w:r>
      <w:r w:rsidR="006763C3" w:rsidRPr="003A40CE">
        <w:t xml:space="preserve"> a higher wage or refuse</w:t>
      </w:r>
      <w:r w:rsidR="00F21C58" w:rsidRPr="003A40CE">
        <w:t>d</w:t>
      </w:r>
      <w:r w:rsidR="006763C3" w:rsidRPr="003A40CE">
        <w:t xml:space="preserve"> to accept employment. </w:t>
      </w:r>
      <w:r w:rsidR="00E203A4" w:rsidRPr="003A40CE">
        <w:t>B</w:t>
      </w:r>
      <w:r w:rsidR="006763C3" w:rsidRPr="003A40CE">
        <w:t xml:space="preserve">oth circumstances </w:t>
      </w:r>
      <w:r w:rsidR="00F21C58" w:rsidRPr="003A40CE">
        <w:t>we</w:t>
      </w:r>
      <w:r w:rsidR="00E203A4" w:rsidRPr="003A40CE">
        <w:t xml:space="preserve">re detrimental to the economy </w:t>
      </w:r>
      <w:r w:rsidR="006763C3" w:rsidRPr="003A40CE">
        <w:t xml:space="preserve">when an employee </w:t>
      </w:r>
      <w:r w:rsidR="00F21C58" w:rsidRPr="003A40CE">
        <w:t>wa</w:t>
      </w:r>
      <w:r w:rsidR="006763C3" w:rsidRPr="003A40CE">
        <w:t xml:space="preserve">s trapped in their home and </w:t>
      </w:r>
      <w:r w:rsidR="00F21C58" w:rsidRPr="003A40CE">
        <w:t xml:space="preserve">could </w:t>
      </w:r>
      <w:r w:rsidR="006763C3" w:rsidRPr="003A40CE">
        <w:t xml:space="preserve">not move and when an employer </w:t>
      </w:r>
      <w:r w:rsidR="00F21C58" w:rsidRPr="003A40CE">
        <w:t xml:space="preserve">could </w:t>
      </w:r>
      <w:r w:rsidR="006763C3" w:rsidRPr="003A40CE">
        <w:t xml:space="preserve">not attract new employees because local house prices </w:t>
      </w:r>
      <w:r w:rsidR="00F21C58" w:rsidRPr="003A40CE">
        <w:t>we</w:t>
      </w:r>
      <w:r w:rsidR="006763C3" w:rsidRPr="003A40CE">
        <w:t>re very high.</w:t>
      </w:r>
      <w:r w:rsidRPr="003A40CE">
        <w:t xml:space="preserve"> </w:t>
      </w:r>
    </w:p>
    <w:p w14:paraId="734E2E1C" w14:textId="77777777" w:rsidR="00646E1F" w:rsidRPr="00124B71" w:rsidRDefault="00646E1F" w:rsidP="003A40CE">
      <w:r w:rsidRPr="003A40CE">
        <w:t xml:space="preserve">Like all financial bubbles, </w:t>
      </w:r>
      <w:r w:rsidR="00F21C58" w:rsidRPr="003A40CE">
        <w:t>the</w:t>
      </w:r>
      <w:r w:rsidRPr="003A40CE">
        <w:t xml:space="preserve"> bubble in residential real estate cause</w:t>
      </w:r>
      <w:r w:rsidR="00F21C58" w:rsidRPr="003A40CE">
        <w:t>d</w:t>
      </w:r>
      <w:r w:rsidRPr="003A40CE">
        <w:t xml:space="preserve"> the inefficient use of capital resources. </w:t>
      </w:r>
      <w:r w:rsidR="00F21C58" w:rsidRPr="003A40CE">
        <w:t>W</w:t>
      </w:r>
      <w:r w:rsidRPr="003A40CE">
        <w:t>hen prices r</w:t>
      </w:r>
      <w:r w:rsidR="00F21C58" w:rsidRPr="003A40CE">
        <w:t>o</w:t>
      </w:r>
      <w:r w:rsidRPr="003A40CE">
        <w:t>se, it signifie</w:t>
      </w:r>
      <w:r w:rsidR="00F21C58" w:rsidRPr="003A40CE">
        <w:t>d</w:t>
      </w:r>
      <w:r w:rsidRPr="003A40CE">
        <w:t xml:space="preserve"> an increase in demand</w:t>
      </w:r>
      <w:r w:rsidR="00F21C58" w:rsidRPr="003A40CE">
        <w:t>, and t</w:t>
      </w:r>
      <w:r w:rsidRPr="003A40CE">
        <w:t xml:space="preserve">he supply chain </w:t>
      </w:r>
      <w:r w:rsidR="00F21C58" w:rsidRPr="003A40CE">
        <w:t>went</w:t>
      </w:r>
      <w:r w:rsidRPr="003A40CE">
        <w:t xml:space="preserve"> to work to deliver more supply to meet this demand and capture the profits from increased prices. When the demand </w:t>
      </w:r>
      <w:r w:rsidR="00F21C58" w:rsidRPr="003A40CE">
        <w:t>wa</w:t>
      </w:r>
      <w:r w:rsidRPr="003A40CE">
        <w:t xml:space="preserve">s artificial, as </w:t>
      </w:r>
      <w:r w:rsidR="00F21C58" w:rsidRPr="003A40CE">
        <w:t>wa</w:t>
      </w:r>
      <w:r w:rsidRPr="003A40CE">
        <w:t>s the case in a bubble, the market bec</w:t>
      </w:r>
      <w:r w:rsidR="00F21C58" w:rsidRPr="003A40CE">
        <w:t>a</w:t>
      </w:r>
      <w:r w:rsidRPr="003A40CE">
        <w:t xml:space="preserve">me oversupplied, and this supply </w:t>
      </w:r>
      <w:r w:rsidR="00F21C58" w:rsidRPr="003A40CE">
        <w:t>wa</w:t>
      </w:r>
      <w:r w:rsidRPr="003A40CE">
        <w:t>s not of the type or quantity the market really need</w:t>
      </w:r>
      <w:r w:rsidR="00F21C58" w:rsidRPr="003A40CE">
        <w:t>ed</w:t>
      </w:r>
      <w:r w:rsidRPr="003A40CE">
        <w:t>. For instance, in the NASDAQ</w:t>
      </w:r>
      <w:r w:rsidR="001858B5" w:rsidRPr="003A40CE">
        <w:fldChar w:fldCharType="begin"/>
      </w:r>
      <w:r w:rsidR="00074436" w:rsidRPr="003A40CE">
        <w:instrText xml:space="preserve"> XE "NASDAQ" </w:instrText>
      </w:r>
      <w:r w:rsidR="001858B5" w:rsidRPr="003A40CE">
        <w:fldChar w:fldCharType="end"/>
      </w:r>
      <w:r w:rsidRPr="003A40CE">
        <w:t xml:space="preserve"> stock market bubble, billions of dollars of investment capital flowed into internet companies. This money went into all forms of unproductive uses which ultimately provided little or no return on the investment capital. In the Great Housing Bubble, the inflated prices prompted builders to construct many large houses known as McMansions</w:t>
      </w:r>
      <w:r w:rsidR="001858B5" w:rsidRPr="003A40CE">
        <w:fldChar w:fldCharType="begin"/>
      </w:r>
      <w:r w:rsidR="00074436" w:rsidRPr="003A40CE">
        <w:instrText xml:space="preserve"> XE "McMansions" </w:instrText>
      </w:r>
      <w:r w:rsidR="001858B5" w:rsidRPr="003A40CE">
        <w:fldChar w:fldCharType="end"/>
      </w:r>
      <w:r w:rsidRPr="003A40CE">
        <w:t xml:space="preserve">. The economics favored </w:t>
      </w:r>
      <w:r w:rsidRPr="003A40CE">
        <w:lastRenderedPageBreak/>
        <w:t>this because the largest homes had the lowest cost per</w:t>
      </w:r>
      <w:r w:rsidR="00F21C58" w:rsidRPr="003A40CE">
        <w:t>-</w:t>
      </w:r>
      <w:r w:rsidRPr="003A40CE">
        <w:t>square</w:t>
      </w:r>
      <w:r w:rsidR="00F21C58" w:rsidRPr="003A40CE">
        <w:t>-</w:t>
      </w:r>
      <w:r w:rsidRPr="003A40CE">
        <w:t>foot to construct, and the</w:t>
      </w:r>
      <w:r w:rsidR="00562098" w:rsidRPr="003A40CE">
        <w:t>se houses</w:t>
      </w:r>
      <w:r w:rsidRPr="003A40CE">
        <w:t xml:space="preserve"> obtained some of the highest revenues per</w:t>
      </w:r>
      <w:r w:rsidR="00F21C58" w:rsidRPr="003A40CE">
        <w:t>-</w:t>
      </w:r>
      <w:r w:rsidRPr="003A40CE">
        <w:t>square</w:t>
      </w:r>
      <w:r w:rsidR="00F21C58" w:rsidRPr="003A40CE">
        <w:t>-</w:t>
      </w:r>
      <w:r w:rsidRPr="003A40CE">
        <w:t>foot on the market. The result was entire neighborhoods of homes</w:t>
      </w:r>
      <w:r w:rsidR="009813E8" w:rsidRPr="003A40CE">
        <w:t xml:space="preserve"> that </w:t>
      </w:r>
      <w:r w:rsidR="00F21C58" w:rsidRPr="003A40CE">
        <w:t>we</w:t>
      </w:r>
      <w:r w:rsidR="009813E8" w:rsidRPr="003A40CE">
        <w:t xml:space="preserve">re very </w:t>
      </w:r>
      <w:r w:rsidR="00F21C58" w:rsidRPr="003A40CE">
        <w:t>resource wasteful</w:t>
      </w:r>
      <w:r w:rsidR="009813E8" w:rsidRPr="003A40CE">
        <w:t>.</w:t>
      </w:r>
      <w:r w:rsidR="00562098" w:rsidRPr="003A40CE">
        <w:t xml:space="preserve"> If the construction resources had been allocated based on true market need, which </w:t>
      </w:r>
      <w:r w:rsidR="00F21C58" w:rsidRPr="003A40CE">
        <w:t xml:space="preserve">would have </w:t>
      </w:r>
      <w:r w:rsidR="00562098" w:rsidRPr="003A40CE">
        <w:t>happen</w:t>
      </w:r>
      <w:r w:rsidR="00F21C58" w:rsidRPr="003A40CE">
        <w:t>ed</w:t>
      </w:r>
      <w:r w:rsidR="00562098" w:rsidRPr="003A40CE">
        <w:t xml:space="preserve"> </w:t>
      </w:r>
      <w:r w:rsidR="00F21C58" w:rsidRPr="003A40CE">
        <w:t>in the absence of</w:t>
      </w:r>
      <w:r w:rsidR="00562098" w:rsidRPr="003A40CE">
        <w:t xml:space="preserve"> price bubble distortions, fewer construction resources would have gone into each home, the ongoing cost of maintenance would have been reduced, and fewer total homes would have been </w:t>
      </w:r>
      <w:r w:rsidR="00E203A4" w:rsidRPr="003A40CE">
        <w:t>built</w:t>
      </w:r>
      <w:r w:rsidR="00562098" w:rsidRPr="003A40CE">
        <w:t>. The temporary demand of construction resources in a financial bubble</w:t>
      </w:r>
      <w:r w:rsidR="001858B5" w:rsidRPr="003A40CE">
        <w:fldChar w:fldCharType="begin"/>
      </w:r>
      <w:r w:rsidR="002321D5" w:rsidRPr="003A40CE">
        <w:instrText xml:space="preserve"> XE "financial bubble" </w:instrText>
      </w:r>
      <w:r w:rsidR="001858B5" w:rsidRPr="003A40CE">
        <w:fldChar w:fldCharType="end"/>
      </w:r>
      <w:r w:rsidR="00562098" w:rsidRPr="003A40CE">
        <w:t xml:space="preserve"> also impact</w:t>
      </w:r>
      <w:r w:rsidR="00F21C58" w:rsidRPr="003A40CE">
        <w:t>ed</w:t>
      </w:r>
      <w:r w:rsidR="00562098" w:rsidRPr="003A40CE">
        <w:t xml:space="preserve"> human resources. There was a nationwide increase in construction employment to meet the bubble demand. When the bubble burst, many of these people were laid off causing both economic and personal turmoil. </w:t>
      </w:r>
    </w:p>
    <w:p w14:paraId="194BE36E" w14:textId="77777777" w:rsidR="00562098" w:rsidRPr="00124B71" w:rsidRDefault="00562098" w:rsidP="00A107E9">
      <w:pPr>
        <w:tabs>
          <w:tab w:val="left" w:pos="4860"/>
        </w:tabs>
        <w:rPr>
          <w:rFonts w:cs="Times New Roman"/>
        </w:rPr>
      </w:pPr>
      <w:r w:rsidRPr="00124B71">
        <w:rPr>
          <w:rFonts w:cs="Times New Roman"/>
        </w:rPr>
        <w:t>Financial bubbles also witness</w:t>
      </w:r>
      <w:r w:rsidR="00F21C58" w:rsidRPr="00124B71">
        <w:rPr>
          <w:rFonts w:cs="Times New Roman"/>
        </w:rPr>
        <w:t>ed</w:t>
      </w:r>
      <w:r w:rsidRPr="00124B71">
        <w:rPr>
          <w:rFonts w:cs="Times New Roman"/>
        </w:rPr>
        <w:t xml:space="preserve"> the birth, growth and death of unsustainable financial models. The NASDAQ</w:t>
      </w:r>
      <w:r w:rsidR="001858B5">
        <w:rPr>
          <w:rFonts w:cs="Times New Roman"/>
        </w:rPr>
        <w:fldChar w:fldCharType="begin"/>
      </w:r>
      <w:r w:rsidR="00074436">
        <w:instrText xml:space="preserve"> XE "</w:instrText>
      </w:r>
      <w:r w:rsidR="00074436" w:rsidRPr="00CB3115">
        <w:rPr>
          <w:rFonts w:cs="Times New Roman"/>
        </w:rPr>
        <w:instrText>NASDAQ</w:instrText>
      </w:r>
      <w:r w:rsidR="00074436">
        <w:instrText xml:space="preserve">" </w:instrText>
      </w:r>
      <w:r w:rsidR="001858B5">
        <w:rPr>
          <w:rFonts w:cs="Times New Roman"/>
        </w:rPr>
        <w:fldChar w:fldCharType="end"/>
      </w:r>
      <w:r w:rsidRPr="00124B71">
        <w:rPr>
          <w:rFonts w:cs="Times New Roman"/>
        </w:rPr>
        <w:t xml:space="preserve"> bubble had internet companies, and the Great Housing Bubble had subprime lending. The subprime lending model was profitable despite a 10% to 15% default rate among its customers. The industry was able to sustain this rate of default because the default losses they sustained were small as long as prices were rising. As soon as prices stopped rising, their </w:t>
      </w:r>
      <w:r w:rsidR="00B24FD3" w:rsidRPr="00124B71">
        <w:rPr>
          <w:rFonts w:cs="Times New Roman"/>
        </w:rPr>
        <w:t xml:space="preserve">loan </w:t>
      </w:r>
      <w:r w:rsidRPr="00124B71">
        <w:rPr>
          <w:rFonts w:cs="Times New Roman"/>
        </w:rPr>
        <w:t>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Pr="00124B71">
        <w:rPr>
          <w:rFonts w:cs="Times New Roman"/>
        </w:rPr>
        <w:t xml:space="preserve"> increased, and their default losses drove the entire industry into </w:t>
      </w:r>
      <w:r w:rsidR="00B24FD3" w:rsidRPr="00124B71">
        <w:rPr>
          <w:rFonts w:cs="Times New Roman"/>
        </w:rPr>
        <w:t>oblivion</w:t>
      </w:r>
      <w:r w:rsidRPr="00124B71">
        <w:rPr>
          <w:rFonts w:cs="Times New Roman"/>
        </w:rPr>
        <w:t>.</w:t>
      </w:r>
      <w:r w:rsidR="00A107E9" w:rsidRPr="00124B71">
        <w:rPr>
          <w:rFonts w:cs="Times New Roman"/>
        </w:rPr>
        <w:t xml:space="preserve"> </w:t>
      </w:r>
      <w:r w:rsidR="003465AA" w:rsidRPr="00124B71">
        <w:rPr>
          <w:rStyle w:val="EndnoteReference"/>
          <w:rFonts w:cs="Times New Roman"/>
        </w:rPr>
        <w:endnoteReference w:id="140"/>
      </w:r>
    </w:p>
    <w:p w14:paraId="0F60C529" w14:textId="77777777" w:rsidR="006763C3" w:rsidRPr="00124B71" w:rsidRDefault="006763C3" w:rsidP="00D07897">
      <w:pPr>
        <w:rPr>
          <w:rFonts w:cs="Times New Roman"/>
        </w:rPr>
      </w:pPr>
      <w:r w:rsidRPr="00124B71">
        <w:rPr>
          <w:rFonts w:cs="Times New Roman"/>
        </w:rPr>
        <w:t>I</w:t>
      </w:r>
      <w:r w:rsidR="009775A7" w:rsidRPr="00124B71">
        <w:rPr>
          <w:rFonts w:cs="Times New Roman"/>
        </w:rPr>
        <w:t xml:space="preserve">n the aftermath of </w:t>
      </w:r>
      <w:r w:rsidR="00DC56F5" w:rsidRPr="00124B71">
        <w:rPr>
          <w:rFonts w:cs="Times New Roman"/>
        </w:rPr>
        <w:t>the coastal</w:t>
      </w:r>
      <w:r w:rsidR="009775A7" w:rsidRPr="00124B71">
        <w:rPr>
          <w:rFonts w:cs="Times New Roman"/>
        </w:rPr>
        <w:t xml:space="preserve"> housing bubble</w:t>
      </w:r>
      <w:r w:rsidR="00DC56F5" w:rsidRPr="00124B71">
        <w:rPr>
          <w:rFonts w:cs="Times New Roman"/>
        </w:rPr>
        <w:t xml:space="preserve"> of the early 90s</w:t>
      </w:r>
      <w:r w:rsidR="009775A7" w:rsidRPr="00124B71">
        <w:rPr>
          <w:rFonts w:cs="Times New Roman"/>
        </w:rPr>
        <w:t>, the economy experience</w:t>
      </w:r>
      <w:r w:rsidR="00DC56F5" w:rsidRPr="00124B71">
        <w:rPr>
          <w:rFonts w:cs="Times New Roman"/>
        </w:rPr>
        <w:t>d</w:t>
      </w:r>
      <w:r w:rsidR="00155451" w:rsidRPr="00124B71">
        <w:rPr>
          <w:rFonts w:cs="Times New Roman"/>
        </w:rPr>
        <w:t xml:space="preserve"> a period of diminished consumer spending because many homeowners who bought during the bubble and did not go into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155451" w:rsidRPr="00124B71">
        <w:rPr>
          <w:rFonts w:cs="Times New Roman"/>
        </w:rPr>
        <w:t xml:space="preserve"> </w:t>
      </w:r>
      <w:r w:rsidR="00DC56F5" w:rsidRPr="00124B71">
        <w:rPr>
          <w:rFonts w:cs="Times New Roman"/>
        </w:rPr>
        <w:t>we</w:t>
      </w:r>
      <w:r w:rsidR="00155451" w:rsidRPr="00124B71">
        <w:rPr>
          <w:rFonts w:cs="Times New Roman"/>
        </w:rPr>
        <w:t>re making payments that represent a high percentage of their income. The extra money going toward their mortgage payment</w:t>
      </w:r>
      <w:r w:rsidR="001858B5">
        <w:rPr>
          <w:rFonts w:cs="Times New Roman"/>
        </w:rPr>
        <w:fldChar w:fldCharType="begin"/>
      </w:r>
      <w:r w:rsidR="00180E6F">
        <w:instrText xml:space="preserve"> XE "</w:instrText>
      </w:r>
      <w:r w:rsidR="00180E6F" w:rsidRPr="00891096">
        <w:rPr>
          <w:rFonts w:cs="Times New Roman"/>
        </w:rPr>
        <w:instrText>mortgage payment</w:instrText>
      </w:r>
      <w:r w:rsidR="00180E6F">
        <w:instrText xml:space="preserve">" </w:instrText>
      </w:r>
      <w:r w:rsidR="001858B5">
        <w:rPr>
          <w:rFonts w:cs="Times New Roman"/>
        </w:rPr>
        <w:fldChar w:fldCharType="end"/>
      </w:r>
      <w:r w:rsidR="00155451" w:rsidRPr="00124B71">
        <w:rPr>
          <w:rFonts w:cs="Times New Roman"/>
        </w:rPr>
        <w:t>, the money in excess of normal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00155451" w:rsidRPr="00124B71">
        <w:rPr>
          <w:rFonts w:cs="Times New Roman"/>
        </w:rPr>
        <w:t xml:space="preserve"> guidelines </w:t>
      </w:r>
      <w:r w:rsidR="00DC56F5" w:rsidRPr="00124B71">
        <w:rPr>
          <w:rFonts w:cs="Times New Roman"/>
        </w:rPr>
        <w:t>wa</w:t>
      </w:r>
      <w:r w:rsidR="00155451" w:rsidRPr="00124B71">
        <w:rPr>
          <w:rFonts w:cs="Times New Roman"/>
        </w:rPr>
        <w:t>s money the borrower d</w:t>
      </w:r>
      <w:r w:rsidR="00DC56F5" w:rsidRPr="00124B71">
        <w:rPr>
          <w:rFonts w:cs="Times New Roman"/>
        </w:rPr>
        <w:t>id</w:t>
      </w:r>
      <w:r w:rsidR="00155451" w:rsidRPr="00124B71">
        <w:rPr>
          <w:rFonts w:cs="Times New Roman"/>
        </w:rPr>
        <w:t xml:space="preserve"> not have available to spend on other things. The diminished discretionary spending income from this population of borrowers slow</w:t>
      </w:r>
      <w:r w:rsidR="00DC56F5" w:rsidRPr="00124B71">
        <w:rPr>
          <w:rFonts w:cs="Times New Roman"/>
        </w:rPr>
        <w:t>ed</w:t>
      </w:r>
      <w:r w:rsidR="00155451" w:rsidRPr="00124B71">
        <w:rPr>
          <w:rFonts w:cs="Times New Roman"/>
        </w:rPr>
        <w:t xml:space="preserve"> economic growth in an economy heavily dependent upon consumer spending such as the United States</w:t>
      </w:r>
      <w:r w:rsidR="00757A8B" w:rsidRPr="00124B71">
        <w:rPr>
          <w:rFonts w:cs="Times New Roman"/>
        </w:rPr>
        <w:t>.</w:t>
      </w:r>
      <w:r w:rsidR="00A107E9" w:rsidRPr="00124B71">
        <w:rPr>
          <w:rFonts w:cs="Times New Roman"/>
        </w:rPr>
        <w:t xml:space="preserve"> </w:t>
      </w:r>
      <w:r w:rsidR="00E203A4" w:rsidRPr="00124B71">
        <w:rPr>
          <w:rStyle w:val="EndnoteReference"/>
          <w:rFonts w:cs="Times New Roman"/>
        </w:rPr>
        <w:endnoteReference w:id="141"/>
      </w:r>
      <w:r w:rsidR="00155451" w:rsidRPr="00124B71">
        <w:rPr>
          <w:rFonts w:cs="Times New Roman"/>
        </w:rPr>
        <w:t xml:space="preserve"> Many borrowers during the Great Housing Bubble became accustomed to supplementing their income through mortgage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155451" w:rsidRPr="00124B71">
        <w:rPr>
          <w:rFonts w:cs="Times New Roman"/>
        </w:rPr>
        <w:t xml:space="preserve"> withdrawal. When house prices fell, mortgage equity withdrawal was curtailed. This forced many to adjust their lifestyles to live within the money provided by their wage incomes after paying the large debt-service payments. This loss of spending power was not just</w:t>
      </w:r>
      <w:r w:rsidR="00F54F28">
        <w:rPr>
          <w:rFonts w:cs="Times New Roman"/>
        </w:rPr>
        <w:t xml:space="preserve"> a</w:t>
      </w:r>
      <w:r w:rsidR="00155451" w:rsidRPr="00124B71">
        <w:rPr>
          <w:rFonts w:cs="Times New Roman"/>
        </w:rPr>
        <w:t xml:space="preserve"> difficult economic problem, it was a deeply personal problem for those who wish</w:t>
      </w:r>
      <w:r w:rsidR="00646E1F" w:rsidRPr="00124B71">
        <w:rPr>
          <w:rFonts w:cs="Times New Roman"/>
        </w:rPr>
        <w:t>ed</w:t>
      </w:r>
      <w:r w:rsidR="00155451" w:rsidRPr="00124B71">
        <w:rPr>
          <w:rFonts w:cs="Times New Roman"/>
        </w:rPr>
        <w:t xml:space="preserve"> to spend freely.</w:t>
      </w:r>
    </w:p>
    <w:p w14:paraId="0E787357" w14:textId="77777777" w:rsidR="00667459" w:rsidRDefault="00667459" w:rsidP="00667459">
      <w:pPr>
        <w:pStyle w:val="Heading3"/>
      </w:pPr>
      <w:bookmarkStart w:id="246" w:name="_Toc238867413"/>
      <w:r>
        <w:t>Personal Problems</w:t>
      </w:r>
      <w:bookmarkEnd w:id="246"/>
    </w:p>
    <w:p w14:paraId="3DED81FC" w14:textId="77777777" w:rsidR="00646E1F" w:rsidRPr="00124B71" w:rsidRDefault="00667459" w:rsidP="003A1B79">
      <w:pPr>
        <w:rPr>
          <w:rFonts w:cs="Times New Roman"/>
        </w:rPr>
      </w:pPr>
      <w:r w:rsidRPr="00124B71">
        <w:rPr>
          <w:rFonts w:cs="Times New Roman"/>
        </w:rPr>
        <w:t>The economic problems caused by asset price bubbles often lead to personal problems in the wake of the deflating bubble. Statistics about unemployment</w:t>
      </w:r>
      <w:r w:rsidR="001858B5">
        <w:rPr>
          <w:rFonts w:cs="Times New Roman"/>
        </w:rPr>
        <w:fldChar w:fldCharType="begin"/>
      </w:r>
      <w:r w:rsidR="00FB4BC9">
        <w:instrText xml:space="preserve"> XE "</w:instrText>
      </w:r>
      <w:r w:rsidR="00FB4BC9" w:rsidRPr="00E7306C">
        <w:rPr>
          <w:rFonts w:cs="Times New Roman"/>
        </w:rPr>
        <w:instrText>unemployment</w:instrText>
      </w:r>
      <w:r w:rsidR="00FB4BC9">
        <w:instrText xml:space="preserve">" </w:instrText>
      </w:r>
      <w:r w:rsidR="001858B5">
        <w:rPr>
          <w:rFonts w:cs="Times New Roman"/>
        </w:rPr>
        <w:fldChar w:fldCharType="end"/>
      </w:r>
      <w:r w:rsidRPr="00124B71">
        <w:rPr>
          <w:rFonts w:cs="Times New Roman"/>
        </w:rPr>
        <w:t>,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and bankruptcy</w:t>
      </w:r>
      <w:r w:rsidR="001858B5">
        <w:rPr>
          <w:rFonts w:cs="Times New Roman"/>
        </w:rPr>
        <w:fldChar w:fldCharType="begin"/>
      </w:r>
      <w:r w:rsidR="00F71DE5">
        <w:instrText xml:space="preserve"> XE "</w:instrText>
      </w:r>
      <w:r w:rsidR="00F71DE5" w:rsidRPr="0095267A">
        <w:rPr>
          <w:rFonts w:cs="Times New Roman"/>
        </w:rPr>
        <w:instrText>bankruptcy</w:instrText>
      </w:r>
      <w:r w:rsidR="00F71DE5">
        <w:instrText xml:space="preserve">" </w:instrText>
      </w:r>
      <w:r w:rsidR="001858B5">
        <w:rPr>
          <w:rFonts w:cs="Times New Roman"/>
        </w:rPr>
        <w:fldChar w:fldCharType="end"/>
      </w:r>
      <w:r w:rsidRPr="00124B71">
        <w:rPr>
          <w:rFonts w:cs="Times New Roman"/>
        </w:rPr>
        <w:t xml:space="preserve"> are impersonal. The events that result in any one of these outcomes </w:t>
      </w:r>
      <w:r w:rsidR="00CB7961" w:rsidRPr="00124B71">
        <w:rPr>
          <w:rFonts w:cs="Times New Roman"/>
        </w:rPr>
        <w:t>wa</w:t>
      </w:r>
      <w:r w:rsidRPr="00124B71">
        <w:rPr>
          <w:rFonts w:cs="Times New Roman"/>
        </w:rPr>
        <w:t>s anything but impersonal: these things happen</w:t>
      </w:r>
      <w:r w:rsidR="00CB7961" w:rsidRPr="00124B71">
        <w:rPr>
          <w:rFonts w:cs="Times New Roman"/>
        </w:rPr>
        <w:t>ed</w:t>
      </w:r>
      <w:r w:rsidRPr="00124B71">
        <w:rPr>
          <w:rFonts w:cs="Times New Roman"/>
        </w:rPr>
        <w:t xml:space="preserve"> to real people who ha</w:t>
      </w:r>
      <w:r w:rsidR="00CB7961" w:rsidRPr="00124B71">
        <w:rPr>
          <w:rFonts w:cs="Times New Roman"/>
        </w:rPr>
        <w:t>d</w:t>
      </w:r>
      <w:r w:rsidRPr="00124B71">
        <w:rPr>
          <w:rFonts w:cs="Times New Roman"/>
        </w:rPr>
        <w:t xml:space="preserve"> very real emotional responses. Many people during the fallout of the Great Housing Bubble experienced all three. Any one of these outcomes can lead to depression, suicide, divorce and a whole host of traumatic </w:t>
      </w:r>
      <w:r w:rsidRPr="00124B71">
        <w:rPr>
          <w:rFonts w:cs="Times New Roman"/>
        </w:rPr>
        <w:lastRenderedPageBreak/>
        <w:t xml:space="preserve">personal problems. All of it </w:t>
      </w:r>
      <w:r w:rsidR="00CB7961" w:rsidRPr="00124B71">
        <w:rPr>
          <w:rFonts w:cs="Times New Roman"/>
        </w:rPr>
        <w:t>wa</w:t>
      </w:r>
      <w:r w:rsidRPr="00124B71">
        <w:rPr>
          <w:rFonts w:cs="Times New Roman"/>
        </w:rPr>
        <w:t xml:space="preserve">s preventable if the bubble </w:t>
      </w:r>
      <w:r w:rsidR="00CB7961" w:rsidRPr="00124B71">
        <w:rPr>
          <w:rFonts w:cs="Times New Roman"/>
        </w:rPr>
        <w:t>wa</w:t>
      </w:r>
      <w:r w:rsidRPr="00124B71">
        <w:rPr>
          <w:rFonts w:cs="Times New Roman"/>
        </w:rPr>
        <w:t>s not allowed to inflate in the first place.</w:t>
      </w:r>
    </w:p>
    <w:p w14:paraId="5BA06EEC" w14:textId="77777777" w:rsidR="00667459" w:rsidRPr="00124B71" w:rsidRDefault="00667459" w:rsidP="003A1B79">
      <w:pPr>
        <w:rPr>
          <w:rFonts w:cs="Times New Roman"/>
        </w:rPr>
      </w:pPr>
      <w:r w:rsidRPr="00124B71">
        <w:rPr>
          <w:rFonts w:cs="Times New Roman"/>
        </w:rPr>
        <w:t>The volatility of price action during a bubble ha</w:t>
      </w:r>
      <w:r w:rsidR="00CB7961" w:rsidRPr="00124B71">
        <w:rPr>
          <w:rFonts w:cs="Times New Roman"/>
        </w:rPr>
        <w:t>d</w:t>
      </w:r>
      <w:r w:rsidRPr="00124B71">
        <w:rPr>
          <w:rFonts w:cs="Times New Roman"/>
        </w:rPr>
        <w:t xml:space="preserve"> a profound and capricious impact on people</w:t>
      </w:r>
      <w:r w:rsidR="00EE7133" w:rsidRPr="00124B71">
        <w:rPr>
          <w:rFonts w:cs="Times New Roman"/>
        </w:rPr>
        <w:t>’</w:t>
      </w:r>
      <w:r w:rsidRPr="00124B71">
        <w:rPr>
          <w:rFonts w:cs="Times New Roman"/>
        </w:rPr>
        <w:t xml:space="preserve">s financial </w:t>
      </w:r>
      <w:r w:rsidR="00EE7133" w:rsidRPr="00124B71">
        <w:rPr>
          <w:rFonts w:cs="Times New Roman"/>
        </w:rPr>
        <w:t>lives</w:t>
      </w:r>
      <w:r w:rsidRPr="00124B71">
        <w:rPr>
          <w:rFonts w:cs="Times New Roman"/>
        </w:rPr>
        <w:t>. Many people bec</w:t>
      </w:r>
      <w:r w:rsidR="00CB7961" w:rsidRPr="00124B71">
        <w:rPr>
          <w:rFonts w:cs="Times New Roman"/>
        </w:rPr>
        <w:t>a</w:t>
      </w:r>
      <w:r w:rsidRPr="00124B71">
        <w:rPr>
          <w:rFonts w:cs="Times New Roman"/>
        </w:rPr>
        <w:t>me enriched by fortuitous timing. Some of these people were market savvy individuals who kn</w:t>
      </w:r>
      <w:r w:rsidR="00816B46" w:rsidRPr="00124B71">
        <w:rPr>
          <w:rFonts w:cs="Times New Roman"/>
        </w:rPr>
        <w:t>e</w:t>
      </w:r>
      <w:r w:rsidRPr="00124B71">
        <w:rPr>
          <w:rFonts w:cs="Times New Roman"/>
        </w:rPr>
        <w:t xml:space="preserve">w when to buy and sell in a volatile market; however, since the mindset of a successful trader </w:t>
      </w:r>
      <w:r w:rsidR="00CB7961" w:rsidRPr="00124B71">
        <w:rPr>
          <w:rFonts w:cs="Times New Roman"/>
        </w:rPr>
        <w:t>wa</w:t>
      </w:r>
      <w:r w:rsidRPr="00124B71">
        <w:rPr>
          <w:rFonts w:cs="Times New Roman"/>
        </w:rPr>
        <w:t>s rare, and since most housing marke</w:t>
      </w:r>
      <w:r w:rsidR="00EE7133" w:rsidRPr="00124B71">
        <w:rPr>
          <w:rFonts w:cs="Times New Roman"/>
        </w:rPr>
        <w:t xml:space="preserve">t participants </w:t>
      </w:r>
      <w:r w:rsidR="00CB7961" w:rsidRPr="00124B71">
        <w:rPr>
          <w:rFonts w:cs="Times New Roman"/>
        </w:rPr>
        <w:t>we</w:t>
      </w:r>
      <w:r w:rsidR="00EE7133" w:rsidRPr="00124B71">
        <w:rPr>
          <w:rFonts w:cs="Times New Roman"/>
        </w:rPr>
        <w:t>re amateurs with emotional responses almost guaranteed to produce a loss, the majority of bubble participants los</w:t>
      </w:r>
      <w:r w:rsidR="00CB7961" w:rsidRPr="00124B71">
        <w:rPr>
          <w:rFonts w:cs="Times New Roman"/>
        </w:rPr>
        <w:t>t</w:t>
      </w:r>
      <w:r w:rsidR="00EE7133" w:rsidRPr="00124B71">
        <w:rPr>
          <w:rFonts w:cs="Times New Roman"/>
        </w:rPr>
        <w:t xml:space="preserve"> a great deal of money. Some </w:t>
      </w:r>
      <w:r w:rsidR="00CB7961" w:rsidRPr="00124B71">
        <w:rPr>
          <w:rFonts w:cs="Times New Roman"/>
        </w:rPr>
        <w:t>we</w:t>
      </w:r>
      <w:r w:rsidR="00EE7133" w:rsidRPr="00124B71">
        <w:rPr>
          <w:rFonts w:cs="Times New Roman"/>
        </w:rPr>
        <w:t xml:space="preserve">re lucky. Some people </w:t>
      </w:r>
      <w:r w:rsidR="00CB7961" w:rsidRPr="00124B71">
        <w:rPr>
          <w:rFonts w:cs="Times New Roman"/>
        </w:rPr>
        <w:t>bought</w:t>
      </w:r>
      <w:r w:rsidR="00EE7133" w:rsidRPr="00124B71">
        <w:rPr>
          <w:rFonts w:cs="Times New Roman"/>
        </w:rPr>
        <w:t xml:space="preserve"> and </w:t>
      </w:r>
      <w:r w:rsidR="00CB7961" w:rsidRPr="00124B71">
        <w:rPr>
          <w:rFonts w:cs="Times New Roman"/>
        </w:rPr>
        <w:t>sold</w:t>
      </w:r>
      <w:r w:rsidR="00EE7133" w:rsidRPr="00124B71">
        <w:rPr>
          <w:rFonts w:cs="Times New Roman"/>
        </w:rPr>
        <w:t xml:space="preserve"> at the right time</w:t>
      </w:r>
      <w:r w:rsidRPr="00124B71">
        <w:rPr>
          <w:rFonts w:cs="Times New Roman"/>
        </w:rPr>
        <w:t xml:space="preserve"> </w:t>
      </w:r>
      <w:r w:rsidR="00EE7133" w:rsidRPr="00124B71">
        <w:rPr>
          <w:rFonts w:cs="Times New Roman"/>
        </w:rPr>
        <w:t>due to life circumstances beyond their control. Those who transferred out of bubble markets for their careers and sold their houses at the peak reaped huge windfalls. Of course, for every seller who reaped a windfall, there was a buyer who faced major financial difficulties. The unequal distribution of gains and losses from bubble market volatility is not a positive feature.</w:t>
      </w:r>
    </w:p>
    <w:p w14:paraId="34CC2D6D" w14:textId="77777777" w:rsidR="00EE7133" w:rsidRPr="00124B71" w:rsidRDefault="00EE7133" w:rsidP="003A1B79">
      <w:pPr>
        <w:rPr>
          <w:rFonts w:cs="Times New Roman"/>
        </w:rPr>
      </w:pPr>
      <w:r w:rsidRPr="00124B71">
        <w:rPr>
          <w:rFonts w:cs="Times New Roman"/>
        </w:rPr>
        <w:t>Another group</w:t>
      </w:r>
      <w:r w:rsidR="00CB7961" w:rsidRPr="00124B71">
        <w:rPr>
          <w:rFonts w:cs="Times New Roman"/>
        </w:rPr>
        <w:t xml:space="preserve"> of people</w:t>
      </w:r>
      <w:r w:rsidRPr="00124B71">
        <w:rPr>
          <w:rFonts w:cs="Times New Roman"/>
        </w:rPr>
        <w:t xml:space="preserve"> deeply impacted by bubble market volatility </w:t>
      </w:r>
      <w:r w:rsidR="00CB7961" w:rsidRPr="00124B71">
        <w:rPr>
          <w:rFonts w:cs="Times New Roman"/>
        </w:rPr>
        <w:t>are</w:t>
      </w:r>
      <w:r w:rsidRPr="00124B71">
        <w:rPr>
          <w:rFonts w:cs="Times New Roman"/>
        </w:rPr>
        <w:t xml:space="preserve"> th</w:t>
      </w:r>
      <w:r w:rsidR="00CB7961" w:rsidRPr="00124B71">
        <w:rPr>
          <w:rFonts w:cs="Times New Roman"/>
        </w:rPr>
        <w:t>ose</w:t>
      </w:r>
      <w:r w:rsidRPr="00124B71">
        <w:rPr>
          <w:rFonts w:cs="Times New Roman"/>
        </w:rPr>
        <w:t xml:space="preserve"> who chose not to participate. Some of these people recognized the bubble for what it was, and some could not set aside common sense to accept the fallacious beliefs of bubble mentality. This group was forced to rent during the bubble and subsequent decline. Many of these people would </w:t>
      </w:r>
      <w:r w:rsidR="00CB7961" w:rsidRPr="00124B71">
        <w:rPr>
          <w:rFonts w:cs="Times New Roman"/>
        </w:rPr>
        <w:t>have preferred ownership, preferred</w:t>
      </w:r>
      <w:r w:rsidRPr="00124B71">
        <w:rPr>
          <w:rFonts w:cs="Times New Roman"/>
        </w:rPr>
        <w:t xml:space="preserve"> to have the freedom to customize a property to their liking</w:t>
      </w:r>
      <w:r w:rsidR="00737D53" w:rsidRPr="00124B71">
        <w:rPr>
          <w:rFonts w:cs="Times New Roman"/>
        </w:rPr>
        <w:t>,</w:t>
      </w:r>
      <w:r w:rsidRPr="00124B71">
        <w:rPr>
          <w:rFonts w:cs="Times New Roman"/>
        </w:rPr>
        <w:t xml:space="preserve"> and </w:t>
      </w:r>
      <w:r w:rsidR="00CB7961" w:rsidRPr="00124B71">
        <w:rPr>
          <w:rFonts w:cs="Times New Roman"/>
        </w:rPr>
        <w:t>preferred to obtain</w:t>
      </w:r>
      <w:r w:rsidRPr="00124B71">
        <w:rPr>
          <w:rFonts w:cs="Times New Roman"/>
        </w:rPr>
        <w:t xml:space="preserve"> the intangible benefits of ownership </w:t>
      </w:r>
      <w:r w:rsidR="00CB7961" w:rsidRPr="00124B71">
        <w:rPr>
          <w:rFonts w:cs="Times New Roman"/>
        </w:rPr>
        <w:t>such as a</w:t>
      </w:r>
      <w:r w:rsidRPr="00124B71">
        <w:rPr>
          <w:rFonts w:cs="Times New Roman"/>
        </w:rPr>
        <w:t xml:space="preserve"> feeling of community and belonging. These people had to endure the patient “waiting game” and feelings of groundlessness renting can entail.</w:t>
      </w:r>
    </w:p>
    <w:p w14:paraId="17F77256" w14:textId="77777777" w:rsidR="008B01A8" w:rsidRDefault="008B01A8" w:rsidP="008B01A8">
      <w:pPr>
        <w:pStyle w:val="Heading2"/>
      </w:pPr>
      <w:bookmarkStart w:id="247" w:name="_Toc238867414"/>
      <w:r>
        <w:t>Addressing the Cause</w:t>
      </w:r>
      <w:bookmarkEnd w:id="247"/>
    </w:p>
    <w:p w14:paraId="0AEA0884" w14:textId="77777777" w:rsidR="008B01A8" w:rsidRPr="00124B71" w:rsidRDefault="006147BC" w:rsidP="008B01A8">
      <w:pPr>
        <w:rPr>
          <w:rFonts w:cs="Times New Roman"/>
        </w:rPr>
      </w:pPr>
      <w:r w:rsidRPr="00124B71">
        <w:rPr>
          <w:rFonts w:cs="Times New Roman"/>
        </w:rPr>
        <w:t xml:space="preserve">Before a doctor prescribes a treatment, the patient must first be evaluated and a disease must be diagnosed. Similarly, implementing a new policy </w:t>
      </w:r>
      <w:r w:rsidR="00CB7961" w:rsidRPr="00124B71">
        <w:rPr>
          <w:rFonts w:cs="Times New Roman"/>
        </w:rPr>
        <w:t>in</w:t>
      </w:r>
      <w:r w:rsidRPr="00124B71">
        <w:rPr>
          <w:rFonts w:cs="Times New Roman"/>
        </w:rPr>
        <w:t xml:space="preserve"> either the public sector or private sector </w:t>
      </w:r>
      <w:r w:rsidR="00CB7961" w:rsidRPr="00124B71">
        <w:rPr>
          <w:rFonts w:cs="Times New Roman"/>
        </w:rPr>
        <w:t xml:space="preserve">to prevent future housing bubbles </w:t>
      </w:r>
      <w:r w:rsidRPr="00124B71">
        <w:rPr>
          <w:rFonts w:cs="Times New Roman"/>
        </w:rPr>
        <w:t>can only take place after the causes of the housing bubble are accurately identified. If the root causes are not identified correctly, policy initiatives may not have the desired effect. The Great Housing Bubble was a credit bubble, and some form of restriction of credit must be part of any policy initiative. A common criticism of past initiatives restricting credit availability to homeowners is that these initiatives tend</w:t>
      </w:r>
      <w:r w:rsidR="00CB7961" w:rsidRPr="00124B71">
        <w:rPr>
          <w:rFonts w:cs="Times New Roman"/>
        </w:rPr>
        <w:t>ed</w:t>
      </w:r>
      <w:r w:rsidRPr="00124B71">
        <w:rPr>
          <w:rFonts w:cs="Times New Roman"/>
        </w:rPr>
        <w:t xml:space="preserve"> to limit opportunities for home ownership without properly addressing problems with lending practices</w:t>
      </w:r>
      <w:r w:rsidR="00757A8B" w:rsidRPr="00124B71">
        <w:rPr>
          <w:rFonts w:cs="Times New Roman"/>
        </w:rPr>
        <w:t>.</w:t>
      </w:r>
      <w:r w:rsidR="00A107E9" w:rsidRPr="00124B71">
        <w:rPr>
          <w:rFonts w:cs="Times New Roman"/>
        </w:rPr>
        <w:t xml:space="preserve"> </w:t>
      </w:r>
      <w:r w:rsidR="00816B46" w:rsidRPr="00124B71">
        <w:rPr>
          <w:rStyle w:val="EndnoteReference"/>
          <w:rFonts w:cs="Times New Roman"/>
        </w:rPr>
        <w:endnoteReference w:id="142"/>
      </w:r>
      <w:r w:rsidRPr="00124B71">
        <w:rPr>
          <w:rFonts w:cs="Times New Roman"/>
        </w:rPr>
        <w:t xml:space="preserve"> The goal of any policy initiative with regards to preventing future housing bubbles is to limit or constrain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Pr="00124B71">
        <w:rPr>
          <w:rFonts w:cs="Times New Roman"/>
        </w:rPr>
        <w:t xml:space="preserve"> without impacting the smooth operation</w:t>
      </w:r>
      <w:r w:rsidR="007C415D" w:rsidRPr="00124B71">
        <w:rPr>
          <w:rFonts w:cs="Times New Roman"/>
        </w:rPr>
        <w:t xml:space="preserve"> of the financial market. It is no easy task.</w:t>
      </w:r>
    </w:p>
    <w:p w14:paraId="4F555711" w14:textId="77777777" w:rsidR="007C415D" w:rsidRPr="00124B71" w:rsidRDefault="007C415D" w:rsidP="008B01A8">
      <w:pPr>
        <w:rPr>
          <w:rFonts w:cs="Times New Roman"/>
        </w:rPr>
      </w:pPr>
      <w:r w:rsidRPr="00124B71">
        <w:rPr>
          <w:rFonts w:cs="Times New Roman"/>
        </w:rPr>
        <w:t>Before a policy can be formulated, there needs to be an open discussion of the goal of maximizing home ownership. Owning a home has become synonymous with the American Dream</w:t>
      </w:r>
      <w:r w:rsidR="001858B5">
        <w:rPr>
          <w:rFonts w:cs="Times New Roman"/>
        </w:rPr>
        <w:fldChar w:fldCharType="begin"/>
      </w:r>
      <w:r w:rsidR="00074436">
        <w:instrText xml:space="preserve"> XE "</w:instrText>
      </w:r>
      <w:r w:rsidR="00074436" w:rsidRPr="00E16FBE">
        <w:rPr>
          <w:rFonts w:cs="Times New Roman"/>
        </w:rPr>
        <w:instrText>American Dream</w:instrText>
      </w:r>
      <w:r w:rsidR="00074436">
        <w:instrText xml:space="preserve">" </w:instrText>
      </w:r>
      <w:r w:rsidR="001858B5">
        <w:rPr>
          <w:rFonts w:cs="Times New Roman"/>
        </w:rPr>
        <w:fldChar w:fldCharType="end"/>
      </w:r>
      <w:r w:rsidRPr="00124B71">
        <w:rPr>
          <w:rFonts w:cs="Times New Roman"/>
        </w:rPr>
        <w:t>. Every Presidential administration has had the expansion of home ownership as one of its goals. The tax code is structured to give tax breaks to home owners to encourage home ownership. The idea of home ownership is deeply embedded in our culture.</w:t>
      </w:r>
    </w:p>
    <w:p w14:paraId="17F9F9F9" w14:textId="77777777" w:rsidR="007C415D" w:rsidRPr="00124B71" w:rsidRDefault="007C415D" w:rsidP="008B01A8">
      <w:pPr>
        <w:rPr>
          <w:rFonts w:cs="Times New Roman"/>
        </w:rPr>
      </w:pPr>
      <w:r w:rsidRPr="00124B71">
        <w:rPr>
          <w:rFonts w:cs="Times New Roman"/>
        </w:rPr>
        <w:lastRenderedPageBreak/>
        <w:t>Managing the rate of home ownership is analogous to managing the rate of economic growth. It is not the policy of our government or the Federal Reserve</w:t>
      </w:r>
      <w:r w:rsidR="001858B5">
        <w:rPr>
          <w:rFonts w:cs="Times New Roman"/>
        </w:rPr>
        <w:fldChar w:fldCharType="begin"/>
      </w:r>
      <w:r w:rsidR="00E84A0F">
        <w:instrText xml:space="preserve"> XE "</w:instrText>
      </w:r>
      <w:r w:rsidR="00E84A0F" w:rsidRPr="005F15E8">
        <w:rPr>
          <w:rFonts w:cs="Times New Roman"/>
        </w:rPr>
        <w:instrText>Federal Reserve</w:instrText>
      </w:r>
      <w:r w:rsidR="00E84A0F">
        <w:instrText xml:space="preserve">" </w:instrText>
      </w:r>
      <w:r w:rsidR="001858B5">
        <w:rPr>
          <w:rFonts w:cs="Times New Roman"/>
        </w:rPr>
        <w:fldChar w:fldCharType="end"/>
      </w:r>
      <w:r w:rsidRPr="00124B71">
        <w:rPr>
          <w:rFonts w:cs="Times New Roman"/>
        </w:rPr>
        <w:t xml:space="preserve"> to maximize economic growth. Instead, the Federal Reserve balances economic growth with inflation and tries to manage economic growth to keep it on a sustainable path. This policy grew out of our painful </w:t>
      </w:r>
      <w:r w:rsidR="00CB7961" w:rsidRPr="00124B71">
        <w:rPr>
          <w:rFonts w:cs="Times New Roman"/>
        </w:rPr>
        <w:t xml:space="preserve">history of economic </w:t>
      </w:r>
      <w:r w:rsidRPr="00124B71">
        <w:rPr>
          <w:rFonts w:cs="Times New Roman"/>
        </w:rPr>
        <w:t>cycles of boom and bust. It was realized that economic growth must be tempered to a sustainable level to minimize the damage of economic downturns. Similarly, the rate of home ownership should not be maximized. Home ownership will never reach 100%, and this should not be the goal of housing policy.</w:t>
      </w:r>
      <w:r w:rsidR="0097237A" w:rsidRPr="00124B71">
        <w:rPr>
          <w:rFonts w:cs="Times New Roman"/>
        </w:rPr>
        <w:t xml:space="preserve"> Just as economic growth is tempered by the rate of inflation, home ownership rates</w:t>
      </w:r>
      <w:r w:rsidR="001858B5">
        <w:rPr>
          <w:rFonts w:cs="Times New Roman"/>
        </w:rPr>
        <w:fldChar w:fldCharType="begin"/>
      </w:r>
      <w:r w:rsidR="00074436">
        <w:instrText xml:space="preserve"> XE "</w:instrText>
      </w:r>
      <w:r w:rsidR="00074436" w:rsidRPr="00FD699A">
        <w:rPr>
          <w:rFonts w:cs="Times New Roman"/>
        </w:rPr>
        <w:instrText>home ownership rates</w:instrText>
      </w:r>
      <w:r w:rsidR="00074436">
        <w:instrText xml:space="preserve">" </w:instrText>
      </w:r>
      <w:r w:rsidR="001858B5">
        <w:rPr>
          <w:rFonts w:cs="Times New Roman"/>
        </w:rPr>
        <w:fldChar w:fldCharType="end"/>
      </w:r>
      <w:r w:rsidR="0097237A" w:rsidRPr="00124B71">
        <w:rPr>
          <w:rFonts w:cs="Times New Roman"/>
        </w:rPr>
        <w:t xml:space="preserve"> are tempered by the rate of default of mortgage loan programs.</w:t>
      </w:r>
    </w:p>
    <w:p w14:paraId="6BF79447" w14:textId="77777777" w:rsidR="00C5515C" w:rsidRPr="00124B71" w:rsidRDefault="007C415D" w:rsidP="008B01A8">
      <w:pPr>
        <w:rPr>
          <w:rFonts w:cs="Times New Roman"/>
        </w:rPr>
      </w:pPr>
      <w:r w:rsidRPr="00124B71">
        <w:rPr>
          <w:rFonts w:cs="Times New Roman"/>
        </w:rPr>
        <w:t>The harsh reality is that a certain percentage of the population lacks the</w:t>
      </w:r>
      <w:r w:rsidR="00C5515C" w:rsidRPr="00124B71">
        <w:rPr>
          <w:rFonts w:cs="Times New Roman"/>
        </w:rPr>
        <w:t xml:space="preserve"> desire,</w:t>
      </w:r>
      <w:r w:rsidRPr="00124B71">
        <w:rPr>
          <w:rFonts w:cs="Times New Roman"/>
        </w:rPr>
        <w:t xml:space="preserve"> discipline or responsibility requisite to be a homeowner. </w:t>
      </w:r>
      <w:r w:rsidR="00C5515C" w:rsidRPr="00124B71">
        <w:rPr>
          <w:rFonts w:cs="Times New Roman"/>
        </w:rPr>
        <w:t>There is a percentage of the population who do not want to be homeowners. Many people require mobility to pursue career opportunities or other goals. Some people like the freedom of renting and do not want the responsibilities of home ownership that go beyond monthly payments. There are s</w:t>
      </w:r>
      <w:r w:rsidRPr="00124B71">
        <w:rPr>
          <w:rFonts w:cs="Times New Roman"/>
        </w:rPr>
        <w:t>ome people</w:t>
      </w:r>
      <w:r w:rsidR="00C5515C" w:rsidRPr="00124B71">
        <w:rPr>
          <w:rFonts w:cs="Times New Roman"/>
        </w:rPr>
        <w:t xml:space="preserve"> who</w:t>
      </w:r>
      <w:r w:rsidRPr="00124B71">
        <w:rPr>
          <w:rFonts w:cs="Times New Roman"/>
        </w:rPr>
        <w:t xml:space="preserve"> simply </w:t>
      </w:r>
      <w:r w:rsidR="00C5515C" w:rsidRPr="00124B71">
        <w:rPr>
          <w:rFonts w:cs="Times New Roman"/>
        </w:rPr>
        <w:t xml:space="preserve">do </w:t>
      </w:r>
      <w:r w:rsidRPr="00124B71">
        <w:rPr>
          <w:rFonts w:cs="Times New Roman"/>
        </w:rPr>
        <w:t>not make housing payments</w:t>
      </w:r>
      <w:r w:rsidR="00C5515C" w:rsidRPr="00124B71">
        <w:rPr>
          <w:rFonts w:cs="Times New Roman"/>
        </w:rPr>
        <w:t xml:space="preserve"> consistently</w:t>
      </w:r>
      <w:r w:rsidRPr="00124B71">
        <w:rPr>
          <w:rFonts w:cs="Times New Roman"/>
        </w:rPr>
        <w:t xml:space="preserve">. </w:t>
      </w:r>
      <w:r w:rsidR="00C5515C" w:rsidRPr="00124B71">
        <w:rPr>
          <w:rFonts w:cs="Times New Roman"/>
        </w:rPr>
        <w:t xml:space="preserve">This group is not capable of sustaining home ownership. There may be opportunities for policy initiatives to increase education to make this group smaller, but there will always be some people who cannot or will not do what is necessary to keep a house: make their payments. There is a percentage of the general population who should be renters. </w:t>
      </w:r>
    </w:p>
    <w:p w14:paraId="14006B4C" w14:textId="77777777" w:rsidR="007C415D" w:rsidRPr="00124B71" w:rsidRDefault="00C5515C" w:rsidP="008B01A8">
      <w:pPr>
        <w:rPr>
          <w:rFonts w:cs="Times New Roman"/>
        </w:rPr>
      </w:pPr>
      <w:r w:rsidRPr="00124B71">
        <w:rPr>
          <w:rFonts w:cs="Times New Roman"/>
        </w:rPr>
        <w:t>There is a natural, sustainable level of home ownership. Home ownership</w:t>
      </w:r>
      <w:r w:rsidR="0097237A" w:rsidRPr="00124B71">
        <w:rPr>
          <w:rFonts w:cs="Times New Roman"/>
        </w:rPr>
        <w:t xml:space="preserve"> rates</w:t>
      </w:r>
      <w:r w:rsidR="00987FDA">
        <w:rPr>
          <w:rFonts w:cs="Times New Roman"/>
        </w:rPr>
        <w:t xml:space="preserve"> </w:t>
      </w:r>
      <w:r w:rsidRPr="00124B71">
        <w:rPr>
          <w:rFonts w:cs="Times New Roman"/>
        </w:rPr>
        <w:t>in the United States increase</w:t>
      </w:r>
      <w:r w:rsidR="0097237A" w:rsidRPr="00124B71">
        <w:rPr>
          <w:rFonts w:cs="Times New Roman"/>
        </w:rPr>
        <w:t>d</w:t>
      </w:r>
      <w:r w:rsidRPr="00124B71">
        <w:rPr>
          <w:rFonts w:cs="Times New Roman"/>
        </w:rPr>
        <w:t xml:space="preserve"> markedly at the end of World War </w:t>
      </w:r>
      <w:r w:rsidR="00544385" w:rsidRPr="00124B71">
        <w:rPr>
          <w:rFonts w:cs="Times New Roman"/>
        </w:rPr>
        <w:t>T</w:t>
      </w:r>
      <w:r w:rsidRPr="00124B71">
        <w:rPr>
          <w:rFonts w:cs="Times New Roman"/>
        </w:rPr>
        <w:t>wo as the 30-year fixed-rate mortgage became the commonly accepted vehicle of home finance.</w:t>
      </w:r>
      <w:r w:rsidR="0097237A" w:rsidRPr="00124B71">
        <w:rPr>
          <w:rFonts w:cs="Times New Roman"/>
        </w:rPr>
        <w:t xml:space="preserve"> In the 60 years that followed, home ownership rates</w:t>
      </w:r>
      <w:r w:rsidR="001858B5">
        <w:rPr>
          <w:rFonts w:cs="Times New Roman"/>
        </w:rPr>
        <w:fldChar w:fldCharType="begin"/>
      </w:r>
      <w:r w:rsidR="00074436">
        <w:instrText xml:space="preserve"> XE "</w:instrText>
      </w:r>
      <w:r w:rsidR="00074436" w:rsidRPr="00FD699A">
        <w:rPr>
          <w:rFonts w:cs="Times New Roman"/>
        </w:rPr>
        <w:instrText>home ownership rates</w:instrText>
      </w:r>
      <w:r w:rsidR="00074436">
        <w:instrText xml:space="preserve">" </w:instrText>
      </w:r>
      <w:r w:rsidR="001858B5">
        <w:rPr>
          <w:rFonts w:cs="Times New Roman"/>
        </w:rPr>
        <w:fldChar w:fldCharType="end"/>
      </w:r>
      <w:r w:rsidR="0097237A" w:rsidRPr="00124B71">
        <w:rPr>
          <w:rFonts w:cs="Times New Roman"/>
        </w:rPr>
        <w:t xml:space="preserve"> stabilized between 60% and 65%</w:t>
      </w:r>
      <w:r w:rsidR="002B0609" w:rsidRPr="00124B71">
        <w:rPr>
          <w:rFonts w:cs="Times New Roman"/>
        </w:rPr>
        <w:t xml:space="preserve"> through good economic times and recessions and interest rates ranging from below 6% to above 18%</w:t>
      </w:r>
      <w:r w:rsidR="0097237A" w:rsidRPr="00124B71">
        <w:rPr>
          <w:rFonts w:cs="Times New Roman"/>
        </w:rPr>
        <w:t>.</w:t>
      </w:r>
      <w:r w:rsidRPr="00124B71">
        <w:rPr>
          <w:rFonts w:cs="Times New Roman"/>
        </w:rPr>
        <w:t xml:space="preserve"> </w:t>
      </w:r>
      <w:r w:rsidR="0097237A" w:rsidRPr="00124B71">
        <w:rPr>
          <w:rFonts w:cs="Times New Roman"/>
        </w:rPr>
        <w:t>Subprime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0097237A" w:rsidRPr="00124B71">
        <w:rPr>
          <w:rFonts w:cs="Times New Roman"/>
        </w:rPr>
        <w:t xml:space="preserve"> lending demonstrated that increasing the home ownership rate through the widespread use of lending programs with high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97237A" w:rsidRPr="00124B71">
        <w:rPr>
          <w:rFonts w:cs="Times New Roman"/>
        </w:rPr>
        <w:t xml:space="preserve"> is inherently unstable. Managing the home ownership rate is not a subject of governmental policy. Any legislative initiative to specifically limit home ownership rates would be politically unpalatable; however, either a market-based initiative or a legislative initiative that prevents the widespread use </w:t>
      </w:r>
      <w:r w:rsidR="00F54F28">
        <w:rPr>
          <w:rFonts w:cs="Times New Roman"/>
        </w:rPr>
        <w:t>of</w:t>
      </w:r>
      <w:r w:rsidR="0097237A" w:rsidRPr="00124B71">
        <w:rPr>
          <w:rFonts w:cs="Times New Roman"/>
        </w:rPr>
        <w:t xml:space="preserve"> loan programs subject to high rates of default rates would effectively manage the home ownership rate</w:t>
      </w:r>
      <w:r w:rsidR="00363809" w:rsidRPr="00124B71">
        <w:rPr>
          <w:rFonts w:cs="Times New Roman"/>
        </w:rPr>
        <w:t xml:space="preserve"> and prevent painful declines in that rate. Home ownership rates decline as homeowners become renters, a painful process known as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363809" w:rsidRPr="00124B71">
        <w:rPr>
          <w:rFonts w:cs="Times New Roman"/>
        </w:rPr>
        <w:t>.</w:t>
      </w:r>
    </w:p>
    <w:p w14:paraId="6F20EDB1" w14:textId="77777777" w:rsidR="008B01A8" w:rsidRDefault="008B01A8" w:rsidP="008B01A8">
      <w:pPr>
        <w:pStyle w:val="Heading3"/>
      </w:pPr>
      <w:bookmarkStart w:id="248" w:name="_Toc238867415"/>
      <w:r>
        <w:t>What did not cause the bubble</w:t>
      </w:r>
      <w:r w:rsidR="00F33752">
        <w:t>?</w:t>
      </w:r>
      <w:bookmarkEnd w:id="248"/>
    </w:p>
    <w:p w14:paraId="5D4B8A26" w14:textId="77777777" w:rsidR="008B01A8" w:rsidRPr="00124B71" w:rsidRDefault="00F33752" w:rsidP="008B01A8">
      <w:pPr>
        <w:rPr>
          <w:rFonts w:cs="Times New Roman"/>
        </w:rPr>
      </w:pPr>
      <w:r w:rsidRPr="00124B71">
        <w:rPr>
          <w:rFonts w:cs="Times New Roman"/>
        </w:rPr>
        <w:t>There are a wide variety of ideas for preventing future housing bubbles</w:t>
      </w:r>
      <w:r w:rsidR="00CB172D" w:rsidRPr="00124B71">
        <w:rPr>
          <w:rFonts w:cs="Times New Roman"/>
        </w:rPr>
        <w:t>, and all the ideas in the public forum are</w:t>
      </w:r>
      <w:r w:rsidRPr="00124B71">
        <w:rPr>
          <w:rFonts w:cs="Times New Roman"/>
        </w:rPr>
        <w:t xml:space="preserve"> not discussed here. Some of the more popular are examined to demonstrate why they would not be successful. Most of the ideas that will not work are some form of direct regulation of interest rates,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Pr="00124B71">
        <w:rPr>
          <w:rFonts w:cs="Times New Roman"/>
        </w:rPr>
        <w:t xml:space="preserve"> activities, price-to-income</w:t>
      </w:r>
      <w:r w:rsidR="001858B5">
        <w:rPr>
          <w:rFonts w:cs="Times New Roman"/>
        </w:rPr>
        <w:fldChar w:fldCharType="begin"/>
      </w:r>
      <w:r w:rsidR="00AE7D38">
        <w:instrText xml:space="preserve"> XE "</w:instrText>
      </w:r>
      <w:r w:rsidR="00AE7D38" w:rsidRPr="008121A2">
        <w:rPr>
          <w:rFonts w:cs="Times New Roman"/>
        </w:rPr>
        <w:instrText>price-to-income</w:instrText>
      </w:r>
      <w:r w:rsidR="00AE7D38">
        <w:instrText xml:space="preserve">" </w:instrText>
      </w:r>
      <w:r w:rsidR="001858B5">
        <w:rPr>
          <w:rFonts w:cs="Times New Roman"/>
        </w:rPr>
        <w:fldChar w:fldCharType="end"/>
      </w:r>
      <w:r w:rsidRPr="00124B71">
        <w:rPr>
          <w:rFonts w:cs="Times New Roman"/>
        </w:rPr>
        <w:t xml:space="preserve"> ratios or invest</w:t>
      </w:r>
      <w:r w:rsidRPr="00124B71">
        <w:rPr>
          <w:rFonts w:cs="Times New Roman"/>
        </w:rPr>
        <w:lastRenderedPageBreak/>
        <w:t>ment of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capital. All regulatory initiatives carry a common problem: there is little enforcement once a bubble starts inflating. When times are good, there is immense political pressure for regulators to look the other way. When there is no apparent, immediate harm from a given practice, there is only a vague memory of a time long ago when circumstances were quite different and some restrictive law was passed. The law may seem quaint and old-fashioned or simply an obstruction to the wheels of progress. The rationalizations and justifications for ignoring laws are many, and the pressure to do so is intense when powerful lobbying interests are pressuring Congressmen who subsequently pressure</w:t>
      </w:r>
      <w:r w:rsidR="00A6765F">
        <w:rPr>
          <w:rFonts w:cs="Times New Roman"/>
        </w:rPr>
        <w:t xml:space="preserve"> government</w:t>
      </w:r>
      <w:r w:rsidRPr="00124B71">
        <w:rPr>
          <w:rFonts w:cs="Times New Roman"/>
        </w:rPr>
        <w:t xml:space="preserve"> regulators. </w:t>
      </w:r>
    </w:p>
    <w:p w14:paraId="35FFAE65" w14:textId="77777777" w:rsidR="00F33752" w:rsidRPr="00124B71" w:rsidRDefault="00F33752" w:rsidP="008B01A8">
      <w:pPr>
        <w:rPr>
          <w:rFonts w:cs="Times New Roman"/>
        </w:rPr>
      </w:pPr>
      <w:r w:rsidRPr="00124B71">
        <w:rPr>
          <w:rFonts w:cs="Times New Roman"/>
        </w:rPr>
        <w:t>Many believe that lower interest rates created the Great Housing Bubble, and the regulation of interest rates would prevent future bubbles. This is wrong on both counts. The low</w:t>
      </w:r>
      <w:r w:rsidR="008D32CC">
        <w:rPr>
          <w:rFonts w:cs="Times New Roman"/>
        </w:rPr>
        <w:t>er</w:t>
      </w:r>
      <w:r w:rsidRPr="00124B71">
        <w:rPr>
          <w:rFonts w:cs="Times New Roman"/>
        </w:rPr>
        <w:t xml:space="preserve">ing of interest rates did help precipitate the bubble by reducing borrowing costs and increasing home prices; however, once house prices started to rise, prices went much higher than the lower interest rates alone </w:t>
      </w:r>
      <w:r w:rsidR="00FF25CD" w:rsidRPr="00124B71">
        <w:rPr>
          <w:rFonts w:cs="Times New Roman"/>
        </w:rPr>
        <w:t>can account for. At most, one-third to one-half of the national price increase was due to lower interest rates, and less than 10% of the increase in coastal areas can be attributed to these lower rates. The direct regulation of mortgage interest rates would disrupt the free flow of capital in the mortgage market. If the regulated rate was too low, no money would be made available, and if the rate w</w:t>
      </w:r>
      <w:r w:rsidR="00816B46" w:rsidRPr="00124B71">
        <w:rPr>
          <w:rFonts w:cs="Times New Roman"/>
        </w:rPr>
        <w:t>as</w:t>
      </w:r>
      <w:r w:rsidR="00FF25CD" w:rsidRPr="00124B71">
        <w:rPr>
          <w:rFonts w:cs="Times New Roman"/>
        </w:rPr>
        <w:t xml:space="preserve"> too high, excess money would flow into real estate working to create another bubble. No form of mortgage interest rate regulation would prevent a future bubble </w:t>
      </w:r>
      <w:r w:rsidR="00A83DC5" w:rsidRPr="00124B71">
        <w:rPr>
          <w:rFonts w:cs="Times New Roman"/>
        </w:rPr>
        <w:t>because</w:t>
      </w:r>
      <w:r w:rsidR="00FF25CD" w:rsidRPr="00124B71">
        <w:rPr>
          <w:rFonts w:cs="Times New Roman"/>
        </w:rPr>
        <w:t xml:space="preserve"> interest rates </w:t>
      </w:r>
      <w:r w:rsidR="00A83DC5" w:rsidRPr="00124B71">
        <w:rPr>
          <w:rFonts w:cs="Times New Roman"/>
        </w:rPr>
        <w:t>we</w:t>
      </w:r>
      <w:r w:rsidR="00FF25CD" w:rsidRPr="00124B71">
        <w:rPr>
          <w:rFonts w:cs="Times New Roman"/>
        </w:rPr>
        <w:t>re not responsible for the Great Housing Bubble.</w:t>
      </w:r>
    </w:p>
    <w:p w14:paraId="2CD22352" w14:textId="77777777" w:rsidR="00FF25CD" w:rsidRPr="00124B71" w:rsidRDefault="00FF25CD" w:rsidP="008B01A8">
      <w:pPr>
        <w:rPr>
          <w:rFonts w:cs="Times New Roman"/>
        </w:rPr>
      </w:pPr>
      <w:r w:rsidRPr="00124B71">
        <w:rPr>
          <w:rFonts w:cs="Times New Roman"/>
        </w:rPr>
        <w:t>Much of the responsibility for the bubble can be attributed to the flow of funds into the market from hedge funds through collateralized debt obligations. There have also been calls for greater regulation of hedge funds and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Pr="00124B71">
        <w:rPr>
          <w:rFonts w:cs="Times New Roman"/>
        </w:rPr>
        <w:t>. Any kind of regulation would likely restrict the flow of money to all mortgages and disrupt the secondary market. Also, regulating hedge funds themselves will prove problematic, if for no other reason, it is difficult to define exactly what a hedge fund is.</w:t>
      </w:r>
      <w:r w:rsidR="007E69BF" w:rsidRPr="00124B71">
        <w:rPr>
          <w:rFonts w:cs="Times New Roman"/>
        </w:rPr>
        <w:t xml:space="preserve"> Also, hedge funds are simply investment vehicles, and it is unclear exactly what they do that other investment entities do not do that causes problems resulting in financial bubbles. Much of the demonization of hedge funds is demagoguery and looking for someone to blame. </w:t>
      </w:r>
      <w:r w:rsidRPr="00124B71">
        <w:rPr>
          <w:rFonts w:cs="Times New Roman"/>
        </w:rPr>
        <w:t xml:space="preserve"> Many of the problems with the secondary markets will correct themselves as investors stop investing in products that lose money. In fact, one of the greatest challenges in the aftermath of the Great Housing Bubble is</w:t>
      </w:r>
      <w:r w:rsidR="004F277B" w:rsidRPr="00124B71">
        <w:rPr>
          <w:rFonts w:cs="Times New Roman"/>
        </w:rPr>
        <w:t xml:space="preserve"> going to be getting investors back into the secondary market. One of the market-based solutions proposed herein addresses these issues. Direct </w:t>
      </w:r>
      <w:r w:rsidR="007E69BF" w:rsidRPr="00124B71">
        <w:rPr>
          <w:rFonts w:cs="Times New Roman"/>
        </w:rPr>
        <w:t>legislative</w:t>
      </w:r>
      <w:r w:rsidR="004F277B" w:rsidRPr="00124B71">
        <w:rPr>
          <w:rFonts w:cs="Times New Roman"/>
        </w:rPr>
        <w:t xml:space="preserve"> intervention to hedge funds and collateralized debt obligations </w:t>
      </w:r>
      <w:r w:rsidR="006139B1" w:rsidRPr="00124B71">
        <w:rPr>
          <w:rFonts w:cs="Times New Roman"/>
        </w:rPr>
        <w:t>would</w:t>
      </w:r>
      <w:r w:rsidR="004F277B" w:rsidRPr="00124B71">
        <w:rPr>
          <w:rFonts w:cs="Times New Roman"/>
        </w:rPr>
        <w:t xml:space="preserve"> be more disruptive than productive.</w:t>
      </w:r>
    </w:p>
    <w:p w14:paraId="14A1D756" w14:textId="77777777" w:rsidR="00FF25CD" w:rsidRPr="00124B71" w:rsidRDefault="004F277B" w:rsidP="008B01A8">
      <w:pPr>
        <w:rPr>
          <w:rFonts w:cs="Times New Roman"/>
        </w:rPr>
      </w:pPr>
      <w:r w:rsidRPr="00124B71">
        <w:rPr>
          <w:rFonts w:cs="Times New Roman"/>
        </w:rPr>
        <w:t>Another proposed solution is to regulate the loan-to-income ratio of the borrower. When 30-year fixed-rate mortgages first came out, mortgage debt was limited to two and one-half times a borrower’s yearly income</w:t>
      </w:r>
      <w:r w:rsidR="00A83DC5" w:rsidRPr="00124B71">
        <w:rPr>
          <w:rFonts w:cs="Times New Roman"/>
        </w:rPr>
        <w:t>. It was an artificial limit that made sense when interest rates were higher and people were accustomed to putting less money toward housing payments</w:t>
      </w:r>
      <w:r w:rsidRPr="00124B71">
        <w:rPr>
          <w:rFonts w:cs="Times New Roman"/>
        </w:rPr>
        <w:t xml:space="preserve">. A legislative </w:t>
      </w:r>
      <w:r w:rsidRPr="00124B71">
        <w:rPr>
          <w:rFonts w:cs="Times New Roman"/>
        </w:rPr>
        <w:lastRenderedPageBreak/>
        <w:t>cap on the loan-to-income ratio would prevent future housing bubbles</w:t>
      </w:r>
      <w:r w:rsidR="007C511B" w:rsidRPr="00124B71">
        <w:rPr>
          <w:rFonts w:cs="Times New Roman"/>
        </w:rPr>
        <w:t>, if it was enforced</w:t>
      </w:r>
      <w:r w:rsidRPr="00124B71">
        <w:rPr>
          <w:rFonts w:cs="Times New Roman"/>
        </w:rPr>
        <w:t xml:space="preserve">. This </w:t>
      </w:r>
      <w:r w:rsidR="007C511B" w:rsidRPr="00124B71">
        <w:rPr>
          <w:rFonts w:cs="Times New Roman"/>
        </w:rPr>
        <w:t>would</w:t>
      </w:r>
      <w:r w:rsidRPr="00124B71">
        <w:rPr>
          <w:rFonts w:cs="Times New Roman"/>
        </w:rPr>
        <w:t xml:space="preserve"> not work for the same reason lenders went away from the two-and-one-half-times-income standard years ago: it does not reflect changes in borrowing power due to changes in interest rates. This idea</w:t>
      </w:r>
      <w:r w:rsidR="007C511B" w:rsidRPr="00124B71">
        <w:rPr>
          <w:rFonts w:cs="Times New Roman"/>
        </w:rPr>
        <w:t xml:space="preserve"> of regulating loan-to-income ratios</w:t>
      </w:r>
      <w:r w:rsidRPr="00124B71">
        <w:rPr>
          <w:rFonts w:cs="Times New Roman"/>
        </w:rPr>
        <w:t xml:space="preserve"> is actually an evolution of the idea of regulating interest rates. If the total loan-to-income ratio is limited, very low interest rates do not cause dramatic price increases, but since low interest rates were not really the cause of the bubble, limiting the loan-to-income ratio is not addressing the real cause of the bubble. Plus, there are ways to get around a cap on home loan borrowing by obtaining other loans not secured by real estate. It would be relatively easy for a borrower to obtain bridge financing to acquire a property and then obtain a </w:t>
      </w:r>
      <w:r w:rsidR="00A77EEB" w:rsidRPr="00124B71">
        <w:rPr>
          <w:rFonts w:cs="Times New Roman"/>
        </w:rPr>
        <w:t>HELOC</w:t>
      </w:r>
      <w:r w:rsidR="001858B5">
        <w:rPr>
          <w:rFonts w:cs="Times New Roman"/>
        </w:rPr>
        <w:fldChar w:fldCharType="begin"/>
      </w:r>
      <w:r w:rsidR="00074436">
        <w:instrText xml:space="preserve"> XE "</w:instrText>
      </w:r>
      <w:r w:rsidR="00074436" w:rsidRPr="005B4386">
        <w:rPr>
          <w:rFonts w:cs="Times New Roman"/>
        </w:rPr>
        <w:instrText>HELOC</w:instrText>
      </w:r>
      <w:r w:rsidR="00074436">
        <w:instrText xml:space="preserve">" </w:instrText>
      </w:r>
      <w:r w:rsidR="001858B5">
        <w:rPr>
          <w:rFonts w:cs="Times New Roman"/>
        </w:rPr>
        <w:fldChar w:fldCharType="end"/>
      </w:r>
      <w:r w:rsidR="00A77EEB" w:rsidRPr="00124B71">
        <w:rPr>
          <w:rFonts w:cs="Times New Roman"/>
        </w:rPr>
        <w:t xml:space="preserve"> to pay off the bridge financing. In the end, the borrower would have borrowed more than the cap amount thus rendering any cap meaningless. To close the various loopholes, more regulations would be required, and a regulatory nightmare would </w:t>
      </w:r>
      <w:r w:rsidR="00927383" w:rsidRPr="00124B71">
        <w:rPr>
          <w:rFonts w:cs="Times New Roman"/>
        </w:rPr>
        <w:t>ensue</w:t>
      </w:r>
      <w:r w:rsidR="00A77EEB" w:rsidRPr="00124B71">
        <w:rPr>
          <w:rFonts w:cs="Times New Roman"/>
        </w:rPr>
        <w:t xml:space="preserve">. </w:t>
      </w:r>
      <w:r w:rsidRPr="00124B71">
        <w:rPr>
          <w:rFonts w:cs="Times New Roman"/>
        </w:rPr>
        <w:t xml:space="preserve"> A better and more effective method of limiting borrowing is to regulate the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00927383" w:rsidRPr="00124B71">
        <w:rPr>
          <w:rFonts w:cs="Times New Roman"/>
        </w:rPr>
        <w:t>. T</w:t>
      </w:r>
      <w:r w:rsidR="00A77EEB" w:rsidRPr="00124B71">
        <w:rPr>
          <w:rFonts w:cs="Times New Roman"/>
        </w:rPr>
        <w:t>his</w:t>
      </w:r>
      <w:r w:rsidR="00A6765F">
        <w:rPr>
          <w:rFonts w:cs="Times New Roman"/>
        </w:rPr>
        <w:t xml:space="preserve"> idea</w:t>
      </w:r>
      <w:r w:rsidR="00A77EEB" w:rsidRPr="00124B71">
        <w:rPr>
          <w:rFonts w:cs="Times New Roman"/>
        </w:rPr>
        <w:t xml:space="preserve"> is explored in the next section.</w:t>
      </w:r>
    </w:p>
    <w:p w14:paraId="1FCEA9DA" w14:textId="77777777" w:rsidR="008B01A8" w:rsidRDefault="008B01A8" w:rsidP="008B01A8">
      <w:pPr>
        <w:pStyle w:val="Heading3"/>
      </w:pPr>
      <w:bookmarkStart w:id="249" w:name="_Toc238867416"/>
      <w:r>
        <w:t>What did cause the bubble</w:t>
      </w:r>
      <w:r w:rsidR="00F33752">
        <w:t>?</w:t>
      </w:r>
      <w:bookmarkEnd w:id="249"/>
    </w:p>
    <w:p w14:paraId="5656DF18" w14:textId="77777777" w:rsidR="008B01A8" w:rsidRPr="00124B71" w:rsidRDefault="00BC7F02" w:rsidP="008B01A8">
      <w:pPr>
        <w:rPr>
          <w:rFonts w:cs="Times New Roman"/>
        </w:rPr>
      </w:pPr>
      <w:r w:rsidRPr="00124B71">
        <w:rPr>
          <w:rFonts w:cs="Times New Roman"/>
        </w:rPr>
        <w:t>The Great Housing Bubble was caused by an expansion of credit that enabled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Pr="00124B71">
        <w:rPr>
          <w:rFonts w:cs="Times New Roman"/>
        </w:rPr>
        <w:t xml:space="preserve"> and wild speculation. The expansion of credit came in the form of relaxed loan underwriting terms including high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ratios, lower FICO</w:t>
      </w:r>
      <w:r w:rsidR="001858B5">
        <w:rPr>
          <w:rFonts w:cs="Times New Roman"/>
        </w:rPr>
        <w:fldChar w:fldCharType="begin"/>
      </w:r>
      <w:r w:rsidR="003247C5">
        <w:instrText xml:space="preserve"> XE "</w:instrText>
      </w:r>
      <w:r w:rsidR="003247C5" w:rsidRPr="006E6D09">
        <w:rPr>
          <w:rFonts w:cs="Times New Roman"/>
        </w:rPr>
        <w:instrText>FICO</w:instrText>
      </w:r>
      <w:r w:rsidR="003247C5">
        <w:instrText xml:space="preserve">" </w:instrText>
      </w:r>
      <w:r w:rsidR="001858B5">
        <w:rPr>
          <w:rFonts w:cs="Times New Roman"/>
        </w:rPr>
        <w:fldChar w:fldCharType="end"/>
      </w:r>
      <w:r w:rsidRPr="00124B71">
        <w:rPr>
          <w:rFonts w:cs="Times New Roman"/>
        </w:rPr>
        <w:t xml:space="preserve"> scores, high combined-loan-to-value</w:t>
      </w:r>
      <w:r w:rsidR="001858B5">
        <w:rPr>
          <w:rFonts w:cs="Times New Roman"/>
        </w:rPr>
        <w:fldChar w:fldCharType="begin"/>
      </w:r>
      <w:r w:rsidR="003247C5">
        <w:instrText xml:space="preserve"> XE "</w:instrText>
      </w:r>
      <w:r w:rsidR="003247C5" w:rsidRPr="00022402">
        <w:rPr>
          <w:rFonts w:cs="Times New Roman"/>
        </w:rPr>
        <w:instrText>combined-loan-to-value</w:instrText>
      </w:r>
      <w:r w:rsidR="003247C5">
        <w:instrText xml:space="preserve">" </w:instrText>
      </w:r>
      <w:r w:rsidR="001858B5">
        <w:rPr>
          <w:rFonts w:cs="Times New Roman"/>
        </w:rPr>
        <w:fldChar w:fldCharType="end"/>
      </w:r>
      <w:r w:rsidRPr="00124B71">
        <w:rPr>
          <w:rFonts w:cs="Times New Roman"/>
        </w:rPr>
        <w:t xml:space="preserve"> lending including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Pr="00124B71">
        <w:rPr>
          <w:rFonts w:cs="Times New Roman"/>
        </w:rPr>
        <w:t>, and loan terms permitting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w:t>
      </w:r>
      <w:r w:rsidR="004B4FB0" w:rsidRPr="00124B71">
        <w:rPr>
          <w:rFonts w:cs="Times New Roman"/>
        </w:rPr>
        <w:t xml:space="preserve"> Addressing the conditions of expanding credit is a legitimate focus for intervention in the credit markets. Another major lending problem is unrelated to the terms: low documentation standards. The credit crunch</w:t>
      </w:r>
      <w:r w:rsidR="001858B5">
        <w:rPr>
          <w:rFonts w:cs="Times New Roman"/>
        </w:rPr>
        <w:fldChar w:fldCharType="begin"/>
      </w:r>
      <w:r w:rsidR="00FA2AEF">
        <w:instrText xml:space="preserve"> XE "</w:instrText>
      </w:r>
      <w:r w:rsidR="00FA2AEF" w:rsidRPr="00F6304A">
        <w:rPr>
          <w:rFonts w:cs="Times New Roman"/>
        </w:rPr>
        <w:instrText>credit crunch</w:instrText>
      </w:r>
      <w:r w:rsidR="00FA2AEF">
        <w:instrText xml:space="preserve">" </w:instrText>
      </w:r>
      <w:r w:rsidR="001858B5">
        <w:rPr>
          <w:rFonts w:cs="Times New Roman"/>
        </w:rPr>
        <w:fldChar w:fldCharType="end"/>
      </w:r>
      <w:r w:rsidR="004B4FB0" w:rsidRPr="00124B71">
        <w:rPr>
          <w:rFonts w:cs="Times New Roman"/>
        </w:rPr>
        <w:t xml:space="preserve"> that gripped the markets in late 2007 was exacerbated by the rampant fraud and misrepresentation in the loan documents underwriting the loans packaged and sold in the secondary</w:t>
      </w:r>
      <w:r w:rsidR="00816B46" w:rsidRPr="00124B71">
        <w:rPr>
          <w:rFonts w:cs="Times New Roman"/>
        </w:rPr>
        <w:t xml:space="preserve"> mortgage</w:t>
      </w:r>
      <w:r w:rsidR="004B4FB0" w:rsidRPr="00124B71">
        <w:rPr>
          <w:rFonts w:cs="Times New Roman"/>
        </w:rPr>
        <w:t xml:space="preserv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004B4FB0" w:rsidRPr="00124B71">
        <w:rPr>
          <w:rFonts w:cs="Times New Roman"/>
        </w:rPr>
        <w:t>. It is essential to an evaluation of the viability of a mortgage note to know if the borrower actually has the income necessary to make the payments. When investors lost confidence in the underlying documents, the whole system seized up, and it was not going to work properly until the documentation improved to reflect the reality of the borrower’s financial situation.</w:t>
      </w:r>
      <w:r w:rsidRPr="00124B71">
        <w:rPr>
          <w:rFonts w:cs="Times New Roman"/>
        </w:rPr>
        <w:t xml:space="preserve"> </w:t>
      </w:r>
      <w:r w:rsidR="004B4FB0" w:rsidRPr="00124B71">
        <w:rPr>
          <w:rFonts w:cs="Times New Roman"/>
        </w:rPr>
        <w:t>Any remedy for the housing bubble must address the issue of poor documentation in order to facilitate the smooth operation of the secondary market.</w:t>
      </w:r>
    </w:p>
    <w:p w14:paraId="5DB97FD2" w14:textId="77777777" w:rsidR="004B4FB0" w:rsidRPr="00124B71" w:rsidRDefault="004B4FB0" w:rsidP="008B01A8">
      <w:pPr>
        <w:rPr>
          <w:rFonts w:cs="Times New Roman"/>
        </w:rPr>
      </w:pPr>
      <w:r w:rsidRPr="00124B71">
        <w:rPr>
          <w:rFonts w:cs="Times New Roman"/>
        </w:rPr>
        <w:t>There are some factors that created the Great Housing Bubble that cannot be directly regulated. One of these is the lax enforcement of existing regulations as described previously</w:t>
      </w:r>
      <w:r w:rsidR="006E7B7B" w:rsidRPr="00124B71">
        <w:rPr>
          <w:rFonts w:cs="Times New Roman"/>
        </w:rPr>
        <w:t xml:space="preserve">. Even though lenders and investors lost a great deal of money during the price crash, their behavior during the bubble was still predatory. Lenders peddled unstable loan programs to borrowers who could not afford the payments. They did not do this to obtain the property as is ordinarily the case with predatory lending; they did it to obtain a fee through loan origination. Since they felt insulated from the losses to these loans being </w:t>
      </w:r>
      <w:r w:rsidR="006E7B7B" w:rsidRPr="00124B71">
        <w:rPr>
          <w:rFonts w:cs="Times New Roman"/>
        </w:rPr>
        <w:lastRenderedPageBreak/>
        <w:t>packaged and sold to investors, they were in a position to profit at the expense of borrowers</w:t>
      </w:r>
      <w:r w:rsidR="007C469A">
        <w:rPr>
          <w:rFonts w:cs="Times New Roman"/>
        </w:rPr>
        <w:t>–</w:t>
      </w:r>
      <w:r w:rsidR="006E7B7B" w:rsidRPr="00124B71">
        <w:rPr>
          <w:rFonts w:cs="Times New Roman"/>
        </w:rPr>
        <w:t>the definition of predatory lending. Another factor that cannot be regulated is</w:t>
      </w:r>
      <w:r w:rsidRPr="00124B71">
        <w:rPr>
          <w:rFonts w:cs="Times New Roman"/>
        </w:rPr>
        <w:t xml:space="preserve"> the crazy behavior of borrowers caught up in a speculative mania</w:t>
      </w:r>
      <w:r w:rsidR="001858B5">
        <w:rPr>
          <w:rFonts w:cs="Times New Roman"/>
        </w:rPr>
        <w:fldChar w:fldCharType="begin"/>
      </w:r>
      <w:r w:rsidR="00FA2AEF">
        <w:instrText xml:space="preserve"> XE "</w:instrText>
      </w:r>
      <w:r w:rsidR="00FA2AEF" w:rsidRPr="009244C7">
        <w:rPr>
          <w:rFonts w:cs="Times New Roman"/>
        </w:rPr>
        <w:instrText>speculative mania</w:instrText>
      </w:r>
      <w:r w:rsidR="00FA2AEF">
        <w:instrText xml:space="preserve">" </w:instrText>
      </w:r>
      <w:r w:rsidR="001858B5">
        <w:rPr>
          <w:rFonts w:cs="Times New Roman"/>
        </w:rPr>
        <w:fldChar w:fldCharType="end"/>
      </w:r>
      <w:r w:rsidRPr="00124B71">
        <w:rPr>
          <w:rFonts w:cs="Times New Roman"/>
        </w:rPr>
        <w:t>.</w:t>
      </w:r>
      <w:r w:rsidR="006E7B7B" w:rsidRPr="00124B71">
        <w:rPr>
          <w:rFonts w:cs="Times New Roman"/>
        </w:rPr>
        <w:t xml:space="preserve"> It is not possible to stop people from overpaying for real estate, but it is possible from preventing them from doing so with borrowed money. If people wish to risk their own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006E7B7B" w:rsidRPr="00124B71">
        <w:rPr>
          <w:rFonts w:cs="Times New Roman"/>
        </w:rPr>
        <w:t xml:space="preserve"> in property speculation, it is their money to lose, but when lender money is part of the equation, the entire financial system can be put at risk</w:t>
      </w:r>
      <w:r w:rsidR="009C64AE" w:rsidRPr="00124B71">
        <w:rPr>
          <w:rFonts w:cs="Times New Roman"/>
        </w:rPr>
        <w:t>, which it was during the Great Housing Bubble</w:t>
      </w:r>
      <w:r w:rsidR="006E7B7B" w:rsidRPr="00124B71">
        <w:rPr>
          <w:rFonts w:cs="Times New Roman"/>
        </w:rPr>
        <w:t>. The fickle nature of borrowers became apparent during the decline of the bubble when many borrowers behaved in a predatory manner refusing to make payments on loans they could</w:t>
      </w:r>
      <w:r w:rsidR="009C64AE" w:rsidRPr="00124B71">
        <w:rPr>
          <w:rFonts w:cs="Times New Roman"/>
        </w:rPr>
        <w:t xml:space="preserve"> have</w:t>
      </w:r>
      <w:r w:rsidR="006E7B7B" w:rsidRPr="00124B71">
        <w:rPr>
          <w:rFonts w:cs="Times New Roman"/>
        </w:rPr>
        <w:t xml:space="preserve"> afford</w:t>
      </w:r>
      <w:r w:rsidR="009C64AE" w:rsidRPr="00124B71">
        <w:rPr>
          <w:rFonts w:cs="Times New Roman"/>
        </w:rPr>
        <w:t>ed</w:t>
      </w:r>
      <w:r w:rsidR="006E7B7B" w:rsidRPr="00124B71">
        <w:rPr>
          <w:rFonts w:cs="Times New Roman"/>
        </w:rPr>
        <w:t xml:space="preserve"> to make because the property had declined in value. Borrowers who were grateful to receive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006E7B7B" w:rsidRPr="00124B71">
        <w:rPr>
          <w:rFonts w:cs="Times New Roman"/>
        </w:rPr>
        <w:t xml:space="preserve"> and what was perceived</w:t>
      </w:r>
      <w:r w:rsidR="009C64AE" w:rsidRPr="00124B71">
        <w:rPr>
          <w:rFonts w:cs="Times New Roman"/>
        </w:rPr>
        <w:t xml:space="preserve"> at the time</w:t>
      </w:r>
      <w:r w:rsidR="006E7B7B" w:rsidRPr="00124B71">
        <w:rPr>
          <w:rFonts w:cs="Times New Roman"/>
        </w:rPr>
        <w:t xml:space="preserve"> to be favorable loan terms were not hesitant to betray the lenders when</w:t>
      </w:r>
      <w:r w:rsidR="005F37DA" w:rsidRPr="00124B71">
        <w:rPr>
          <w:rFonts w:cs="Times New Roman"/>
        </w:rPr>
        <w:t xml:space="preserve"> their speculative investment did not go as planned.</w:t>
      </w:r>
    </w:p>
    <w:p w14:paraId="30698EE8" w14:textId="77777777" w:rsidR="00834FB0" w:rsidRPr="00124B71" w:rsidRDefault="007C511B" w:rsidP="008B01A8">
      <w:pPr>
        <w:rPr>
          <w:rFonts w:cs="Times New Roman"/>
        </w:rPr>
      </w:pPr>
      <w:r w:rsidRPr="00124B71">
        <w:rPr>
          <w:rFonts w:cs="Times New Roman"/>
        </w:rPr>
        <w:t>The 30-year fixed-rate conventionally-amortizing mortgage with a reasonable downpayment is the only loan program proven to provide stability in the housing market. Many of the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Pr="00124B71">
        <w:rPr>
          <w:rFonts w:cs="Times New Roman"/>
        </w:rPr>
        <w:t>” products used during the Great Housing Bubble and many of the deviations from traditional underwriting standards created the bubble. Mortgage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ratios greater than 28% and total indebtedness greater than 36% ha</w:t>
      </w:r>
      <w:r w:rsidR="00816B46" w:rsidRPr="00124B71">
        <w:rPr>
          <w:rFonts w:cs="Times New Roman"/>
        </w:rPr>
        <w:t>ve</w:t>
      </w:r>
      <w:r w:rsidRPr="00124B71">
        <w:rPr>
          <w:rFonts w:cs="Times New Roman"/>
        </w:rPr>
        <w:t xml:space="preserve"> a proven history of default. Despite this fact, debt-to-income ratios greater than 50</w:t>
      </w:r>
      <w:r w:rsidR="00816B46" w:rsidRPr="00124B71">
        <w:rPr>
          <w:rFonts w:cs="Times New Roman"/>
        </w:rPr>
        <w:t>%</w:t>
      </w:r>
      <w:r w:rsidRPr="00124B71">
        <w:rPr>
          <w:rFonts w:cs="Times New Roman"/>
        </w:rPr>
        <w:t xml:space="preserve"> were common in the most extreme bubble markets</w:t>
      </w:r>
      <w:r w:rsidR="00757A8B" w:rsidRPr="00124B71">
        <w:rPr>
          <w:rFonts w:cs="Times New Roman"/>
        </w:rPr>
        <w:t>.</w:t>
      </w:r>
      <w:r w:rsidR="00A107E9" w:rsidRPr="00124B71">
        <w:rPr>
          <w:rFonts w:cs="Times New Roman"/>
        </w:rPr>
        <w:t xml:space="preserve"> </w:t>
      </w:r>
      <w:r w:rsidR="001A2138" w:rsidRPr="00124B71">
        <w:rPr>
          <w:rStyle w:val="EndnoteReference"/>
          <w:rFonts w:cs="Times New Roman"/>
        </w:rPr>
        <w:endnoteReference w:id="143"/>
      </w:r>
      <w:r w:rsidR="00CB7C91" w:rsidRPr="00124B71">
        <w:rPr>
          <w:rFonts w:cs="Times New Roman"/>
        </w:rPr>
        <w:t xml:space="preserve"> Limiting debt-to-income ratios is critical to stopping loan defaults and foreclosures.</w:t>
      </w:r>
      <w:r w:rsidR="00834FB0" w:rsidRPr="00124B71">
        <w:rPr>
          <w:rFonts w:cs="Times New Roman"/>
        </w:rPr>
        <w:t xml:space="preserve"> </w:t>
      </w:r>
      <w:r w:rsidR="00CB7C91" w:rsidRPr="00124B71">
        <w:rPr>
          <w:rFonts w:cs="Times New Roman"/>
        </w:rPr>
        <w:t>Lower FICO</w:t>
      </w:r>
      <w:r w:rsidR="001858B5">
        <w:rPr>
          <w:rFonts w:cs="Times New Roman"/>
        </w:rPr>
        <w:fldChar w:fldCharType="begin"/>
      </w:r>
      <w:r w:rsidR="003247C5">
        <w:instrText xml:space="preserve"> XE "</w:instrText>
      </w:r>
      <w:r w:rsidR="003247C5" w:rsidRPr="006E6D09">
        <w:rPr>
          <w:rFonts w:cs="Times New Roman"/>
        </w:rPr>
        <w:instrText>FICO</w:instrText>
      </w:r>
      <w:r w:rsidR="003247C5">
        <w:instrText xml:space="preserve">" </w:instrText>
      </w:r>
      <w:r w:rsidR="001858B5">
        <w:rPr>
          <w:rFonts w:cs="Times New Roman"/>
        </w:rPr>
        <w:fldChar w:fldCharType="end"/>
      </w:r>
      <w:r w:rsidR="00CB7C91" w:rsidRPr="00124B71">
        <w:rPr>
          <w:rFonts w:cs="Times New Roman"/>
        </w:rPr>
        <w:t xml:space="preserve"> scores was the hallmark of subprime lending. FICO scores provide a fairly accurate profile of a borrower’s willingness and ability to pay their debts as planned. Low FICO scores are synonymous with high default rates</w:t>
      </w:r>
      <w:r w:rsidR="001858B5">
        <w:rPr>
          <w:rFonts w:cs="Times New Roman"/>
        </w:rPr>
        <w:fldChar w:fldCharType="begin"/>
      </w:r>
      <w:r w:rsidR="00E84A0F">
        <w:instrText xml:space="preserve"> XE "</w:instrText>
      </w:r>
      <w:r w:rsidR="00E84A0F" w:rsidRPr="00336602">
        <w:rPr>
          <w:rFonts w:cs="Times New Roman"/>
        </w:rPr>
        <w:instrText>default rates</w:instrText>
      </w:r>
      <w:r w:rsidR="00E84A0F">
        <w:instrText xml:space="preserve">" </w:instrText>
      </w:r>
      <w:r w:rsidR="001858B5">
        <w:rPr>
          <w:rFonts w:cs="Times New Roman"/>
        </w:rPr>
        <w:fldChar w:fldCharType="end"/>
      </w:r>
      <w:r w:rsidR="00CB7C91" w:rsidRPr="00124B71">
        <w:rPr>
          <w:rFonts w:cs="Times New Roman"/>
        </w:rPr>
        <w:t>. Limiting availability of credit to those with low FICO scores was a historic barrier to home ownership because these people default too much. The free market solved this problem. Subprime</w:t>
      </w:r>
      <w:r w:rsidR="001858B5">
        <w:rPr>
          <w:rFonts w:cs="Times New Roman"/>
        </w:rPr>
        <w:fldChar w:fldCharType="begin"/>
      </w:r>
      <w:r w:rsidR="00E84A0F">
        <w:instrText xml:space="preserve"> XE "</w:instrText>
      </w:r>
      <w:r w:rsidR="00E84A0F" w:rsidRPr="007B2D35">
        <w:rPr>
          <w:rFonts w:cs="Times New Roman"/>
        </w:rPr>
        <w:instrText>Subprime</w:instrText>
      </w:r>
      <w:r w:rsidR="00E84A0F">
        <w:instrText xml:space="preserve">" </w:instrText>
      </w:r>
      <w:r w:rsidR="001858B5">
        <w:rPr>
          <w:rFonts w:cs="Times New Roman"/>
        </w:rPr>
        <w:fldChar w:fldCharType="end"/>
      </w:r>
      <w:r w:rsidR="00CB7C91" w:rsidRPr="00124B71">
        <w:rPr>
          <w:rFonts w:cs="Times New Roman"/>
        </w:rPr>
        <w:t xml:space="preserve"> was dead. </w:t>
      </w:r>
      <w:r w:rsidR="005924CC" w:rsidRPr="00124B71">
        <w:rPr>
          <w:rFonts w:cs="Times New Roman"/>
        </w:rPr>
        <w:t>High combined-loan-to-value</w:t>
      </w:r>
      <w:r w:rsidR="001858B5">
        <w:rPr>
          <w:rFonts w:cs="Times New Roman"/>
        </w:rPr>
        <w:fldChar w:fldCharType="begin"/>
      </w:r>
      <w:r w:rsidR="003247C5">
        <w:instrText xml:space="preserve"> XE "</w:instrText>
      </w:r>
      <w:r w:rsidR="003247C5" w:rsidRPr="00022402">
        <w:rPr>
          <w:rFonts w:cs="Times New Roman"/>
        </w:rPr>
        <w:instrText>combined-loan-to-value</w:instrText>
      </w:r>
      <w:r w:rsidR="003247C5">
        <w:instrText xml:space="preserve">" </w:instrText>
      </w:r>
      <w:r w:rsidR="001858B5">
        <w:rPr>
          <w:rFonts w:cs="Times New Roman"/>
        </w:rPr>
        <w:fldChar w:fldCharType="end"/>
      </w:r>
      <w:r w:rsidR="005924CC" w:rsidRPr="00124B71">
        <w:rPr>
          <w:rFonts w:cs="Times New Roman"/>
        </w:rPr>
        <w:t xml:space="preserve"> (CLTV</w:t>
      </w:r>
      <w:r w:rsidR="001858B5">
        <w:rPr>
          <w:rFonts w:cs="Times New Roman"/>
        </w:rPr>
        <w:fldChar w:fldCharType="begin"/>
      </w:r>
      <w:r w:rsidR="003247C5">
        <w:instrText xml:space="preserve"> XE "</w:instrText>
      </w:r>
      <w:r w:rsidR="003247C5" w:rsidRPr="00BA40EB">
        <w:rPr>
          <w:rFonts w:cs="Times New Roman"/>
        </w:rPr>
        <w:instrText>CLTV</w:instrText>
      </w:r>
      <w:r w:rsidR="003247C5">
        <w:instrText xml:space="preserve">" </w:instrText>
      </w:r>
      <w:r w:rsidR="001858B5">
        <w:rPr>
          <w:rFonts w:cs="Times New Roman"/>
        </w:rPr>
        <w:fldChar w:fldCharType="end"/>
      </w:r>
      <w:r w:rsidR="005924CC" w:rsidRPr="00124B71">
        <w:rPr>
          <w:rFonts w:cs="Times New Roman"/>
        </w:rPr>
        <w:t>) lending including 100% financing</w:t>
      </w:r>
      <w:r w:rsidR="001858B5">
        <w:rPr>
          <w:rFonts w:cs="Times New Roman"/>
        </w:rPr>
        <w:fldChar w:fldCharType="begin"/>
      </w:r>
      <w:r w:rsidR="00C12412">
        <w:instrText xml:space="preserve"> XE "</w:instrText>
      </w:r>
      <w:r w:rsidR="00C12412" w:rsidRPr="000A50DE">
        <w:rPr>
          <w:rFonts w:cs="Times New Roman"/>
        </w:rPr>
        <w:instrText>100% financing</w:instrText>
      </w:r>
      <w:r w:rsidR="00C12412">
        <w:instrText xml:space="preserve">" </w:instrText>
      </w:r>
      <w:r w:rsidR="001858B5">
        <w:rPr>
          <w:rFonts w:cs="Times New Roman"/>
        </w:rPr>
        <w:fldChar w:fldCharType="end"/>
      </w:r>
      <w:r w:rsidR="005924CC" w:rsidRPr="00124B71">
        <w:rPr>
          <w:rFonts w:cs="Times New Roman"/>
        </w:rPr>
        <w:t xml:space="preserve"> is also prone to high default rates. In fact, it is more important than FICO score. FICO scores are very good at predicting who will default when downpayments</w:t>
      </w:r>
      <w:r w:rsidR="001858B5">
        <w:rPr>
          <w:rFonts w:cs="Times New Roman"/>
        </w:rPr>
        <w:fldChar w:fldCharType="begin"/>
      </w:r>
      <w:r w:rsidR="00FA2AEF">
        <w:instrText xml:space="preserve"> XE "</w:instrText>
      </w:r>
      <w:r w:rsidR="00FA2AEF" w:rsidRPr="00BA03FA">
        <w:rPr>
          <w:rFonts w:cs="Times New Roman"/>
        </w:rPr>
        <w:instrText>downpayments</w:instrText>
      </w:r>
      <w:r w:rsidR="00FA2AEF">
        <w:instrText xml:space="preserve">" </w:instrText>
      </w:r>
      <w:r w:rsidR="001858B5">
        <w:rPr>
          <w:rFonts w:cs="Times New Roman"/>
        </w:rPr>
        <w:fldChar w:fldCharType="end"/>
      </w:r>
      <w:r w:rsidR="005924CC" w:rsidRPr="00124B71">
        <w:rPr>
          <w:rFonts w:cs="Times New Roman"/>
        </w:rPr>
        <w:t xml:space="preserve"> are large, but when borrowers have very little of their own money in the transactions, both prime and subprime borrowers defaulted at high rates. Many prime borrowers are more sophisticated financially, and the unscrupulous recognized 100% financing as a perfect too</w:t>
      </w:r>
      <w:r w:rsidR="00804C4A">
        <w:rPr>
          <w:rFonts w:cs="Times New Roman"/>
        </w:rPr>
        <w:t>l</w:t>
      </w:r>
      <w:r w:rsidR="005924CC" w:rsidRPr="00124B71">
        <w:rPr>
          <w:rFonts w:cs="Times New Roman"/>
        </w:rPr>
        <w:t xml:space="preserve"> for speculating in the real estate market and passing the risk off to a lender.</w:t>
      </w:r>
      <w:r w:rsidR="00834FB0" w:rsidRPr="00124B71">
        <w:rPr>
          <w:rFonts w:cs="Times New Roman"/>
        </w:rPr>
        <w:t xml:space="preserve"> The primary culprit</w:t>
      </w:r>
      <w:r w:rsidR="00737D53" w:rsidRPr="00124B71">
        <w:rPr>
          <w:rFonts w:cs="Times New Roman"/>
        </w:rPr>
        <w:t>s</w:t>
      </w:r>
      <w:r w:rsidR="00834FB0" w:rsidRPr="00124B71">
        <w:rPr>
          <w:rFonts w:cs="Times New Roman"/>
        </w:rPr>
        <w:t xml:space="preserve"> that inflated the housing bubble </w:t>
      </w:r>
      <w:r w:rsidR="00737D53" w:rsidRPr="00124B71">
        <w:rPr>
          <w:rFonts w:cs="Times New Roman"/>
        </w:rPr>
        <w:t>were</w:t>
      </w:r>
      <w:r w:rsidR="00834FB0" w:rsidRPr="00124B71">
        <w:rPr>
          <w:rFonts w:cs="Times New Roman"/>
        </w:rPr>
        <w:t xml:space="preserve"> the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00834FB0" w:rsidRPr="00124B71">
        <w:rPr>
          <w:rFonts w:cs="Times New Roman"/>
        </w:rPr>
        <w:t xml:space="preserve"> loan and</w:t>
      </w:r>
      <w:r w:rsidR="00737D53" w:rsidRPr="00124B71">
        <w:rPr>
          <w:rFonts w:cs="Times New Roman"/>
        </w:rPr>
        <w:t xml:space="preserve"> interest-only loans where</w:t>
      </w:r>
      <w:r w:rsidR="00834FB0" w:rsidRPr="00124B71">
        <w:rPr>
          <w:rFonts w:cs="Times New Roman"/>
        </w:rPr>
        <w:t xml:space="preserve"> lenders qualified buyers on their ability to make only the initial payment. As the Great Housing Bubble began to deflate, Minnesota</w:t>
      </w:r>
      <w:r w:rsidR="001858B5">
        <w:rPr>
          <w:rFonts w:cs="Times New Roman"/>
        </w:rPr>
        <w:fldChar w:fldCharType="begin"/>
      </w:r>
      <w:r w:rsidR="00074436">
        <w:instrText xml:space="preserve"> XE "</w:instrText>
      </w:r>
      <w:r w:rsidR="00074436" w:rsidRPr="00FF4FCB">
        <w:rPr>
          <w:rFonts w:cs="Times New Roman"/>
        </w:rPr>
        <w:instrText>Minnesota</w:instrText>
      </w:r>
      <w:r w:rsidR="00074436">
        <w:instrText xml:space="preserve">" </w:instrText>
      </w:r>
      <w:r w:rsidR="001858B5">
        <w:rPr>
          <w:rFonts w:cs="Times New Roman"/>
        </w:rPr>
        <w:fldChar w:fldCharType="end"/>
      </w:r>
      <w:r w:rsidR="00834FB0" w:rsidRPr="00124B71">
        <w:rPr>
          <w:rFonts w:cs="Times New Roman"/>
        </w:rPr>
        <w:t xml:space="preserve"> and some other states passed laws restricting the use of negative amortization loans and required lenders to qualify borrowers based on their ability to make a fully amortized payment. The Minnesota law is a </w:t>
      </w:r>
      <w:r w:rsidR="006139B1" w:rsidRPr="00124B71">
        <w:rPr>
          <w:rFonts w:cs="Times New Roman"/>
        </w:rPr>
        <w:t xml:space="preserve">good </w:t>
      </w:r>
      <w:r w:rsidR="00834FB0" w:rsidRPr="00124B71">
        <w:rPr>
          <w:rFonts w:cs="Times New Roman"/>
        </w:rPr>
        <w:t>template for the rest of the nation.</w:t>
      </w:r>
    </w:p>
    <w:p w14:paraId="5C9C182C" w14:textId="77777777" w:rsidR="00B82877" w:rsidRPr="00124B71" w:rsidRDefault="00B82877" w:rsidP="008B01A8">
      <w:pPr>
        <w:rPr>
          <w:rFonts w:cs="Times New Roman"/>
        </w:rPr>
      </w:pPr>
      <w:r w:rsidRPr="00124B71">
        <w:rPr>
          <w:rFonts w:cs="Times New Roman"/>
        </w:rPr>
        <w:t xml:space="preserve">Any proposal to prevent bubbles from reoccurring in the residential real estate market must properly identify the cause, provide a solution that is enforceable, and allow for the unhindered working of the secondary mortgage </w:t>
      </w:r>
      <w:r w:rsidRPr="00124B71">
        <w:rPr>
          <w:rFonts w:cs="Times New Roman"/>
        </w:rPr>
        <w:lastRenderedPageBreak/>
        <w:t>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Pr="00124B71">
        <w:rPr>
          <w:rFonts w:cs="Times New Roman"/>
        </w:rPr>
        <w:t>.</w:t>
      </w:r>
      <w:r w:rsidR="001F1C46" w:rsidRPr="00124B71">
        <w:rPr>
          <w:rFonts w:cs="Times New Roman"/>
        </w:rPr>
        <w:t xml:space="preserve"> The solutions outlined below are both market-based, meaning it does not require government regulation, and regulatory based, meaning it entails some form of civil or criminal penalties to prevent certain forms of behavior leading to market bubbles. </w:t>
      </w:r>
      <w:r w:rsidR="006139B1" w:rsidRPr="00124B71">
        <w:rPr>
          <w:rFonts w:cs="Times New Roman"/>
        </w:rPr>
        <w:t>All changes are difficult to implement and the solutions presented here would be no exception. A</w:t>
      </w:r>
      <w:r w:rsidR="001F1C46" w:rsidRPr="00124B71">
        <w:rPr>
          <w:rFonts w:cs="Times New Roman"/>
        </w:rPr>
        <w:t xml:space="preserve">ny policies which prevent future bubbles will be opposed by those who profit from these activities and homeowners who are in need </w:t>
      </w:r>
      <w:r w:rsidR="006139B1" w:rsidRPr="00124B71">
        <w:rPr>
          <w:rFonts w:cs="Times New Roman"/>
        </w:rPr>
        <w:t>of</w:t>
      </w:r>
      <w:r w:rsidR="001F1C46" w:rsidRPr="00124B71">
        <w:rPr>
          <w:rFonts w:cs="Times New Roman"/>
        </w:rPr>
        <w:t xml:space="preserve"> the next bubble to get out of the bad deals they entered during the Great Housing Bubble. Despite these difficulties, it is imperative that reform take place, or the country may experience another housing bubble with all the pain and financial hardship it entails.</w:t>
      </w:r>
    </w:p>
    <w:p w14:paraId="6B582B2B" w14:textId="77777777" w:rsidR="00820086" w:rsidRPr="00EF0EDA" w:rsidRDefault="00820086" w:rsidP="00820086">
      <w:pPr>
        <w:pStyle w:val="Heading2"/>
      </w:pPr>
      <w:bookmarkStart w:id="250" w:name="_Toc238867417"/>
      <w:r w:rsidRPr="00EF0EDA">
        <w:t>Market Solutions</w:t>
      </w:r>
      <w:bookmarkEnd w:id="250"/>
    </w:p>
    <w:p w14:paraId="307D12FF" w14:textId="77777777" w:rsidR="00262F57" w:rsidRPr="00124B71" w:rsidRDefault="00262F57" w:rsidP="00946F4B">
      <w:pPr>
        <w:rPr>
          <w:rFonts w:cs="Times New Roman"/>
        </w:rPr>
      </w:pPr>
      <w:r w:rsidRPr="00124B71">
        <w:rPr>
          <w:rFonts w:cs="Times New Roman"/>
        </w:rPr>
        <w:t>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00946F4B" w:rsidRPr="00124B71">
        <w:rPr>
          <w:rFonts w:cs="Times New Roman"/>
        </w:rPr>
        <w:t xml:space="preserve"> was created in the 1970s by the government sponsored entities, Freddie Mac</w:t>
      </w:r>
      <w:r w:rsidR="001858B5">
        <w:rPr>
          <w:rFonts w:cs="Times New Roman"/>
        </w:rPr>
        <w:fldChar w:fldCharType="begin"/>
      </w:r>
      <w:r w:rsidR="00FF74AC">
        <w:instrText xml:space="preserve"> XE "</w:instrText>
      </w:r>
      <w:r w:rsidR="00FF74AC" w:rsidRPr="00302EDC">
        <w:rPr>
          <w:rFonts w:cs="Times New Roman"/>
        </w:rPr>
        <w:instrText>Freddie Mac</w:instrText>
      </w:r>
      <w:r w:rsidR="00FF74AC">
        <w:instrText xml:space="preserve">" </w:instrText>
      </w:r>
      <w:r w:rsidR="001858B5">
        <w:rPr>
          <w:rFonts w:cs="Times New Roman"/>
        </w:rPr>
        <w:fldChar w:fldCharType="end"/>
      </w:r>
      <w:r w:rsidR="00946F4B" w:rsidRPr="00124B71">
        <w:rPr>
          <w:rFonts w:cs="Times New Roman"/>
        </w:rPr>
        <w:t>, Fannie Mae</w:t>
      </w:r>
      <w:r w:rsidR="001858B5">
        <w:rPr>
          <w:rFonts w:cs="Times New Roman"/>
        </w:rPr>
        <w:fldChar w:fldCharType="begin"/>
      </w:r>
      <w:r w:rsidR="00FF74AC">
        <w:instrText xml:space="preserve"> XE "</w:instrText>
      </w:r>
      <w:r w:rsidR="00FF74AC" w:rsidRPr="00354E50">
        <w:rPr>
          <w:rFonts w:cs="Times New Roman"/>
        </w:rPr>
        <w:instrText>Fannie Mae</w:instrText>
      </w:r>
      <w:r w:rsidR="00FF74AC">
        <w:instrText xml:space="preserve">" </w:instrText>
      </w:r>
      <w:r w:rsidR="001858B5">
        <w:rPr>
          <w:rFonts w:cs="Times New Roman"/>
        </w:rPr>
        <w:fldChar w:fldCharType="end"/>
      </w:r>
      <w:r w:rsidR="00946F4B" w:rsidRPr="00124B71">
        <w:rPr>
          <w:rFonts w:cs="Times New Roman"/>
        </w:rPr>
        <w:t>, and Ginnie Mae</w:t>
      </w:r>
      <w:r w:rsidR="001858B5">
        <w:rPr>
          <w:rFonts w:cs="Times New Roman"/>
        </w:rPr>
        <w:fldChar w:fldCharType="begin"/>
      </w:r>
      <w:r w:rsidR="00FF74AC">
        <w:instrText xml:space="preserve"> XE "</w:instrText>
      </w:r>
      <w:r w:rsidR="00FF74AC" w:rsidRPr="00F4772A">
        <w:rPr>
          <w:rFonts w:cs="Times New Roman"/>
        </w:rPr>
        <w:instrText>Ginnie Mae</w:instrText>
      </w:r>
      <w:r w:rsidR="00FF74AC">
        <w:instrText xml:space="preserve">" </w:instrText>
      </w:r>
      <w:r w:rsidR="001858B5">
        <w:rPr>
          <w:rFonts w:cs="Times New Roman"/>
        </w:rPr>
        <w:fldChar w:fldCharType="end"/>
      </w:r>
      <w:r w:rsidR="00946F4B" w:rsidRPr="00124B71">
        <w:rPr>
          <w:rFonts w:cs="Times New Roman"/>
        </w:rPr>
        <w:t>. This market was expanded by the creation of asset-backed securities</w:t>
      </w:r>
      <w:r w:rsidR="001858B5">
        <w:rPr>
          <w:rFonts w:cs="Times New Roman"/>
        </w:rPr>
        <w:fldChar w:fldCharType="begin"/>
      </w:r>
      <w:r w:rsidR="00FF74AC">
        <w:instrText xml:space="preserve"> XE "</w:instrText>
      </w:r>
      <w:r w:rsidR="00FF74AC" w:rsidRPr="000A5EFF">
        <w:rPr>
          <w:rFonts w:cs="Times New Roman"/>
        </w:rPr>
        <w:instrText>asset-backed securities</w:instrText>
      </w:r>
      <w:r w:rsidR="00FF74AC">
        <w:instrText xml:space="preserve">" </w:instrText>
      </w:r>
      <w:r w:rsidR="001858B5">
        <w:rPr>
          <w:rFonts w:cs="Times New Roman"/>
        </w:rPr>
        <w:fldChar w:fldCharType="end"/>
      </w:r>
      <w:r w:rsidR="00946F4B" w:rsidRPr="00124B71">
        <w:rPr>
          <w:rFonts w:cs="Times New Roman"/>
        </w:rPr>
        <w:t xml:space="preserve"> where mortgage loans are packed together into collateralized debt obligations</w:t>
      </w:r>
      <w:r w:rsidR="00D87A4E" w:rsidRPr="00124B71">
        <w:rPr>
          <w:rFonts w:cs="Times New Roman"/>
        </w:rPr>
        <w:t xml:space="preserve"> (CDOs)</w:t>
      </w:r>
      <w:r w:rsidR="00946F4B" w:rsidRPr="00124B71">
        <w:rPr>
          <w:rFonts w:cs="Times New Roman"/>
        </w:rPr>
        <w:t xml:space="preserve">. This flow of capital into the mortgage market is a necessary and efficient tool for delivering money to borrowers for home mortgages. This market must remain viable for the continued health of residential real estate markets. The problem during the Great Housing Bubble was that the buyers of </w:t>
      </w:r>
      <w:r w:rsidR="00D87A4E" w:rsidRPr="00124B71">
        <w:rPr>
          <w:rFonts w:cs="Times New Roman"/>
        </w:rPr>
        <w:t xml:space="preserve">CDOs </w:t>
      </w:r>
      <w:r w:rsidR="00946F4B" w:rsidRPr="00124B71">
        <w:rPr>
          <w:rFonts w:cs="Times New Roman"/>
        </w:rPr>
        <w:t>did not properly evaluate the risk of loss through default on the underlying mortgage notes that were pooled. The reason these risks were not evaluated properly is due to the appraisal methods used to value real estate serving as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00946F4B" w:rsidRPr="00124B71">
        <w:rPr>
          <w:rFonts w:cs="Times New Roman"/>
        </w:rPr>
        <w:t xml:space="preserve"> backing up these loans.</w:t>
      </w:r>
      <w:r w:rsidRPr="00124B71">
        <w:rPr>
          <w:rFonts w:cs="Times New Roman"/>
        </w:rPr>
        <w:t xml:space="preserve"> </w:t>
      </w:r>
    </w:p>
    <w:p w14:paraId="494E9C93" w14:textId="77777777" w:rsidR="00262F57" w:rsidRPr="00124B71" w:rsidRDefault="00262F57" w:rsidP="00262F57">
      <w:pPr>
        <w:rPr>
          <w:rFonts w:cs="Times New Roman"/>
        </w:rPr>
      </w:pPr>
      <w:r w:rsidRPr="00124B71">
        <w:rPr>
          <w:rFonts w:cs="Times New Roman"/>
        </w:rPr>
        <w:t>There is one potential market-based solution that would require no government regulation or intervention that would prevent future bubbles from being created with borrowed capital: change the method of appraisal</w:t>
      </w:r>
      <w:r w:rsidR="006C4FEE" w:rsidRPr="00124B71">
        <w:rPr>
          <w:rFonts w:cs="Times New Roman"/>
        </w:rPr>
        <w:t xml:space="preserve"> for residential real estate</w:t>
      </w:r>
      <w:r w:rsidRPr="00124B71">
        <w:rPr>
          <w:rFonts w:cs="Times New Roman"/>
        </w:rPr>
        <w:t xml:space="preserve"> from</w:t>
      </w:r>
      <w:r w:rsidR="00214766" w:rsidRPr="00124B71">
        <w:rPr>
          <w:rFonts w:cs="Times New Roman"/>
        </w:rPr>
        <w:t xml:space="preserve"> valuations based exclusively on</w:t>
      </w:r>
      <w:r w:rsidRPr="00124B71">
        <w:rPr>
          <w:rFonts w:cs="Times New Roman"/>
        </w:rPr>
        <w:t xml:space="preserve"> the </w:t>
      </w:r>
      <w:r w:rsidR="0061670B" w:rsidRPr="00124B71">
        <w:rPr>
          <w:rFonts w:cs="Times New Roman"/>
        </w:rPr>
        <w:t>comparative-sales</w:t>
      </w:r>
      <w:r w:rsidRPr="00124B71">
        <w:rPr>
          <w:rFonts w:cs="Times New Roman"/>
        </w:rPr>
        <w:t xml:space="preserve"> approach</w:t>
      </w:r>
      <w:r w:rsidR="001858B5">
        <w:rPr>
          <w:rFonts w:cs="Times New Roman"/>
        </w:rPr>
        <w:fldChar w:fldCharType="begin"/>
      </w:r>
      <w:r w:rsidR="003247C5">
        <w:instrText xml:space="preserve"> XE "</w:instrText>
      </w:r>
      <w:r w:rsidR="003247C5" w:rsidRPr="001C7382">
        <w:rPr>
          <w:rFonts w:cs="Times New Roman"/>
        </w:rPr>
        <w:instrText>comparative-sales approach</w:instrText>
      </w:r>
      <w:r w:rsidR="003247C5">
        <w:instrText xml:space="preserve">" </w:instrText>
      </w:r>
      <w:r w:rsidR="001858B5">
        <w:rPr>
          <w:rFonts w:cs="Times New Roman"/>
        </w:rPr>
        <w:fldChar w:fldCharType="end"/>
      </w:r>
      <w:r w:rsidRPr="00124B71">
        <w:rPr>
          <w:rFonts w:cs="Times New Roman"/>
        </w:rPr>
        <w:t xml:space="preserve"> to</w:t>
      </w:r>
      <w:r w:rsidR="00214766" w:rsidRPr="00124B71">
        <w:rPr>
          <w:rFonts w:cs="Times New Roman"/>
        </w:rPr>
        <w:t xml:space="preserve"> a valuation derived from</w:t>
      </w:r>
      <w:r w:rsidRPr="00124B71">
        <w:rPr>
          <w:rFonts w:cs="Times New Roman"/>
        </w:rPr>
        <w:t xml:space="preserve"> the</w:t>
      </w:r>
      <w:r w:rsidR="00214766" w:rsidRPr="00124B71">
        <w:rPr>
          <w:rFonts w:cs="Times New Roman"/>
        </w:rPr>
        <w:t xml:space="preserve"> lesser of the</w:t>
      </w:r>
      <w:r w:rsidRPr="00124B71">
        <w:rPr>
          <w:rFonts w:cs="Times New Roman"/>
        </w:rPr>
        <w:t xml:space="preserve"> income approach</w:t>
      </w:r>
      <w:r w:rsidR="001858B5">
        <w:rPr>
          <w:rFonts w:cs="Times New Roman"/>
        </w:rPr>
        <w:fldChar w:fldCharType="begin"/>
      </w:r>
      <w:r w:rsidR="003247C5">
        <w:instrText xml:space="preserve"> XE "</w:instrText>
      </w:r>
      <w:r w:rsidR="003247C5" w:rsidRPr="00F97F1B">
        <w:rPr>
          <w:rFonts w:cs="Times New Roman"/>
        </w:rPr>
        <w:instrText>income approach</w:instrText>
      </w:r>
      <w:r w:rsidR="003247C5">
        <w:instrText xml:space="preserve">" </w:instrText>
      </w:r>
      <w:r w:rsidR="001858B5">
        <w:rPr>
          <w:rFonts w:cs="Times New Roman"/>
        </w:rPr>
        <w:fldChar w:fldCharType="end"/>
      </w:r>
      <w:r w:rsidR="00214766" w:rsidRPr="00124B71">
        <w:rPr>
          <w:rFonts w:cs="Times New Roman"/>
        </w:rPr>
        <w:t xml:space="preserve"> and the </w:t>
      </w:r>
      <w:r w:rsidR="0061670B" w:rsidRPr="00124B71">
        <w:rPr>
          <w:rFonts w:cs="Times New Roman"/>
        </w:rPr>
        <w:t>comparative-sales</w:t>
      </w:r>
      <w:r w:rsidR="00214766" w:rsidRPr="00124B71">
        <w:rPr>
          <w:rFonts w:cs="Times New Roman"/>
        </w:rPr>
        <w:t xml:space="preserve"> approach</w:t>
      </w:r>
      <w:r w:rsidRPr="00124B71">
        <w:rPr>
          <w:rFonts w:cs="Times New Roman"/>
        </w:rPr>
        <w:t>.</w:t>
      </w:r>
      <w:r w:rsidR="00214766" w:rsidRPr="00124B71">
        <w:rPr>
          <w:rFonts w:cs="Times New Roman"/>
        </w:rPr>
        <w:t xml:space="preserve"> Both approaches are already part of a standard appraisal, so little additional work is necessary</w:t>
      </w:r>
      <w:r w:rsidR="007C469A">
        <w:rPr>
          <w:rFonts w:cs="Times New Roman"/>
        </w:rPr>
        <w:t>–</w:t>
      </w:r>
      <w:r w:rsidR="00214766" w:rsidRPr="00124B71">
        <w:rPr>
          <w:rFonts w:cs="Times New Roman"/>
        </w:rPr>
        <w:t>other than appraisers will have to focus on doing the income approach properly. In the current lending system, the income approach is widely ignored.</w:t>
      </w:r>
      <w:r w:rsidRPr="00124B71">
        <w:rPr>
          <w:rFonts w:cs="Times New Roman"/>
        </w:rPr>
        <w:t xml:space="preserve"> This change</w:t>
      </w:r>
      <w:r w:rsidR="00214766" w:rsidRPr="00124B71">
        <w:rPr>
          <w:rFonts w:cs="Times New Roman"/>
        </w:rPr>
        <w:t xml:space="preserve"> of emphasis in valuation methods</w:t>
      </w:r>
      <w:r w:rsidRPr="00124B71">
        <w:rPr>
          <w:rFonts w:cs="Times New Roman"/>
        </w:rPr>
        <w:t xml:space="preserve"> could come from the investors in </w:t>
      </w:r>
      <w:r w:rsidR="00D87A4E" w:rsidRPr="00124B71">
        <w:rPr>
          <w:rFonts w:cs="Times New Roman"/>
        </w:rPr>
        <w:t xml:space="preserve">CDOs </w:t>
      </w:r>
      <w:r w:rsidRPr="00124B71">
        <w:rPr>
          <w:rFonts w:cs="Times New Roman"/>
        </w:rPr>
        <w:t xml:space="preserve">themselves. When the fallout from the Great Housing Bubble is evaluated, it is clear that the </w:t>
      </w:r>
      <w:r w:rsidR="0061670B" w:rsidRPr="00124B71">
        <w:rPr>
          <w:rFonts w:cs="Times New Roman"/>
        </w:rPr>
        <w:t>comparative-sales</w:t>
      </w:r>
      <w:r w:rsidRPr="00124B71">
        <w:rPr>
          <w:rFonts w:cs="Times New Roman"/>
        </w:rPr>
        <w:t xml:space="preserve"> approach simply enables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Pr="00124B71">
        <w:rPr>
          <w:rFonts w:cs="Times New Roman"/>
        </w:rPr>
        <w:t xml:space="preserve"> because the past foolish behavior of buyers becomes the basis for future valuations allowing other buyers to continue bidding up prices with lender and investor money. Prices collapsed in the Great Housing Bubble because prices became greatly detached from their fundamental valuation of income and rent.</w:t>
      </w:r>
      <w:r w:rsidR="006C4FEE" w:rsidRPr="00124B71">
        <w:rPr>
          <w:rFonts w:cs="Times New Roman"/>
        </w:rPr>
        <w:t xml:space="preserve"> This occurred because the </w:t>
      </w:r>
      <w:r w:rsidR="0061670B" w:rsidRPr="00124B71">
        <w:rPr>
          <w:rFonts w:cs="Times New Roman"/>
        </w:rPr>
        <w:t>comparative-sales</w:t>
      </w:r>
      <w:r w:rsidR="006C4FEE" w:rsidRPr="00124B71">
        <w:rPr>
          <w:rFonts w:cs="Times New Roman"/>
        </w:rPr>
        <w:t xml:space="preserve"> approach enables prices to rise based on the irrational exuberance of buyers.</w:t>
      </w:r>
      <w:r w:rsidRPr="00124B71">
        <w:rPr>
          <w:rFonts w:cs="Times New Roman"/>
        </w:rPr>
        <w:t xml:space="preserve"> If lenders</w:t>
      </w:r>
      <w:r w:rsidR="00214766" w:rsidRPr="00124B71">
        <w:rPr>
          <w:rFonts w:cs="Times New Roman"/>
        </w:rPr>
        <w:t xml:space="preserve"> would have </w:t>
      </w:r>
      <w:r w:rsidR="00766845" w:rsidRPr="00124B71">
        <w:rPr>
          <w:rFonts w:cs="Times New Roman"/>
        </w:rPr>
        <w:t>limited their lending based on</w:t>
      </w:r>
      <w:r w:rsidR="00214766" w:rsidRPr="00124B71">
        <w:rPr>
          <w:rFonts w:cs="Times New Roman"/>
        </w:rPr>
        <w:t xml:space="preserve"> the income approach, and if they</w:t>
      </w:r>
      <w:r w:rsidRPr="00124B71">
        <w:rPr>
          <w:rFonts w:cs="Times New Roman"/>
        </w:rPr>
        <w:t xml:space="preserve"> would not have loaned money beyond what the rental cashflow from the property could have produced, any price bubble would have to have been built with buyer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and lender and </w:t>
      </w:r>
      <w:r w:rsidRPr="00124B71">
        <w:rPr>
          <w:rFonts w:cs="Times New Roman"/>
        </w:rPr>
        <w:lastRenderedPageBreak/>
        <w:t xml:space="preserve">investor funds would not have been put at risk. There is no way to prevent future bubbles, and the commensurate imperilment of our financial system, as long as the </w:t>
      </w:r>
      <w:r w:rsidR="0061670B" w:rsidRPr="00124B71">
        <w:rPr>
          <w:rFonts w:cs="Times New Roman"/>
        </w:rPr>
        <w:t>comparative-sales</w:t>
      </w:r>
      <w:r w:rsidRPr="00124B71">
        <w:rPr>
          <w:rFonts w:cs="Times New Roman"/>
        </w:rPr>
        <w:t xml:space="preserve"> approach is the</w:t>
      </w:r>
      <w:r w:rsidR="006C4FEE" w:rsidRPr="00124B71">
        <w:rPr>
          <w:rFonts w:cs="Times New Roman"/>
        </w:rPr>
        <w:t xml:space="preserve"> </w:t>
      </w:r>
      <w:r w:rsidR="00214766" w:rsidRPr="00124B71">
        <w:rPr>
          <w:rFonts w:cs="Times New Roman"/>
        </w:rPr>
        <w:t>exclusive</w:t>
      </w:r>
      <w:r w:rsidRPr="00124B71">
        <w:rPr>
          <w:rFonts w:cs="Times New Roman"/>
        </w:rPr>
        <w:t xml:space="preserve"> basis of appraisals for residential real estate.</w:t>
      </w:r>
    </w:p>
    <w:p w14:paraId="67D9885E" w14:textId="77777777" w:rsidR="00946F4B" w:rsidRPr="00124B71" w:rsidRDefault="00946F4B" w:rsidP="00262F57">
      <w:pPr>
        <w:rPr>
          <w:rFonts w:cs="Times New Roman"/>
        </w:rPr>
      </w:pPr>
      <w:r w:rsidRPr="00124B71">
        <w:rPr>
          <w:rFonts w:cs="Times New Roman"/>
        </w:rPr>
        <w:t xml:space="preserve">Investor confidence in the market for </w:t>
      </w:r>
      <w:r w:rsidR="00D87A4E" w:rsidRPr="00124B71">
        <w:rPr>
          <w:rFonts w:cs="Times New Roman"/>
        </w:rPr>
        <w:t xml:space="preserve">CDOs </w:t>
      </w:r>
      <w:r w:rsidRPr="00124B71">
        <w:rPr>
          <w:rFonts w:cs="Times New Roman"/>
        </w:rPr>
        <w:t>and all mortgages was shaken during the decline of the Great Housing Bubble</w:t>
      </w:r>
      <w:r w:rsidR="007C469A">
        <w:rPr>
          <w:rFonts w:cs="Times New Roman"/>
        </w:rPr>
        <w:t>–</w:t>
      </w:r>
      <w:r w:rsidRPr="00124B71">
        <w:rPr>
          <w:rFonts w:cs="Times New Roman"/>
        </w:rPr>
        <w:t>and rightly so. Investors were losing huge sums, and nobody clearly understood why.</w:t>
      </w:r>
      <w:r w:rsidR="006C4FEE" w:rsidRPr="00124B71">
        <w:rPr>
          <w:rFonts w:cs="Times New Roman"/>
        </w:rPr>
        <w:t xml:space="preserve"> There was a widespread belief these losses were caused by some outside factor rather than a systemic problem enabled by the lenders and investors themselves</w:t>
      </w:r>
      <w:r w:rsidR="00A107E9" w:rsidRPr="00124B71">
        <w:rPr>
          <w:rFonts w:cs="Times New Roman"/>
        </w:rPr>
        <w:t xml:space="preserve">. </w:t>
      </w:r>
      <w:r w:rsidR="006139B1" w:rsidRPr="00124B71">
        <w:rPr>
          <w:rStyle w:val="EndnoteReference"/>
          <w:rFonts w:cs="Times New Roman"/>
        </w:rPr>
        <w:endnoteReference w:id="144"/>
      </w:r>
      <w:r w:rsidRPr="00124B71">
        <w:rPr>
          <w:rFonts w:cs="Times New Roman"/>
        </w:rPr>
        <w:t xml:space="preserve"> For investor confidence to return to this market, </w:t>
      </w:r>
      <w:r w:rsidR="00214766" w:rsidRPr="00124B71">
        <w:rPr>
          <w:rFonts w:cs="Times New Roman"/>
        </w:rPr>
        <w:t xml:space="preserve">investors must first ascertain </w:t>
      </w:r>
      <w:r w:rsidRPr="00124B71">
        <w:rPr>
          <w:rFonts w:cs="Times New Roman"/>
        </w:rPr>
        <w:t>a more accurate evaluation of potential losses due to mortgage default. This requires an accurate appraisal of the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Pr="00124B71">
        <w:rPr>
          <w:rFonts w:cs="Times New Roman"/>
        </w:rPr>
        <w:t xml:space="preserve"> of the residential real estate serving as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Pr="00124B71">
        <w:rPr>
          <w:rFonts w:cs="Times New Roman"/>
        </w:rPr>
        <w:t xml:space="preserve"> for the mortgage loans that comprise the </w:t>
      </w:r>
      <w:r w:rsidR="00D87A4E" w:rsidRPr="00124B71">
        <w:rPr>
          <w:rFonts w:cs="Times New Roman"/>
        </w:rPr>
        <w:t>CDOs</w:t>
      </w:r>
      <w:r w:rsidRPr="00124B71">
        <w:rPr>
          <w:rFonts w:cs="Times New Roman"/>
        </w:rPr>
        <w:t>. Since the fundamental value</w:t>
      </w:r>
      <w:r w:rsidR="00D87A4E" w:rsidRPr="00124B71">
        <w:rPr>
          <w:rFonts w:cs="Times New Roman"/>
        </w:rPr>
        <w:t xml:space="preserve"> of residential real estate</w:t>
      </w:r>
      <w:r w:rsidRPr="00124B71">
        <w:rPr>
          <w:rFonts w:cs="Times New Roman"/>
        </w:rPr>
        <w:t xml:space="preserve">, the value to which prices </w:t>
      </w:r>
      <w:r w:rsidR="00D87A4E" w:rsidRPr="00124B71">
        <w:rPr>
          <w:rFonts w:cs="Times New Roman"/>
        </w:rPr>
        <w:t>ultimately fall during a price decline, is determined by the potential for rental income from the property, revaluing properties using the income approach</w:t>
      </w:r>
      <w:r w:rsidR="001858B5">
        <w:rPr>
          <w:rFonts w:cs="Times New Roman"/>
        </w:rPr>
        <w:fldChar w:fldCharType="begin"/>
      </w:r>
      <w:r w:rsidR="003247C5">
        <w:instrText xml:space="preserve"> XE "</w:instrText>
      </w:r>
      <w:r w:rsidR="003247C5" w:rsidRPr="00F97F1B">
        <w:rPr>
          <w:rFonts w:cs="Times New Roman"/>
        </w:rPr>
        <w:instrText>income approach</w:instrText>
      </w:r>
      <w:r w:rsidR="003247C5">
        <w:instrText xml:space="preserve">" </w:instrText>
      </w:r>
      <w:r w:rsidR="001858B5">
        <w:rPr>
          <w:rFonts w:cs="Times New Roman"/>
        </w:rPr>
        <w:fldChar w:fldCharType="end"/>
      </w:r>
      <w:r w:rsidR="00D87A4E" w:rsidRPr="00124B71">
        <w:rPr>
          <w:rFonts w:cs="Times New Roman"/>
        </w:rPr>
        <w:t xml:space="preserve"> would provide a more accurate measure</w:t>
      </w:r>
      <w:r w:rsidR="008600B2">
        <w:rPr>
          <w:rFonts w:cs="Times New Roman"/>
        </w:rPr>
        <w:t xml:space="preserve"> of</w:t>
      </w:r>
      <w:r w:rsidR="00D87A4E" w:rsidRPr="00124B71">
        <w:rPr>
          <w:rFonts w:cs="Times New Roman"/>
        </w:rPr>
        <w:t xml:space="preserve"> the value of the mortgage note and thereby the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00D87A4E" w:rsidRPr="00124B71">
        <w:rPr>
          <w:rFonts w:cs="Times New Roman"/>
        </w:rPr>
        <w:t>.</w:t>
      </w:r>
    </w:p>
    <w:p w14:paraId="1F517D9B" w14:textId="77777777" w:rsidR="00D87A4E" w:rsidRDefault="00214766" w:rsidP="00214766">
      <w:pPr>
        <w:rPr>
          <w:rFonts w:cs="Times New Roman"/>
        </w:rPr>
      </w:pPr>
      <w:r w:rsidRPr="00124B71">
        <w:rPr>
          <w:rFonts w:cs="Times New Roman"/>
        </w:rPr>
        <w:t>The ratings agencies who rate the variou</w:t>
      </w:r>
      <w:r w:rsidR="00A2392E" w:rsidRPr="00124B71">
        <w:rPr>
          <w:rFonts w:cs="Times New Roman"/>
        </w:rPr>
        <w:t>s tranches of CDOs must adopt</w:t>
      </w:r>
      <w:r w:rsidRPr="00124B71">
        <w:rPr>
          <w:rFonts w:cs="Times New Roman"/>
        </w:rPr>
        <w:t xml:space="preserve"> the method of valuation </w:t>
      </w:r>
      <w:r w:rsidR="00A2392E" w:rsidRPr="00124B71">
        <w:rPr>
          <w:rFonts w:cs="Times New Roman"/>
        </w:rPr>
        <w:t>utilizing</w:t>
      </w:r>
      <w:r w:rsidRPr="00124B71">
        <w:rPr>
          <w:rFonts w:cs="Times New Roman"/>
        </w:rPr>
        <w:t xml:space="preserve"> the lesser value of the income approach</w:t>
      </w:r>
      <w:r w:rsidR="001858B5">
        <w:rPr>
          <w:rFonts w:cs="Times New Roman"/>
        </w:rPr>
        <w:fldChar w:fldCharType="begin"/>
      </w:r>
      <w:r w:rsidR="003247C5">
        <w:instrText xml:space="preserve"> XE "</w:instrText>
      </w:r>
      <w:r w:rsidR="003247C5" w:rsidRPr="00F97F1B">
        <w:rPr>
          <w:rFonts w:cs="Times New Roman"/>
        </w:rPr>
        <w:instrText>income approach</w:instrText>
      </w:r>
      <w:r w:rsidR="003247C5">
        <w:instrText xml:space="preserve">" </w:instrText>
      </w:r>
      <w:r w:rsidR="001858B5">
        <w:rPr>
          <w:rFonts w:cs="Times New Roman"/>
        </w:rPr>
        <w:fldChar w:fldCharType="end"/>
      </w:r>
      <w:r w:rsidRPr="00124B71">
        <w:rPr>
          <w:rFonts w:cs="Times New Roman"/>
        </w:rPr>
        <w:t xml:space="preserve"> and the </w:t>
      </w:r>
      <w:r w:rsidR="0061670B" w:rsidRPr="00124B71">
        <w:rPr>
          <w:rFonts w:cs="Times New Roman"/>
        </w:rPr>
        <w:t>comparative-sales</w:t>
      </w:r>
      <w:r w:rsidRPr="00124B71">
        <w:rPr>
          <w:rFonts w:cs="Times New Roman"/>
        </w:rPr>
        <w:t xml:space="preserve"> approach</w:t>
      </w:r>
      <w:r w:rsidR="001858B5">
        <w:rPr>
          <w:rFonts w:cs="Times New Roman"/>
        </w:rPr>
        <w:fldChar w:fldCharType="begin"/>
      </w:r>
      <w:r w:rsidR="003247C5">
        <w:instrText xml:space="preserve"> XE "</w:instrText>
      </w:r>
      <w:r w:rsidR="003247C5" w:rsidRPr="001C7382">
        <w:rPr>
          <w:rFonts w:cs="Times New Roman"/>
        </w:rPr>
        <w:instrText>comparative-sales approach</w:instrText>
      </w:r>
      <w:r w:rsidR="003247C5">
        <w:instrText xml:space="preserve">" </w:instrText>
      </w:r>
      <w:r w:rsidR="001858B5">
        <w:rPr>
          <w:rFonts w:cs="Times New Roman"/>
        </w:rPr>
        <w:fldChar w:fldCharType="end"/>
      </w:r>
      <w:r w:rsidRPr="00124B71">
        <w:rPr>
          <w:rFonts w:cs="Times New Roman"/>
        </w:rPr>
        <w:t>. The ratings agency’s recommendations and ratings carry significant weight with investors, and the ratings agencies clearly made a tragic error in their ratings of CDOs during the Great Housing Bubble. If the ratings agencies properly evaluate the underlying collateral</w:t>
      </w:r>
      <w:r w:rsidR="001858B5">
        <w:rPr>
          <w:rFonts w:cs="Times New Roman"/>
        </w:rPr>
        <w:fldChar w:fldCharType="begin"/>
      </w:r>
      <w:r w:rsidR="001A53F8">
        <w:instrText xml:space="preserve"> XE "</w:instrText>
      </w:r>
      <w:r w:rsidR="001A53F8" w:rsidRPr="00BD64A2">
        <w:rPr>
          <w:rFonts w:cs="Times New Roman"/>
        </w:rPr>
        <w:instrText>collateral</w:instrText>
      </w:r>
      <w:r w:rsidR="001A53F8">
        <w:instrText xml:space="preserve">" </w:instrText>
      </w:r>
      <w:r w:rsidR="001858B5">
        <w:rPr>
          <w:rFonts w:cs="Times New Roman"/>
        </w:rPr>
        <w:fldChar w:fldCharType="end"/>
      </w:r>
      <w:r w:rsidRPr="00124B71">
        <w:rPr>
          <w:rFonts w:cs="Times New Roman"/>
        </w:rPr>
        <w:t xml:space="preserve"> backing up the mortgages </w:t>
      </w:r>
      <w:r w:rsidR="00D606DC" w:rsidRPr="00124B71">
        <w:rPr>
          <w:rFonts w:cs="Times New Roman"/>
        </w:rPr>
        <w:t>that are pooled together in a CDO</w:t>
      </w:r>
      <w:r w:rsidR="001858B5">
        <w:rPr>
          <w:rFonts w:cs="Times New Roman"/>
        </w:rPr>
        <w:fldChar w:fldCharType="begin"/>
      </w:r>
      <w:r w:rsidR="003247C5">
        <w:instrText xml:space="preserve"> XE "</w:instrText>
      </w:r>
      <w:r w:rsidR="003247C5" w:rsidRPr="00F20A0C">
        <w:rPr>
          <w:rFonts w:cs="Times New Roman"/>
        </w:rPr>
        <w:instrText>CDO</w:instrText>
      </w:r>
      <w:r w:rsidR="003247C5">
        <w:instrText xml:space="preserve">" </w:instrText>
      </w:r>
      <w:r w:rsidR="001858B5">
        <w:rPr>
          <w:rFonts w:cs="Times New Roman"/>
        </w:rPr>
        <w:fldChar w:fldCharType="end"/>
      </w:r>
      <w:r w:rsidR="00D606DC" w:rsidRPr="00124B71">
        <w:rPr>
          <w:rFonts w:cs="Times New Roman"/>
        </w:rPr>
        <w:t xml:space="preserve">, investors will regain confidence in the ratings, and money will return to the secondary market. </w:t>
      </w:r>
      <w:r w:rsidR="00D87A4E" w:rsidRPr="00124B71">
        <w:rPr>
          <w:rFonts w:cs="Times New Roman"/>
        </w:rPr>
        <w:t xml:space="preserve">If investors in CDOs recognize the chain of valuation as described, they would be unwilling to purchase CDOs valued by other methods. If investors are unwilling to purchase CDOs where the underlying collateral value is measured using the </w:t>
      </w:r>
      <w:r w:rsidR="0061670B" w:rsidRPr="00124B71">
        <w:rPr>
          <w:rFonts w:cs="Times New Roman"/>
        </w:rPr>
        <w:t>comparative-sales</w:t>
      </w:r>
      <w:r w:rsidR="00D87A4E" w:rsidRPr="00124B71">
        <w:rPr>
          <w:rFonts w:cs="Times New Roman"/>
        </w:rPr>
        <w:t xml:space="preserve"> approach and instead demand a valuation based on the income approach, the syndicators of CDOs will be forced to respond to investor demands or they will not be able to sell their syndications</w:t>
      </w:r>
      <w:r w:rsidRPr="00124B71">
        <w:rPr>
          <w:rFonts w:cs="Times New Roman"/>
        </w:rPr>
        <w:t>.</w:t>
      </w:r>
      <w:r w:rsidR="00D606DC" w:rsidRPr="00124B71">
        <w:rPr>
          <w:rFonts w:cs="Times New Roman"/>
        </w:rPr>
        <w:t xml:space="preserve"> Investors and the ratings agencies can mandate a new valuation method for residential home mortgages.</w:t>
      </w:r>
    </w:p>
    <w:p w14:paraId="144C55AA" w14:textId="77777777" w:rsidR="00C54DB1" w:rsidRPr="00124B71" w:rsidRDefault="00C54DB1" w:rsidP="00214766">
      <w:pPr>
        <w:rPr>
          <w:rFonts w:cs="Times New Roman"/>
        </w:rPr>
      </w:pPr>
      <w:r>
        <w:rPr>
          <w:rFonts w:cs="Times New Roman"/>
        </w:rPr>
        <w:t>In September of 2008, the Federal Government took “conservatorship” of the GSEs responsible for maintaining the secondary mortgage market. With the collapse of the asset-backed securities markets and CDOs, the GSE swaps were the only viable market for mortgage paper. This provides a unique opportunity for changing the market dynamics with limited government intervention. If the government in its role as conservator were to decide to mandate a change in appraisal methods, the secondary market would be forced to accept this change. Like any sweeping change in methodology, it could be phased in over time to properly train appraisers and work out the details of implementation. If the GSEs lead, the rest of the market will follow.</w:t>
      </w:r>
    </w:p>
    <w:p w14:paraId="4F7F10A1" w14:textId="77777777" w:rsidR="006C4FEE" w:rsidRPr="00124B71" w:rsidRDefault="006C4FEE" w:rsidP="00262F57">
      <w:pPr>
        <w:rPr>
          <w:rFonts w:cs="Times New Roman"/>
        </w:rPr>
      </w:pPr>
      <w:r w:rsidRPr="00124B71">
        <w:rPr>
          <w:rFonts w:cs="Times New Roman"/>
        </w:rPr>
        <w:t xml:space="preserve">The main objection with the </w:t>
      </w:r>
      <w:r w:rsidR="00C54DB1">
        <w:rPr>
          <w:rFonts w:cs="Times New Roman"/>
        </w:rPr>
        <w:t>income</w:t>
      </w:r>
      <w:r w:rsidRPr="00124B71">
        <w:rPr>
          <w:rFonts w:cs="Times New Roman"/>
        </w:rPr>
        <w:t xml:space="preserve"> approach is the difficulty of evaluating market rents, particularly in markets where there may not be many (or any) comparative properties for rent in the market. This is an old problem, one that </w:t>
      </w:r>
      <w:r w:rsidRPr="00124B71">
        <w:rPr>
          <w:rFonts w:cs="Times New Roman"/>
        </w:rPr>
        <w:lastRenderedPageBreak/>
        <w:t>has been studied in great detail by the Department of Labor</w:t>
      </w:r>
      <w:r w:rsidR="001858B5">
        <w:rPr>
          <w:rFonts w:cs="Times New Roman"/>
        </w:rPr>
        <w:fldChar w:fldCharType="begin"/>
      </w:r>
      <w:r w:rsidR="00180E6F">
        <w:instrText xml:space="preserve"> XE "</w:instrText>
      </w:r>
      <w:r w:rsidR="00180E6F" w:rsidRPr="0091021A">
        <w:rPr>
          <w:rFonts w:cs="Times New Roman"/>
        </w:rPr>
        <w:instrText>Department of Labor</w:instrText>
      </w:r>
      <w:r w:rsidR="00180E6F">
        <w:instrText xml:space="preserve">" </w:instrText>
      </w:r>
      <w:r w:rsidR="001858B5">
        <w:rPr>
          <w:rFonts w:cs="Times New Roman"/>
        </w:rPr>
        <w:fldChar w:fldCharType="end"/>
      </w:r>
      <w:r w:rsidRPr="00124B71">
        <w:rPr>
          <w:rFonts w:cs="Times New Roman"/>
        </w:rPr>
        <w:t xml:space="preserve"> Bureau of Labor Statistics</w:t>
      </w:r>
      <w:r w:rsidR="001858B5">
        <w:rPr>
          <w:rFonts w:cs="Times New Roman"/>
        </w:rPr>
        <w:fldChar w:fldCharType="begin"/>
      </w:r>
      <w:r w:rsidR="00180E6F">
        <w:instrText xml:space="preserve"> XE "</w:instrText>
      </w:r>
      <w:r w:rsidR="00180E6F" w:rsidRPr="00945A6D">
        <w:rPr>
          <w:rFonts w:cs="Times New Roman"/>
        </w:rPr>
        <w:instrText>Bureau of Labor Statistics</w:instrText>
      </w:r>
      <w:r w:rsidR="00180E6F">
        <w:instrText xml:space="preserve">" </w:instrText>
      </w:r>
      <w:r w:rsidR="001858B5">
        <w:rPr>
          <w:rFonts w:cs="Times New Roman"/>
        </w:rPr>
        <w:fldChar w:fldCharType="end"/>
      </w:r>
      <w:r w:rsidR="00A107E9" w:rsidRPr="00124B71">
        <w:rPr>
          <w:rFonts w:cs="Times New Roman"/>
        </w:rPr>
        <w:t xml:space="preserve">. </w:t>
      </w:r>
      <w:r w:rsidR="00766845" w:rsidRPr="00124B71">
        <w:rPr>
          <w:rStyle w:val="EndnoteReference"/>
          <w:rFonts w:cs="Times New Roman"/>
        </w:rPr>
        <w:endnoteReference w:id="145"/>
      </w:r>
      <w:r w:rsidRPr="00124B71">
        <w:rPr>
          <w:rFonts w:cs="Times New Roman"/>
        </w:rPr>
        <w:t xml:space="preserve"> Comparative rents have been collected by the DOL</w:t>
      </w:r>
      <w:r w:rsidR="001858B5">
        <w:rPr>
          <w:rFonts w:cs="Times New Roman"/>
        </w:rPr>
        <w:fldChar w:fldCharType="begin"/>
      </w:r>
      <w:r w:rsidR="00847408">
        <w:instrText xml:space="preserve"> XE "</w:instrText>
      </w:r>
      <w:r w:rsidR="00847408" w:rsidRPr="005920EC">
        <w:rPr>
          <w:rFonts w:cs="Times New Roman"/>
        </w:rPr>
        <w:instrText>DOL</w:instrText>
      </w:r>
      <w:r w:rsidR="00847408">
        <w:instrText>" \t "</w:instrText>
      </w:r>
      <w:r w:rsidR="00847408" w:rsidRPr="00070CCD">
        <w:rPr>
          <w:rFonts w:asciiTheme="minorHAnsi" w:hAnsiTheme="minorHAnsi"/>
          <w:i/>
        </w:rPr>
        <w:instrText>See</w:instrText>
      </w:r>
      <w:r w:rsidR="00847408" w:rsidRPr="00070CCD">
        <w:rPr>
          <w:rFonts w:asciiTheme="minorHAnsi" w:hAnsiTheme="minorHAnsi"/>
        </w:rPr>
        <w:instrText xml:space="preserve"> Department of Labor</w:instrText>
      </w:r>
      <w:r w:rsidR="00847408">
        <w:instrText xml:space="preserve">" </w:instrText>
      </w:r>
      <w:r w:rsidR="001858B5">
        <w:rPr>
          <w:rFonts w:cs="Times New Roman"/>
        </w:rPr>
        <w:fldChar w:fldCharType="end"/>
      </w:r>
      <w:r w:rsidR="001858B5">
        <w:rPr>
          <w:rFonts w:cs="Times New Roman"/>
        </w:rPr>
        <w:fldChar w:fldCharType="begin"/>
      </w:r>
      <w:r w:rsidR="00847408">
        <w:instrText xml:space="preserve"> XE "</w:instrText>
      </w:r>
      <w:r w:rsidR="00847408" w:rsidRPr="005920EC">
        <w:rPr>
          <w:rFonts w:cs="Times New Roman"/>
        </w:rPr>
        <w:instrText>DOL</w:instrText>
      </w:r>
      <w:r w:rsidR="00847408">
        <w:instrText xml:space="preserve">" </w:instrText>
      </w:r>
      <w:r w:rsidR="001858B5">
        <w:rPr>
          <w:rFonts w:cs="Times New Roman"/>
        </w:rPr>
        <w:fldChar w:fldCharType="end"/>
      </w:r>
      <w:r w:rsidRPr="00124B71">
        <w:rPr>
          <w:rFonts w:cs="Times New Roman"/>
        </w:rPr>
        <w:t xml:space="preserve"> since the early 1980s as part of their calculation of the Consumer Price Index. The problem of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Pr="00124B71">
        <w:rPr>
          <w:rFonts w:cs="Times New Roman"/>
        </w:rPr>
        <w:t xml:space="preserve"> in the late 1970s in coastal markets, particularly California, caused the consumer price index to rise rapidly. Since the CPI</w:t>
      </w:r>
      <w:r w:rsidR="001858B5">
        <w:rPr>
          <w:rFonts w:cs="Times New Roman"/>
        </w:rPr>
        <w:fldChar w:fldCharType="begin"/>
      </w:r>
      <w:r w:rsidR="00FA2AEF">
        <w:instrText xml:space="preserve"> XE "</w:instrText>
      </w:r>
      <w:r w:rsidR="00FA2AEF" w:rsidRPr="00ED6E11">
        <w:rPr>
          <w:rFonts w:cs="Times New Roman"/>
        </w:rPr>
        <w:instrText>CPI</w:instrText>
      </w:r>
      <w:r w:rsidR="00FA2AEF">
        <w:instrText xml:space="preserve">" </w:instrText>
      </w:r>
      <w:r w:rsidR="001858B5">
        <w:rPr>
          <w:rFonts w:cs="Times New Roman"/>
        </w:rPr>
        <w:fldChar w:fldCharType="end"/>
      </w:r>
      <w:r w:rsidRPr="00124B71">
        <w:rPr>
          <w:rFonts w:cs="Times New Roman"/>
        </w:rPr>
        <w:t xml:space="preserve"> is widely used as an index for cost-of-living adjustments,</w:t>
      </w:r>
      <w:r w:rsidR="00076219" w:rsidRPr="00124B71">
        <w:rPr>
          <w:rFonts w:cs="Times New Roman"/>
        </w:rPr>
        <w:t xml:space="preserve"> volatility in this measure caused by the resale housing market needed to be urgently addressed. After over a decade of study, the DOL decided to value the change in housing costs by a comparative rental approach rather than a change in sales price approach used previously. This smoothed the index and reduced volatility because the consumptive aspect of housing services were tethered to rents and incomes rather than being subject to the volatility caused by irrational exuberance in the housing market.</w:t>
      </w:r>
    </w:p>
    <w:p w14:paraId="58ADE154" w14:textId="77777777" w:rsidR="006C4FEE" w:rsidRPr="00124B71" w:rsidRDefault="00076219" w:rsidP="00262F57">
      <w:pPr>
        <w:rPr>
          <w:rFonts w:cs="Times New Roman"/>
        </w:rPr>
      </w:pPr>
      <w:r w:rsidRPr="00124B71">
        <w:rPr>
          <w:rFonts w:cs="Times New Roman"/>
        </w:rPr>
        <w:t>The Department of Labor</w:t>
      </w:r>
      <w:r w:rsidR="001858B5">
        <w:rPr>
          <w:rFonts w:cs="Times New Roman"/>
        </w:rPr>
        <w:fldChar w:fldCharType="begin"/>
      </w:r>
      <w:r w:rsidR="00180E6F">
        <w:instrText xml:space="preserve"> XE "</w:instrText>
      </w:r>
      <w:r w:rsidR="00180E6F" w:rsidRPr="0091021A">
        <w:rPr>
          <w:rFonts w:cs="Times New Roman"/>
        </w:rPr>
        <w:instrText>Department of Labor</w:instrText>
      </w:r>
      <w:r w:rsidR="00180E6F">
        <w:instrText xml:space="preserve">" </w:instrText>
      </w:r>
      <w:r w:rsidR="001858B5">
        <w:rPr>
          <w:rFonts w:cs="Times New Roman"/>
        </w:rPr>
        <w:fldChar w:fldCharType="end"/>
      </w:r>
      <w:r w:rsidRPr="00124B71">
        <w:rPr>
          <w:rFonts w:cs="Times New Roman"/>
        </w:rPr>
        <w:t xml:space="preserve"> Bureau of Labor Statistics</w:t>
      </w:r>
      <w:r w:rsidR="001858B5">
        <w:rPr>
          <w:rFonts w:cs="Times New Roman"/>
        </w:rPr>
        <w:fldChar w:fldCharType="begin"/>
      </w:r>
      <w:r w:rsidR="00180E6F">
        <w:instrText xml:space="preserve"> XE "</w:instrText>
      </w:r>
      <w:r w:rsidR="00180E6F" w:rsidRPr="00945A6D">
        <w:rPr>
          <w:rFonts w:cs="Times New Roman"/>
        </w:rPr>
        <w:instrText>Bureau of Labor Statistics</w:instrText>
      </w:r>
      <w:r w:rsidR="00180E6F">
        <w:instrText xml:space="preserve">" </w:instrText>
      </w:r>
      <w:r w:rsidR="001858B5">
        <w:rPr>
          <w:rFonts w:cs="Times New Roman"/>
        </w:rPr>
        <w:fldChar w:fldCharType="end"/>
      </w:r>
      <w:r w:rsidRPr="00124B71">
        <w:rPr>
          <w:rFonts w:cs="Times New Roman"/>
        </w:rPr>
        <w:t xml:space="preserve"> measures the market rental rate in markets across the United States. It breaks down the market into subcategories based on the number of bedrooms, and it does a good job of estimating market rents in the various subcategories. These numbers are updated each year. </w:t>
      </w:r>
      <w:r w:rsidR="00BC588E" w:rsidRPr="00124B71">
        <w:rPr>
          <w:rFonts w:cs="Times New Roman"/>
        </w:rPr>
        <w:t>The figures from the DOL</w:t>
      </w:r>
      <w:r w:rsidR="001858B5">
        <w:rPr>
          <w:rFonts w:cs="Times New Roman"/>
        </w:rPr>
        <w:fldChar w:fldCharType="begin"/>
      </w:r>
      <w:r w:rsidR="00847408">
        <w:instrText xml:space="preserve"> XE "</w:instrText>
      </w:r>
      <w:r w:rsidR="00847408" w:rsidRPr="005920EC">
        <w:rPr>
          <w:rFonts w:cs="Times New Roman"/>
        </w:rPr>
        <w:instrText>DOL</w:instrText>
      </w:r>
      <w:r w:rsidR="00847408">
        <w:instrText xml:space="preserve">" </w:instrText>
      </w:r>
      <w:r w:rsidR="001858B5">
        <w:rPr>
          <w:rFonts w:cs="Times New Roman"/>
        </w:rPr>
        <w:fldChar w:fldCharType="end"/>
      </w:r>
      <w:r w:rsidR="00BC588E" w:rsidRPr="00124B71">
        <w:rPr>
          <w:rFonts w:cs="Times New Roman"/>
        </w:rPr>
        <w:t xml:space="preserve"> would serve as a basis for evaluation of market rents, and it may be the only basis in areas where there are few rentals. In submarkets where there is sufficient rental activity, the income approach</w:t>
      </w:r>
      <w:r w:rsidR="001858B5">
        <w:rPr>
          <w:rFonts w:cs="Times New Roman"/>
        </w:rPr>
        <w:fldChar w:fldCharType="begin"/>
      </w:r>
      <w:r w:rsidR="003247C5">
        <w:instrText xml:space="preserve"> XE "</w:instrText>
      </w:r>
      <w:r w:rsidR="003247C5" w:rsidRPr="00F97F1B">
        <w:rPr>
          <w:rFonts w:cs="Times New Roman"/>
        </w:rPr>
        <w:instrText>income approach</w:instrText>
      </w:r>
      <w:r w:rsidR="003247C5">
        <w:instrText xml:space="preserve">" </w:instrText>
      </w:r>
      <w:r w:rsidR="001858B5">
        <w:rPr>
          <w:rFonts w:cs="Times New Roman"/>
        </w:rPr>
        <w:fldChar w:fldCharType="end"/>
      </w:r>
      <w:r w:rsidR="00BC588E" w:rsidRPr="00124B71">
        <w:rPr>
          <w:rFonts w:cs="Times New Roman"/>
        </w:rPr>
        <w:t xml:space="preserve"> can use real comparables to make a more accurate evaluation. Appraisers will decry the lack of available data on rentals as many rentals, particularly for single-family detached homes are done by private landlords who do not report these transactions; however, if this method of appraisal were the standard, private companies would spring up to track these transactions and maintain an up-to-date database. Valuing properties based on the income approach may be more difficult than the </w:t>
      </w:r>
      <w:r w:rsidR="0061670B" w:rsidRPr="00124B71">
        <w:rPr>
          <w:rFonts w:cs="Times New Roman"/>
        </w:rPr>
        <w:t>comparative-sales</w:t>
      </w:r>
      <w:r w:rsidR="00BC588E" w:rsidRPr="00124B71">
        <w:rPr>
          <w:rFonts w:cs="Times New Roman"/>
        </w:rPr>
        <w:t xml:space="preserve"> approach</w:t>
      </w:r>
      <w:r w:rsidR="001858B5">
        <w:rPr>
          <w:rFonts w:cs="Times New Roman"/>
        </w:rPr>
        <w:fldChar w:fldCharType="begin"/>
      </w:r>
      <w:r w:rsidR="003247C5">
        <w:instrText xml:space="preserve"> XE "</w:instrText>
      </w:r>
      <w:r w:rsidR="003247C5" w:rsidRPr="001C7382">
        <w:rPr>
          <w:rFonts w:cs="Times New Roman"/>
        </w:rPr>
        <w:instrText>comparative-sales approach</w:instrText>
      </w:r>
      <w:r w:rsidR="003247C5">
        <w:instrText xml:space="preserve">" </w:instrText>
      </w:r>
      <w:r w:rsidR="001858B5">
        <w:rPr>
          <w:rFonts w:cs="Times New Roman"/>
        </w:rPr>
        <w:fldChar w:fldCharType="end"/>
      </w:r>
      <w:r w:rsidR="00BC588E" w:rsidRPr="00124B71">
        <w:rPr>
          <w:rFonts w:cs="Times New Roman"/>
        </w:rPr>
        <w:t xml:space="preserve">, but when the latter method is fundamentally flawed, ease-of-use is not a compelling reason to </w:t>
      </w:r>
      <w:r w:rsidR="009C4318" w:rsidRPr="00124B71">
        <w:rPr>
          <w:rFonts w:cs="Times New Roman"/>
        </w:rPr>
        <w:t>continue to rely on</w:t>
      </w:r>
      <w:r w:rsidR="00BC588E" w:rsidRPr="00124B71">
        <w:rPr>
          <w:rFonts w:cs="Times New Roman"/>
        </w:rPr>
        <w:t xml:space="preserve"> it.</w:t>
      </w:r>
    </w:p>
    <w:p w14:paraId="21AA427D" w14:textId="77777777" w:rsidR="00262F57" w:rsidRPr="00124B71" w:rsidRDefault="006C4FEE" w:rsidP="00262F57">
      <w:pPr>
        <w:rPr>
          <w:rFonts w:cs="Times New Roman"/>
        </w:rPr>
      </w:pPr>
      <w:r w:rsidRPr="00124B71">
        <w:rPr>
          <w:rFonts w:cs="Times New Roman"/>
        </w:rPr>
        <w:t>There is also the objection that the income approach</w:t>
      </w:r>
      <w:r w:rsidR="001858B5">
        <w:rPr>
          <w:rFonts w:cs="Times New Roman"/>
        </w:rPr>
        <w:fldChar w:fldCharType="begin"/>
      </w:r>
      <w:r w:rsidR="003247C5">
        <w:instrText xml:space="preserve"> XE "</w:instrText>
      </w:r>
      <w:r w:rsidR="003247C5" w:rsidRPr="00F97F1B">
        <w:rPr>
          <w:rFonts w:cs="Times New Roman"/>
        </w:rPr>
        <w:instrText>income approach</w:instrText>
      </w:r>
      <w:r w:rsidR="003247C5">
        <w:instrText xml:space="preserve">" </w:instrText>
      </w:r>
      <w:r w:rsidR="001858B5">
        <w:rPr>
          <w:rFonts w:cs="Times New Roman"/>
        </w:rPr>
        <w:fldChar w:fldCharType="end"/>
      </w:r>
      <w:r w:rsidRPr="00124B71">
        <w:rPr>
          <w:rFonts w:cs="Times New Roman"/>
        </w:rPr>
        <w:t xml:space="preserve"> method of valuing residential real estate </w:t>
      </w:r>
      <w:r w:rsidR="00821627" w:rsidRPr="00124B71">
        <w:rPr>
          <w:rFonts w:cs="Times New Roman"/>
        </w:rPr>
        <w:t xml:space="preserve">has the same problems as the </w:t>
      </w:r>
      <w:r w:rsidR="0061670B" w:rsidRPr="00124B71">
        <w:rPr>
          <w:rFonts w:cs="Times New Roman"/>
        </w:rPr>
        <w:t>comparative-sales</w:t>
      </w:r>
      <w:r w:rsidR="00821627" w:rsidRPr="00124B71">
        <w:rPr>
          <w:rFonts w:cs="Times New Roman"/>
        </w:rPr>
        <w:t xml:space="preserve"> approach</w:t>
      </w:r>
      <w:r w:rsidR="001858B5">
        <w:rPr>
          <w:rFonts w:cs="Times New Roman"/>
        </w:rPr>
        <w:fldChar w:fldCharType="begin"/>
      </w:r>
      <w:r w:rsidR="003247C5">
        <w:instrText xml:space="preserve"> XE "</w:instrText>
      </w:r>
      <w:r w:rsidR="003247C5" w:rsidRPr="001C7382">
        <w:rPr>
          <w:rFonts w:cs="Times New Roman"/>
        </w:rPr>
        <w:instrText>comparative-sales approach</w:instrText>
      </w:r>
      <w:r w:rsidR="003247C5">
        <w:instrText xml:space="preserve">" </w:instrText>
      </w:r>
      <w:r w:rsidR="001858B5">
        <w:rPr>
          <w:rFonts w:cs="Times New Roman"/>
        </w:rPr>
        <w:fldChar w:fldCharType="end"/>
      </w:r>
      <w:r w:rsidR="00821627" w:rsidRPr="00124B71">
        <w:rPr>
          <w:rFonts w:cs="Times New Roman"/>
        </w:rPr>
        <w:t xml:space="preserve"> because both</w:t>
      </w:r>
      <w:r w:rsidR="00483C9F" w:rsidRPr="00124B71">
        <w:rPr>
          <w:rFonts w:cs="Times New Roman"/>
        </w:rPr>
        <w:t xml:space="preserve"> approach</w:t>
      </w:r>
      <w:r w:rsidR="00821627" w:rsidRPr="00124B71">
        <w:rPr>
          <w:rFonts w:cs="Times New Roman"/>
        </w:rPr>
        <w:t>es</w:t>
      </w:r>
      <w:r w:rsidR="00483C9F" w:rsidRPr="00124B71">
        <w:rPr>
          <w:rFonts w:cs="Times New Roman"/>
        </w:rPr>
        <w:t xml:space="preserve"> rel</w:t>
      </w:r>
      <w:r w:rsidR="00821627" w:rsidRPr="00124B71">
        <w:rPr>
          <w:rFonts w:cs="Times New Roman"/>
        </w:rPr>
        <w:t>y</w:t>
      </w:r>
      <w:r w:rsidR="00483C9F" w:rsidRPr="00124B71">
        <w:rPr>
          <w:rFonts w:cs="Times New Roman"/>
        </w:rPr>
        <w:t xml:space="preserve"> on finding similar properties and making an estimation of market value by adjusting the values of comparative</w:t>
      </w:r>
      <w:r w:rsidR="00821627" w:rsidRPr="00124B71">
        <w:rPr>
          <w:rFonts w:cs="Times New Roman"/>
        </w:rPr>
        <w:t xml:space="preserve"> properties.</w:t>
      </w:r>
      <w:r w:rsidR="00483C9F" w:rsidRPr="00124B71">
        <w:rPr>
          <w:rFonts w:cs="Times New Roman"/>
        </w:rPr>
        <w:t xml:space="preserve"> </w:t>
      </w:r>
      <w:r w:rsidR="00821627" w:rsidRPr="00124B71">
        <w:rPr>
          <w:rFonts w:cs="Times New Roman"/>
        </w:rPr>
        <w:t>In both approaches t</w:t>
      </w:r>
      <w:r w:rsidR="00483C9F" w:rsidRPr="00124B71">
        <w:rPr>
          <w:rFonts w:cs="Times New Roman"/>
        </w:rPr>
        <w:t xml:space="preserve">he appraiser must explain their reasons for the adjustments to justify the appraised value of the subject property, and </w:t>
      </w:r>
      <w:r w:rsidR="00821627" w:rsidRPr="00124B71">
        <w:rPr>
          <w:rFonts w:cs="Times New Roman"/>
        </w:rPr>
        <w:t>this</w:t>
      </w:r>
      <w:r w:rsidR="00483C9F" w:rsidRPr="00124B71">
        <w:rPr>
          <w:rFonts w:cs="Times New Roman"/>
        </w:rPr>
        <w:t xml:space="preserve"> is a potential source of abuse of the system. No system is perfect, but the potential to inflate prices though manipulating appraisals based on the income approach is far less than the potential problems </w:t>
      </w:r>
      <w:r w:rsidR="00D02B62" w:rsidRPr="00124B71">
        <w:rPr>
          <w:rFonts w:cs="Times New Roman"/>
        </w:rPr>
        <w:t>emanating</w:t>
      </w:r>
      <w:r w:rsidR="00483C9F" w:rsidRPr="00124B71">
        <w:rPr>
          <w:rFonts w:cs="Times New Roman"/>
        </w:rPr>
        <w:t xml:space="preserve"> from the </w:t>
      </w:r>
      <w:r w:rsidR="0061670B" w:rsidRPr="00124B71">
        <w:rPr>
          <w:rFonts w:cs="Times New Roman"/>
        </w:rPr>
        <w:t>comparative-sales</w:t>
      </w:r>
      <w:r w:rsidR="00483C9F" w:rsidRPr="00124B71">
        <w:rPr>
          <w:rFonts w:cs="Times New Roman"/>
        </w:rPr>
        <w:t xml:space="preserve"> approach because the basis of adjustment in the income approach is a propert</w:t>
      </w:r>
      <w:r w:rsidR="008600B2">
        <w:rPr>
          <w:rFonts w:cs="Times New Roman"/>
        </w:rPr>
        <w:t>y's</w:t>
      </w:r>
      <w:r w:rsidR="00483C9F" w:rsidRPr="00124B71">
        <w:rPr>
          <w:rFonts w:cs="Times New Roman"/>
        </w:rPr>
        <w:t xml:space="preserve"> fundamental value</w:t>
      </w:r>
      <w:r w:rsidR="001858B5">
        <w:rPr>
          <w:rFonts w:cs="Times New Roman"/>
        </w:rPr>
        <w:fldChar w:fldCharType="begin"/>
      </w:r>
      <w:r w:rsidR="00FA2AEF">
        <w:instrText xml:space="preserve"> XE "</w:instrText>
      </w:r>
      <w:r w:rsidR="00FA2AEF" w:rsidRPr="00C14281">
        <w:rPr>
          <w:rFonts w:cs="Times New Roman"/>
        </w:rPr>
        <w:instrText>fundamental value</w:instrText>
      </w:r>
      <w:r w:rsidR="00FA2AEF">
        <w:instrText xml:space="preserve">" </w:instrText>
      </w:r>
      <w:r w:rsidR="001858B5">
        <w:rPr>
          <w:rFonts w:cs="Times New Roman"/>
        </w:rPr>
        <w:fldChar w:fldCharType="end"/>
      </w:r>
      <w:r w:rsidR="00483C9F" w:rsidRPr="00124B71">
        <w:rPr>
          <w:rFonts w:cs="Times New Roman"/>
        </w:rPr>
        <w:t xml:space="preserve"> whereas the basis </w:t>
      </w:r>
      <w:r w:rsidR="00AA7780" w:rsidRPr="00124B71">
        <w:rPr>
          <w:rFonts w:cs="Times New Roman"/>
        </w:rPr>
        <w:t>of adjustment in</w:t>
      </w:r>
      <w:r w:rsidR="00483C9F" w:rsidRPr="00124B71">
        <w:rPr>
          <w:rFonts w:cs="Times New Roman"/>
        </w:rPr>
        <w:t xml:space="preserve"> the </w:t>
      </w:r>
      <w:r w:rsidR="0061670B" w:rsidRPr="00124B71">
        <w:rPr>
          <w:rFonts w:cs="Times New Roman"/>
        </w:rPr>
        <w:t>comparative-sales</w:t>
      </w:r>
      <w:r w:rsidR="00483C9F" w:rsidRPr="00124B71">
        <w:rPr>
          <w:rFonts w:cs="Times New Roman"/>
        </w:rPr>
        <w:t xml:space="preserve"> approach is the prices paid by buyers subject to bouts with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00483C9F" w:rsidRPr="00124B71">
        <w:rPr>
          <w:rFonts w:cs="Times New Roman"/>
        </w:rPr>
        <w:t>. If lenders start accepting appraisals where the income approach contains adjustments to value that increase the appraised amount 100%</w:t>
      </w:r>
      <w:r w:rsidR="007C469A">
        <w:rPr>
          <w:rFonts w:cs="Times New Roman"/>
        </w:rPr>
        <w:t>–</w:t>
      </w:r>
      <w:r w:rsidR="00483C9F" w:rsidRPr="00124B71">
        <w:rPr>
          <w:rFonts w:cs="Times New Roman"/>
        </w:rPr>
        <w:t>something that would have been required to justify pricing seen during the Great Housing bubble</w:t>
      </w:r>
      <w:r w:rsidR="007C469A">
        <w:rPr>
          <w:rFonts w:cs="Times New Roman"/>
        </w:rPr>
        <w:t>–</w:t>
      </w:r>
      <w:r w:rsidR="00D02B62" w:rsidRPr="00124B71">
        <w:rPr>
          <w:rFonts w:cs="Times New Roman"/>
        </w:rPr>
        <w:t xml:space="preserve">then the system is hopelessly broken. The main argument for using the income approach is that its basis is the fundamental value </w:t>
      </w:r>
      <w:r w:rsidR="00D02B62" w:rsidRPr="00124B71">
        <w:rPr>
          <w:rFonts w:cs="Times New Roman"/>
        </w:rPr>
        <w:lastRenderedPageBreak/>
        <w:t xml:space="preserve">whereas the basis for the </w:t>
      </w:r>
      <w:r w:rsidR="0061670B" w:rsidRPr="00124B71">
        <w:rPr>
          <w:rFonts w:cs="Times New Roman"/>
        </w:rPr>
        <w:t>comparative-sales</w:t>
      </w:r>
      <w:r w:rsidR="00D02B62" w:rsidRPr="00124B71">
        <w:rPr>
          <w:rFonts w:cs="Times New Roman"/>
        </w:rPr>
        <w:t xml:space="preserve"> approach is whatever price the market will currently bear. Prices are not likely to decline below a properties fundamental value where as a property may decline significantly from a point-in-time estimate of market value. Using the income approach lessens the risk to lenders and investors and ensures the smooth operation of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00D02B62" w:rsidRPr="00124B71">
        <w:rPr>
          <w:rFonts w:cs="Times New Roman"/>
        </w:rPr>
        <w:t xml:space="preserve">. Using the </w:t>
      </w:r>
      <w:r w:rsidR="0061670B" w:rsidRPr="00124B71">
        <w:rPr>
          <w:rFonts w:cs="Times New Roman"/>
        </w:rPr>
        <w:t>comparative-sales</w:t>
      </w:r>
      <w:r w:rsidR="00D02B62" w:rsidRPr="00124B71">
        <w:rPr>
          <w:rFonts w:cs="Times New Roman"/>
        </w:rPr>
        <w:t xml:space="preserve"> approach</w:t>
      </w:r>
      <w:r w:rsidR="00821627" w:rsidRPr="00124B71">
        <w:rPr>
          <w:rFonts w:cs="Times New Roman"/>
        </w:rPr>
        <w:t xml:space="preserve"> exclusively</w:t>
      </w:r>
      <w:r w:rsidR="00D02B62" w:rsidRPr="00124B71">
        <w:rPr>
          <w:rFonts w:cs="Times New Roman"/>
        </w:rPr>
        <w:t xml:space="preserve"> results in the turmoil witnessed during the</w:t>
      </w:r>
      <w:r w:rsidR="00AA7780" w:rsidRPr="00124B71">
        <w:rPr>
          <w:rFonts w:cs="Times New Roman"/>
        </w:rPr>
        <w:t xml:space="preserve"> price decline of the</w:t>
      </w:r>
      <w:r w:rsidR="00D02B62" w:rsidRPr="00124B71">
        <w:rPr>
          <w:rFonts w:cs="Times New Roman"/>
        </w:rPr>
        <w:t xml:space="preserve"> Great Housing Bubble.</w:t>
      </w:r>
    </w:p>
    <w:p w14:paraId="1BC56943" w14:textId="77777777" w:rsidR="00820086" w:rsidRPr="00EF0EDA" w:rsidRDefault="00820086" w:rsidP="00820086">
      <w:pPr>
        <w:pStyle w:val="Heading2"/>
      </w:pPr>
      <w:bookmarkStart w:id="251" w:name="_Toc238867418"/>
      <w:r w:rsidRPr="00EF0EDA">
        <w:t>Regulatory Solutions</w:t>
      </w:r>
      <w:bookmarkEnd w:id="251"/>
    </w:p>
    <w:p w14:paraId="7F63FD7D" w14:textId="77777777" w:rsidR="006B6229" w:rsidRPr="00124B71" w:rsidRDefault="00EA7316" w:rsidP="00A6765F">
      <w:pPr>
        <w:suppressAutoHyphens/>
        <w:rPr>
          <w:rFonts w:cs="Times New Roman"/>
        </w:rPr>
      </w:pPr>
      <w:r w:rsidRPr="00124B71">
        <w:rPr>
          <w:rFonts w:cs="Times New Roman"/>
        </w:rPr>
        <w:t>The regulatory solution proposed herein is simple, yet far reaching. It comes in two parts, the first is to limit the amount lenders can loan to borrowers with a rather unique enforcement mechanism, and the second is to increase the penalties for borrowers who commit mortgage fraud.</w:t>
      </w:r>
      <w:r w:rsidR="000C79C4" w:rsidRPr="00124B71">
        <w:rPr>
          <w:rFonts w:cs="Times New Roman"/>
        </w:rPr>
        <w:t xml:space="preserve"> The following is not in legalese, but it contains the conceptual framework of potential legislation that could be enacted on the state and/or federal level. A detailed discussion of the text follows:</w:t>
      </w:r>
    </w:p>
    <w:p w14:paraId="3A008F8F" w14:textId="77777777" w:rsidR="00D67621" w:rsidRPr="00124B71" w:rsidRDefault="00D67621" w:rsidP="006B6229">
      <w:pPr>
        <w:rPr>
          <w:rFonts w:cs="Times New Roman"/>
          <w:i/>
        </w:rPr>
      </w:pPr>
      <w:r w:rsidRPr="00124B71">
        <w:rPr>
          <w:rFonts w:cs="Times New Roman"/>
          <w:i/>
        </w:rPr>
        <w:t>Loans for the purchase</w:t>
      </w:r>
      <w:r w:rsidR="004B42F4" w:rsidRPr="00124B71">
        <w:rPr>
          <w:rFonts w:cs="Times New Roman"/>
          <w:i/>
        </w:rPr>
        <w:t xml:space="preserve"> or refinance</w:t>
      </w:r>
      <w:r w:rsidRPr="00124B71">
        <w:rPr>
          <w:rFonts w:cs="Times New Roman"/>
          <w:i/>
        </w:rPr>
        <w:t xml:space="preserve"> of residential real estate secured by a mortgage and recorded in the public record are limited by the following parameters based on the borrower’s documented income and general indebtedness</w:t>
      </w:r>
      <w:r w:rsidR="004B42F4" w:rsidRPr="00124B71">
        <w:rPr>
          <w:rFonts w:cs="Times New Roman"/>
          <w:i/>
        </w:rPr>
        <w:t xml:space="preserve"> and the appraised value of the property at the time of sale</w:t>
      </w:r>
      <w:r w:rsidR="0088483C" w:rsidRPr="00124B71">
        <w:rPr>
          <w:rFonts w:cs="Times New Roman"/>
          <w:i/>
        </w:rPr>
        <w:t xml:space="preserve"> or refinance</w:t>
      </w:r>
      <w:r w:rsidRPr="00124B71">
        <w:rPr>
          <w:rFonts w:cs="Times New Roman"/>
          <w:i/>
        </w:rPr>
        <w:t>:</w:t>
      </w:r>
    </w:p>
    <w:p w14:paraId="4290310C" w14:textId="77777777" w:rsidR="00CB7C91" w:rsidRPr="008543BB" w:rsidRDefault="00CB7C91" w:rsidP="00D67621">
      <w:pPr>
        <w:pStyle w:val="ListParagraph"/>
        <w:numPr>
          <w:ilvl w:val="0"/>
          <w:numId w:val="35"/>
        </w:numPr>
        <w:rPr>
          <w:i/>
        </w:rPr>
      </w:pPr>
      <w:r>
        <w:rPr>
          <w:i/>
        </w:rPr>
        <w:t xml:space="preserve">All payments must be calculated based on a </w:t>
      </w:r>
      <w:r w:rsidR="008543BB" w:rsidRPr="008543BB">
        <w:rPr>
          <w:i/>
        </w:rPr>
        <w:t>30-year fixed-rate conventionally-amortizing mortgage</w:t>
      </w:r>
      <w:r w:rsidR="008543BB">
        <w:rPr>
          <w:i/>
        </w:rPr>
        <w:t xml:space="preserve"> regardless of the loan program used. Negative amortization is not permitted.</w:t>
      </w:r>
    </w:p>
    <w:p w14:paraId="30B679DE" w14:textId="77777777" w:rsidR="00D67621" w:rsidRPr="00C17CE3" w:rsidRDefault="00D67621" w:rsidP="00421D8D">
      <w:pPr>
        <w:pStyle w:val="ListParagraph"/>
        <w:numPr>
          <w:ilvl w:val="0"/>
          <w:numId w:val="35"/>
        </w:numPr>
        <w:suppressAutoHyphens/>
        <w:rPr>
          <w:i/>
        </w:rPr>
      </w:pPr>
      <w:r w:rsidRPr="00C17CE3">
        <w:rPr>
          <w:i/>
        </w:rPr>
        <w:t>The total debt-to-income</w:t>
      </w:r>
      <w:r w:rsidR="001858B5">
        <w:rPr>
          <w:i/>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i/>
        </w:rPr>
        <w:fldChar w:fldCharType="end"/>
      </w:r>
      <w:r w:rsidRPr="00C17CE3">
        <w:rPr>
          <w:i/>
        </w:rPr>
        <w:t xml:space="preserve"> ratio</w:t>
      </w:r>
      <w:r w:rsidR="001858B5">
        <w:rPr>
          <w:i/>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i/>
        </w:rPr>
        <w:fldChar w:fldCharType="end"/>
      </w:r>
      <w:r w:rsidRPr="00C17CE3">
        <w:rPr>
          <w:i/>
        </w:rPr>
        <w:t xml:space="preserve"> for the mortgage loan</w:t>
      </w:r>
      <w:r w:rsidR="001A7557">
        <w:rPr>
          <w:i/>
        </w:rPr>
        <w:t xml:space="preserve"> payment, taxes and insurance</w:t>
      </w:r>
      <w:r w:rsidRPr="00C17CE3">
        <w:rPr>
          <w:i/>
        </w:rPr>
        <w:t xml:space="preserve"> cannot exceed 28% of a borrower’s gross income.</w:t>
      </w:r>
    </w:p>
    <w:p w14:paraId="636E11B0" w14:textId="77777777" w:rsidR="00D67621" w:rsidRPr="00C17CE3" w:rsidRDefault="00D67621" w:rsidP="00D67621">
      <w:pPr>
        <w:pStyle w:val="ListParagraph"/>
        <w:numPr>
          <w:ilvl w:val="0"/>
          <w:numId w:val="35"/>
        </w:numPr>
        <w:rPr>
          <w:i/>
        </w:rPr>
      </w:pPr>
      <w:r w:rsidRPr="00C17CE3">
        <w:rPr>
          <w:i/>
        </w:rPr>
        <w:t>The total debt-to-income</w:t>
      </w:r>
      <w:r w:rsidR="001858B5">
        <w:rPr>
          <w:i/>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i/>
        </w:rPr>
        <w:fldChar w:fldCharType="end"/>
      </w:r>
      <w:r w:rsidRPr="00C17CE3">
        <w:rPr>
          <w:i/>
        </w:rPr>
        <w:t xml:space="preserve"> of all</w:t>
      </w:r>
      <w:r w:rsidR="004D1659" w:rsidRPr="00C17CE3">
        <w:rPr>
          <w:i/>
        </w:rPr>
        <w:t xml:space="preserve"> debt obligations cannot exceed 36% of a borrower’s gross income.</w:t>
      </w:r>
    </w:p>
    <w:p w14:paraId="10A97730" w14:textId="77777777" w:rsidR="004D1659" w:rsidRPr="00C17CE3" w:rsidRDefault="004D1659" w:rsidP="00D67621">
      <w:pPr>
        <w:pStyle w:val="ListParagraph"/>
        <w:numPr>
          <w:ilvl w:val="0"/>
          <w:numId w:val="35"/>
        </w:numPr>
        <w:rPr>
          <w:i/>
        </w:rPr>
      </w:pPr>
      <w:r w:rsidRPr="00C17CE3">
        <w:rPr>
          <w:i/>
        </w:rPr>
        <w:t>The combined-loan-to-value</w:t>
      </w:r>
      <w:r w:rsidR="001858B5">
        <w:rPr>
          <w:i/>
        </w:rPr>
        <w:fldChar w:fldCharType="begin"/>
      </w:r>
      <w:r w:rsidR="003247C5">
        <w:instrText xml:space="preserve"> XE "</w:instrText>
      </w:r>
      <w:r w:rsidR="003247C5" w:rsidRPr="00022402">
        <w:rPr>
          <w:rFonts w:cs="Times New Roman"/>
        </w:rPr>
        <w:instrText>combined-loan-to-value</w:instrText>
      </w:r>
      <w:r w:rsidR="003247C5">
        <w:instrText xml:space="preserve">" </w:instrText>
      </w:r>
      <w:r w:rsidR="001858B5">
        <w:rPr>
          <w:i/>
        </w:rPr>
        <w:fldChar w:fldCharType="end"/>
      </w:r>
      <w:r w:rsidRPr="00C17CE3">
        <w:rPr>
          <w:i/>
        </w:rPr>
        <w:t xml:space="preserve"> of mortgage indebtedness cannot exceed 90% of the appraised value of the property or the purchase price, whichever value is smaller</w:t>
      </w:r>
      <w:r w:rsidR="00821627">
        <w:rPr>
          <w:i/>
        </w:rPr>
        <w:t xml:space="preserve"> except in specially sanctioned government programs</w:t>
      </w:r>
      <w:r w:rsidRPr="00C17CE3">
        <w:rPr>
          <w:i/>
        </w:rPr>
        <w:t>.</w:t>
      </w:r>
    </w:p>
    <w:p w14:paraId="504E35A4" w14:textId="77777777" w:rsidR="004B42F4" w:rsidRPr="00124B71" w:rsidRDefault="004B42F4" w:rsidP="00735C29">
      <w:pPr>
        <w:rPr>
          <w:rFonts w:cs="Times New Roman"/>
          <w:i/>
        </w:rPr>
      </w:pPr>
      <w:r w:rsidRPr="00124B71">
        <w:rPr>
          <w:rFonts w:cs="Times New Roman"/>
          <w:i/>
        </w:rPr>
        <w:t>Any sums loaned in excess of these parameters do not need to be repaid by the borrower</w:t>
      </w:r>
      <w:r w:rsidR="000C79C4" w:rsidRPr="00124B71">
        <w:rPr>
          <w:rFonts w:cs="Times New Roman"/>
          <w:i/>
        </w:rPr>
        <w:t xml:space="preserve"> and no</w:t>
      </w:r>
      <w:r w:rsidR="00A850AC" w:rsidRPr="00124B71">
        <w:rPr>
          <w:rFonts w:cs="Times New Roman"/>
          <w:i/>
        </w:rPr>
        <w:t xml:space="preserve"> contractual </w:t>
      </w:r>
      <w:r w:rsidR="000C79C4" w:rsidRPr="00124B71">
        <w:rPr>
          <w:rFonts w:cs="Times New Roman"/>
          <w:i/>
        </w:rPr>
        <w:t>provision</w:t>
      </w:r>
      <w:r w:rsidR="00A850AC" w:rsidRPr="00124B71">
        <w:rPr>
          <w:rFonts w:cs="Times New Roman"/>
          <w:i/>
        </w:rPr>
        <w:t xml:space="preserve"> is permitted that can be interpreted as</w:t>
      </w:r>
      <w:r w:rsidR="000C79C4" w:rsidRPr="00124B71">
        <w:rPr>
          <w:rFonts w:cs="Times New Roman"/>
          <w:i/>
        </w:rPr>
        <w:t xml:space="preserve"> limiting the borrower’s right to exercise this right</w:t>
      </w:r>
      <w:r w:rsidR="00A850AC" w:rsidRPr="00124B71">
        <w:rPr>
          <w:rFonts w:cs="Times New Roman"/>
          <w:i/>
        </w:rPr>
        <w:t>,</w:t>
      </w:r>
      <w:r w:rsidR="000C79C4" w:rsidRPr="00124B71">
        <w:rPr>
          <w:rFonts w:cs="Times New Roman"/>
          <w:i/>
        </w:rPr>
        <w:t xml:space="preserve"> make the loan callable or otherwise abridge the mortgage agreement</w:t>
      </w:r>
      <w:r w:rsidRPr="00124B71">
        <w:rPr>
          <w:rFonts w:cs="Times New Roman"/>
          <w:i/>
        </w:rPr>
        <w:t>.</w:t>
      </w:r>
    </w:p>
    <w:p w14:paraId="636CC02C" w14:textId="77777777" w:rsidR="00F2512A" w:rsidRPr="00124B71" w:rsidRDefault="000C79C4" w:rsidP="00F2512A">
      <w:pPr>
        <w:rPr>
          <w:rFonts w:cs="Times New Roman"/>
        </w:rPr>
      </w:pPr>
      <w:r w:rsidRPr="00124B71">
        <w:rPr>
          <w:rFonts w:cs="Times New Roman"/>
        </w:rPr>
        <w:t xml:space="preserve">This last statement is the most critical. This is how the enforcement problem can be overcome. Regulators are pressured not to enforce laws when times are good, and decried for their lack of oversight when times are bad. If the oversight function becomes a potential civil matter policed by the borrowers themselves, the lenders know exactly what their risks and potential damages are. Any lender foolish enough to make a loan outside of the parameters would not need to fear the wrath of regulators, they would need to fear the civil lawsuits brought by borrowers eager to get out of their contractual </w:t>
      </w:r>
      <w:r w:rsidR="008F5775" w:rsidRPr="00124B71">
        <w:rPr>
          <w:rFonts w:cs="Times New Roman"/>
        </w:rPr>
        <w:t>obligations</w:t>
      </w:r>
      <w:r w:rsidRPr="00124B71">
        <w:rPr>
          <w:rFonts w:cs="Times New Roman"/>
        </w:rPr>
        <w:t>.</w:t>
      </w:r>
      <w:r w:rsidR="00F2512A" w:rsidRPr="00124B71">
        <w:rPr>
          <w:rFonts w:cs="Times New Roman"/>
        </w:rPr>
        <w:t xml:space="preserve"> If any borrower could obtain debt forgiveness by simply proving their lender exceeded these guidelines based on the loan documents, no lender would do </w:t>
      </w:r>
      <w:r w:rsidR="00F2512A" w:rsidRPr="00124B71">
        <w:rPr>
          <w:rFonts w:cs="Times New Roman"/>
        </w:rPr>
        <w:lastRenderedPageBreak/>
        <w:t>this, and regulatory oversight would be practically unnecessary. One key to making this work is to prohibit lenders from introducing a “poison pill</w:t>
      </w:r>
      <w:r w:rsidR="001858B5">
        <w:rPr>
          <w:rFonts w:cs="Times New Roman"/>
        </w:rPr>
        <w:fldChar w:fldCharType="begin"/>
      </w:r>
      <w:r w:rsidR="00074436">
        <w:instrText xml:space="preserve"> XE "</w:instrText>
      </w:r>
      <w:r w:rsidR="00074436" w:rsidRPr="00697768">
        <w:rPr>
          <w:rFonts w:cs="Times New Roman"/>
        </w:rPr>
        <w:instrText>poison pill</w:instrText>
      </w:r>
      <w:r w:rsidR="00074436">
        <w:instrText xml:space="preserve">" </w:instrText>
      </w:r>
      <w:r w:rsidR="001858B5">
        <w:rPr>
          <w:rFonts w:cs="Times New Roman"/>
        </w:rPr>
        <w:fldChar w:fldCharType="end"/>
      </w:r>
      <w:r w:rsidR="00F2512A" w:rsidRPr="00124B71">
        <w:rPr>
          <w:rFonts w:cs="Times New Roman"/>
        </w:rPr>
        <w:t xml:space="preserve">” to the loan documents that would make borrowers hesitant to bring suit, otherwise lenders would make their loan callable in the event of a legal challenge forcing the borrower to refinance or sell the property. Basically, if the borrower brought suit and won, they would see principal reduction equal to the deviation from the standards, if they brought suit and lost, they would have no penalty. Most of these cases would be decided by summary judgment based on a review of the loan documents </w:t>
      </w:r>
      <w:r w:rsidR="00A401B2" w:rsidRPr="00124B71">
        <w:rPr>
          <w:rFonts w:cs="Times New Roman"/>
        </w:rPr>
        <w:t xml:space="preserve">thus </w:t>
      </w:r>
      <w:r w:rsidR="00F2512A" w:rsidRPr="00124B71">
        <w:rPr>
          <w:rFonts w:cs="Times New Roman"/>
        </w:rPr>
        <w:t>minimizing court costs.</w:t>
      </w:r>
    </w:p>
    <w:p w14:paraId="5E1551E4" w14:textId="77777777" w:rsidR="00F0128E" w:rsidRPr="00124B71" w:rsidRDefault="007064BC" w:rsidP="007064BC">
      <w:pPr>
        <w:rPr>
          <w:rFonts w:cs="Times New Roman"/>
        </w:rPr>
      </w:pPr>
      <w:r w:rsidRPr="00124B71">
        <w:rPr>
          <w:rFonts w:cs="Times New Roman"/>
        </w:rPr>
        <w:t>Another pillar to the system is the documentation of income as part of the loan document package</w:t>
      </w:r>
      <w:r w:rsidR="007C469A">
        <w:rPr>
          <w:rFonts w:cs="Times New Roman"/>
        </w:rPr>
        <w:t>–</w:t>
      </w:r>
      <w:r w:rsidRPr="00124B71">
        <w:rPr>
          <w:rFonts w:cs="Times New Roman"/>
        </w:rPr>
        <w:t xml:space="preserve">the </w:t>
      </w:r>
      <w:r w:rsidRPr="00124B71">
        <w:rPr>
          <w:rFonts w:cs="Times New Roman"/>
          <w:i/>
        </w:rPr>
        <w:t xml:space="preserve">“borrower’s documented income” </w:t>
      </w:r>
      <w:r w:rsidRPr="00124B71">
        <w:rPr>
          <w:rFonts w:cs="Times New Roman"/>
        </w:rPr>
        <w:t>from the proposed legislation. One of the most egregious practices of the Great Housing Bubble was the fabrication of income by borrowers that was facilitated and promoted by originating lenders. Stated-income loan programs were widespread, and they were the cause of much of the uncertainty in the secondary mortgage market</w:t>
      </w:r>
      <w:r w:rsidR="001858B5">
        <w:rPr>
          <w:rFonts w:cs="Times New Roman"/>
        </w:rPr>
        <w:fldChar w:fldCharType="begin"/>
      </w:r>
      <w:r w:rsidR="002321D5">
        <w:instrText xml:space="preserve"> XE "</w:instrText>
      </w:r>
      <w:r w:rsidR="002321D5" w:rsidRPr="000C097A">
        <w:rPr>
          <w:rFonts w:cs="Times New Roman"/>
        </w:rPr>
        <w:instrText>secondary mortgage market</w:instrText>
      </w:r>
      <w:r w:rsidR="002321D5">
        <w:instrText xml:space="preserve">" </w:instrText>
      </w:r>
      <w:r w:rsidR="001858B5">
        <w:rPr>
          <w:rFonts w:cs="Times New Roman"/>
        </w:rPr>
        <w:fldChar w:fldCharType="end"/>
      </w:r>
      <w:r w:rsidRPr="00124B71">
        <w:rPr>
          <w:rFonts w:cs="Times New Roman"/>
        </w:rPr>
        <w:t xml:space="preserve"> during the initial stages of the credit crunch</w:t>
      </w:r>
      <w:r w:rsidR="001858B5">
        <w:rPr>
          <w:rFonts w:cs="Times New Roman"/>
        </w:rPr>
        <w:fldChar w:fldCharType="begin"/>
      </w:r>
      <w:r w:rsidR="00FA2AEF">
        <w:instrText xml:space="preserve"> XE "</w:instrText>
      </w:r>
      <w:r w:rsidR="00FA2AEF" w:rsidRPr="00F6304A">
        <w:rPr>
          <w:rFonts w:cs="Times New Roman"/>
        </w:rPr>
        <w:instrText>credit crunch</w:instrText>
      </w:r>
      <w:r w:rsidR="00FA2AEF">
        <w:instrText xml:space="preserve">" </w:instrText>
      </w:r>
      <w:r w:rsidR="001858B5">
        <w:rPr>
          <w:rFonts w:cs="Times New Roman"/>
        </w:rPr>
        <w:fldChar w:fldCharType="end"/>
      </w:r>
      <w:r w:rsidRPr="00124B71">
        <w:rPr>
          <w:rFonts w:cs="Times New Roman"/>
        </w:rPr>
        <w:t xml:space="preserve"> in the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Pr="00124B71">
        <w:rPr>
          <w:rFonts w:cs="Times New Roman"/>
        </w:rPr>
        <w:t xml:space="preserve"> of the bubble. Basically, investors had no idea if the borrowers to whom they had lent billions of dollars were capable of paying them back. Without proper documentation of income, investors lost all confidence in the secondary mortgage market. Stated-income loan programs were one of the first casualties of the credit crunch. These programs should be eliminated totally due to the inherent potential for fraud and the undermining of confidence in the secondary mortgage market stated-income</w:t>
      </w:r>
      <w:r w:rsidR="001858B5">
        <w:rPr>
          <w:rFonts w:cs="Times New Roman"/>
        </w:rPr>
        <w:fldChar w:fldCharType="begin"/>
      </w:r>
      <w:r w:rsidR="00FA2AEF">
        <w:instrText xml:space="preserve"> XE "</w:instrText>
      </w:r>
      <w:r w:rsidR="00FA2AEF" w:rsidRPr="004E3026">
        <w:rPr>
          <w:rFonts w:cs="Times New Roman"/>
        </w:rPr>
        <w:instrText>stated-income</w:instrText>
      </w:r>
      <w:r w:rsidR="00FA2AEF">
        <w:instrText xml:space="preserve">" </w:instrText>
      </w:r>
      <w:r w:rsidR="001858B5">
        <w:rPr>
          <w:rFonts w:cs="Times New Roman"/>
        </w:rPr>
        <w:fldChar w:fldCharType="end"/>
      </w:r>
      <w:r w:rsidRPr="00124B71">
        <w:rPr>
          <w:rFonts w:cs="Times New Roman"/>
        </w:rPr>
        <w:t xml:space="preserve"> loans create. If lenders can be sued based on the content of the loan documents, and if borrowers can be fined or go to jail for committing fraud or misrepresentation on loan documents, both parties have strong incentive to prepare these documents completely and correctly.</w:t>
      </w:r>
      <w:r w:rsidR="00A2392E" w:rsidRPr="00124B71">
        <w:rPr>
          <w:rFonts w:cs="Times New Roman"/>
        </w:rPr>
        <w:t xml:space="preserve"> Originating lenders will argue this adds to their costs and will result in higher application fees. The amount in question is very small, particularly relative to the dollar amount of the transaction. A small amount of additional expense here will provide huge benefits by assuring investors the </w:t>
      </w:r>
      <w:r w:rsidR="0081180D" w:rsidRPr="00124B71">
        <w:rPr>
          <w:rFonts w:cs="Times New Roman"/>
        </w:rPr>
        <w:t>borrowers to whom they are loaning money really have the income to pay them back. The benefit far outweighs the cost.</w:t>
      </w:r>
    </w:p>
    <w:p w14:paraId="72F385F8" w14:textId="77777777" w:rsidR="005A4DE7" w:rsidRPr="00124B71" w:rsidRDefault="005A4DE7" w:rsidP="007064BC">
      <w:pPr>
        <w:rPr>
          <w:rFonts w:cs="Times New Roman"/>
        </w:rPr>
      </w:pPr>
      <w:r w:rsidRPr="00124B71">
        <w:rPr>
          <w:rFonts w:cs="Times New Roman"/>
        </w:rPr>
        <w:t xml:space="preserve">If such a law were passed, agency interpretation and court case precedents will end up defining adequacy in loan documentation. </w:t>
      </w:r>
      <w:r w:rsidR="00ED39D0" w:rsidRPr="00124B71">
        <w:rPr>
          <w:rFonts w:cs="Times New Roman"/>
        </w:rPr>
        <w:t xml:space="preserve">A single W2 does not establish a work history, but 2 years worth is probably excessive documentation. One of the most contentious areas will likely be documenting the income of the self-employed. In theory, the self employed must document their incomes to the US government either through Schedule C reports or corporate K-1s. The argument the self-employed have traditionally made is that these documents understate their income. Since many self employed take questionable tax deductions, there is probably some truth to the claim that tax records understate their income; however, why should the self-employed get to have both benefits? If the self-employed had to use their tax returns as loan documentation, they probably would not be quite so aggressive in taking deductions. A new business without a tax return or with only one year of taxable receipts </w:t>
      </w:r>
      <w:r w:rsidR="00ED39D0" w:rsidRPr="00124B71">
        <w:rPr>
          <w:rFonts w:cs="Times New Roman"/>
        </w:rPr>
        <w:lastRenderedPageBreak/>
        <w:t xml:space="preserve">probably is not stable enough to meet standards of income necessary to assume a long-term debt. </w:t>
      </w:r>
    </w:p>
    <w:p w14:paraId="03677BC0" w14:textId="77777777" w:rsidR="006E4D1F" w:rsidRPr="00124B71" w:rsidRDefault="005E0BCF" w:rsidP="007064BC">
      <w:pPr>
        <w:rPr>
          <w:rFonts w:cs="Times New Roman"/>
        </w:rPr>
      </w:pPr>
      <w:r w:rsidRPr="00124B71">
        <w:rPr>
          <w:rFonts w:cs="Times New Roman"/>
        </w:rPr>
        <w:t xml:space="preserve">The poor quality of loan documentation during the bubble was a mistake of originating lenders; therefore, in this proposal much of the burden of paperwork and liability for mistakes falls on the lenders. During the </w:t>
      </w:r>
      <w:r w:rsidR="00B90883" w:rsidRPr="00124B71">
        <w:rPr>
          <w:rFonts w:cs="Times New Roman"/>
        </w:rPr>
        <w:t>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Pr="00124B71">
        <w:rPr>
          <w:rFonts w:cs="Times New Roman"/>
        </w:rPr>
        <w:t xml:space="preserve"> of the bubble</w:t>
      </w:r>
      <w:r w:rsidR="00B90883" w:rsidRPr="00124B71">
        <w:rPr>
          <w:rFonts w:cs="Times New Roman"/>
        </w:rPr>
        <w:t>,</w:t>
      </w:r>
      <w:r w:rsidRPr="00124B71">
        <w:rPr>
          <w:rFonts w:cs="Times New Roman"/>
        </w:rPr>
        <w:t xml:space="preserve"> lenders paid an enormous price for some of their lax paperwork standards, but much of the problem was also due to borrowers misrepresenting themselves in the loan documents. There were instances where lenders encouraged this behavior, but in the majority of cases, the document fraud was perpetrated by the borrowers. The only recourse available to a lender is a civil suit as there are few criminal penalties associated with </w:t>
      </w:r>
      <w:r w:rsidR="006E4D1F" w:rsidRPr="00124B71">
        <w:rPr>
          <w:rFonts w:cs="Times New Roman"/>
        </w:rPr>
        <w:t>loan documentation and almost no enforcement. It can be very difficult and costly for lenders to pursue civil damages, and few lenders attempt it even when they have a strong case. To create a more balanced set of responsibilities, the borrowers must face criminal penalties for fraud and misrepresentation on loan documents. If borrowers know the lender can turn documents over to a prosecutor who will charge the borrower with a crime if they make false material statements, borrowers will be much less likely to commit these acts.</w:t>
      </w:r>
    </w:p>
    <w:p w14:paraId="34032395" w14:textId="77777777" w:rsidR="001742E5" w:rsidRPr="00124B71" w:rsidRDefault="001742E5" w:rsidP="007064BC">
      <w:pPr>
        <w:rPr>
          <w:rFonts w:cs="Times New Roman"/>
        </w:rPr>
      </w:pPr>
      <w:r w:rsidRPr="00124B71">
        <w:rPr>
          <w:rFonts w:cs="Times New Roman"/>
        </w:rPr>
        <w:t>The parameters of the forming limitations on the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w:t>
      </w:r>
      <w:r w:rsidR="001858B5">
        <w:rPr>
          <w:rFonts w:cs="Times New Roman"/>
        </w:rPr>
        <w:fldChar w:fldCharType="begin"/>
      </w:r>
      <w:r w:rsidR="00F71DE5">
        <w:instrText xml:space="preserve"> XE "</w:instrText>
      </w:r>
      <w:r w:rsidR="00F71DE5" w:rsidRPr="008D771C">
        <w:rPr>
          <w:rFonts w:cs="Times New Roman"/>
        </w:rPr>
        <w:instrText>debt-to-income ratio</w:instrText>
      </w:r>
      <w:r w:rsidR="00F71DE5">
        <w:instrText xml:space="preserve">" </w:instrText>
      </w:r>
      <w:r w:rsidR="001858B5">
        <w:rPr>
          <w:rFonts w:cs="Times New Roman"/>
        </w:rPr>
        <w:fldChar w:fldCharType="end"/>
      </w:r>
      <w:r w:rsidRPr="00124B71">
        <w:rPr>
          <w:rFonts w:cs="Times New Roman"/>
        </w:rPr>
        <w:t xml:space="preserve"> and combined-loan-to-value</w:t>
      </w:r>
      <w:r w:rsidR="001858B5">
        <w:rPr>
          <w:rFonts w:cs="Times New Roman"/>
        </w:rPr>
        <w:fldChar w:fldCharType="begin"/>
      </w:r>
      <w:r w:rsidR="003247C5">
        <w:instrText xml:space="preserve"> XE "</w:instrText>
      </w:r>
      <w:r w:rsidR="003247C5" w:rsidRPr="00022402">
        <w:rPr>
          <w:rFonts w:cs="Times New Roman"/>
        </w:rPr>
        <w:instrText>combined-loan-to-value</w:instrText>
      </w:r>
      <w:r w:rsidR="003247C5">
        <w:instrText xml:space="preserve">" </w:instrText>
      </w:r>
      <w:r w:rsidR="001858B5">
        <w:rPr>
          <w:rFonts w:cs="Times New Roman"/>
        </w:rPr>
        <w:fldChar w:fldCharType="end"/>
      </w:r>
      <w:r w:rsidRPr="00124B71">
        <w:rPr>
          <w:rFonts w:cs="Times New Roman"/>
        </w:rPr>
        <w:t xml:space="preserve"> are essential to prevent bubbles in the housing market and to prevent the banking system from becoming imperiled in the future. People will commit large percentages of their income to house payments when prices are rising quickly; however, they do this out of fear of being “priced out” and greed to make a windfall from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Pr="00124B71">
        <w:rPr>
          <w:rFonts w:cs="Times New Roman"/>
        </w:rPr>
        <w:t>. These are the beliefs that inflate a bubble. Borrowers cannot sustain payments above the traditional parameters for debt service without either defaulting or causing a severe decline in discretionary spending. The former is bad for the banks, and the latter is bad for the entire economy. This must be prevented in the future. There are a number of reasons why high combined-loan-to-value</w:t>
      </w:r>
      <w:r w:rsidR="001858B5">
        <w:rPr>
          <w:rFonts w:cs="Times New Roman"/>
        </w:rPr>
        <w:fldChar w:fldCharType="begin"/>
      </w:r>
      <w:r w:rsidR="001A53F8">
        <w:instrText xml:space="preserve"> XE "</w:instrText>
      </w:r>
      <w:r w:rsidR="001A53F8" w:rsidRPr="00DB4DD4">
        <w:rPr>
          <w:rFonts w:cs="Times New Roman"/>
        </w:rPr>
        <w:instrText>loan-to-value</w:instrText>
      </w:r>
      <w:r w:rsidR="001A53F8">
        <w:instrText xml:space="preserve">" </w:instrText>
      </w:r>
      <w:r w:rsidR="001858B5">
        <w:rPr>
          <w:rFonts w:cs="Times New Roman"/>
        </w:rPr>
        <w:fldChar w:fldCharType="end"/>
      </w:r>
      <w:r w:rsidRPr="00124B71">
        <w:rPr>
          <w:rFonts w:cs="Times New Roman"/>
        </w:rPr>
        <w:t xml:space="preserve"> lending is a bad idea: it promotes speculation by shifting the risk to the lender, it encourages predatory borrowing where borrowers “put” the property to a lender, it promotes a high default rate</w:t>
      </w:r>
      <w:r w:rsidR="003B265B">
        <w:rPr>
          <w:rFonts w:cs="Times New Roman"/>
        </w:rPr>
        <w:t xml:space="preserve"> </w:t>
      </w:r>
      <w:r w:rsidRPr="00124B71">
        <w:rPr>
          <w:rFonts w:cs="Times New Roman"/>
        </w:rPr>
        <w:t>because borrowers are not personally invested in the property, it discourages saving as it becomes unnecessary, and it artificially inflates prices as it eliminates a barrier to market entry. This last reason is one of the arguments used to get rid of downpayment requirements. The consequences of this folly became readily apparent once prices started to fall.</w:t>
      </w:r>
    </w:p>
    <w:p w14:paraId="7778D2C2" w14:textId="77777777" w:rsidR="0088483C" w:rsidRPr="00124B71" w:rsidRDefault="0088483C" w:rsidP="007064BC">
      <w:pPr>
        <w:rPr>
          <w:rFonts w:cs="Times New Roman"/>
        </w:rPr>
      </w:pPr>
      <w:r w:rsidRPr="00124B71">
        <w:rPr>
          <w:rFonts w:cs="Times New Roman"/>
        </w:rPr>
        <w:t>The payment must be measured against “</w:t>
      </w:r>
      <w:r w:rsidRPr="00124B71">
        <w:rPr>
          <w:rFonts w:cs="Times New Roman"/>
          <w:i/>
        </w:rPr>
        <w:t>30-year fixed-rate conventionally-amortizing mortgage regardless of the loan program used.</w:t>
      </w:r>
      <w:r w:rsidRPr="00124B71">
        <w:rPr>
          <w:rFonts w:cs="Times New Roman"/>
        </w:rPr>
        <w:t>” One of the worst loan programs of the Great Housing Bubble was the 2/28</w:t>
      </w:r>
      <w:r w:rsidR="001858B5">
        <w:rPr>
          <w:rFonts w:cs="Times New Roman"/>
        </w:rPr>
        <w:fldChar w:fldCharType="begin"/>
      </w:r>
      <w:r w:rsidR="00C12412">
        <w:instrText xml:space="preserve"> XE "</w:instrText>
      </w:r>
      <w:r w:rsidR="00C12412" w:rsidRPr="00103CC1">
        <w:rPr>
          <w:rFonts w:cs="Times New Roman"/>
        </w:rPr>
        <w:instrText>2/28</w:instrText>
      </w:r>
      <w:r w:rsidR="00C12412">
        <w:instrText xml:space="preserve">" </w:instrText>
      </w:r>
      <w:r w:rsidR="001858B5">
        <w:rPr>
          <w:rFonts w:cs="Times New Roman"/>
        </w:rPr>
        <w:fldChar w:fldCharType="end"/>
      </w:r>
      <w:r w:rsidRPr="00124B71">
        <w:rPr>
          <w:rFonts w:cs="Times New Roman"/>
        </w:rPr>
        <w:t xml:space="preserve"> ARM sold to large numbers of subprime borrowers. These borrowers were often qualified only on their ability to make the initial payment, and these borrowers were generally not capable of making the fully amortized payment when the loan reset after 2 years. Regulations like this would prevent a recurrence of the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tsunami triggered by the use of this loan program. It is also important to ban negative amortization</w:t>
      </w:r>
      <w:r w:rsidR="001858B5">
        <w:rPr>
          <w:rFonts w:cs="Times New Roman"/>
        </w:rPr>
        <w:fldChar w:fldCharType="begin"/>
      </w:r>
      <w:r w:rsidR="003852DB">
        <w:instrText xml:space="preserve"> XE "</w:instrText>
      </w:r>
      <w:r w:rsidR="003852DB" w:rsidRPr="00591877">
        <w:rPr>
          <w:rFonts w:cs="Times New Roman"/>
        </w:rPr>
        <w:instrText>negative amortization</w:instrText>
      </w:r>
      <w:r w:rsidR="003852DB">
        <w:instrText xml:space="preserve">" </w:instrText>
      </w:r>
      <w:r w:rsidR="001858B5">
        <w:rPr>
          <w:rFonts w:cs="Times New Roman"/>
        </w:rPr>
        <w:fldChar w:fldCharType="end"/>
      </w:r>
      <w:r w:rsidRPr="00124B71">
        <w:rPr>
          <w:rFonts w:cs="Times New Roman"/>
        </w:rPr>
        <w:t xml:space="preserve"> because it would allow the loan balance to grow beyond the parameters of qualification</w:t>
      </w:r>
      <w:r w:rsidR="005E0BCF" w:rsidRPr="00124B71">
        <w:rPr>
          <w:rFonts w:cs="Times New Roman"/>
        </w:rPr>
        <w:t>, and it invites property speculation</w:t>
      </w:r>
      <w:r w:rsidRPr="00124B71">
        <w:rPr>
          <w:rFonts w:cs="Times New Roman"/>
        </w:rPr>
        <w:t xml:space="preserve">. Perhaps </w:t>
      </w:r>
      <w:r w:rsidRPr="00124B71">
        <w:rPr>
          <w:rFonts w:cs="Times New Roman"/>
        </w:rPr>
        <w:lastRenderedPageBreak/>
        <w:t xml:space="preserve">borrowers would not be concerned because they would receive debt </w:t>
      </w:r>
      <w:r w:rsidR="005E0BCF" w:rsidRPr="00124B71">
        <w:rPr>
          <w:rFonts w:cs="Times New Roman"/>
        </w:rPr>
        <w:t>forgiveness</w:t>
      </w:r>
      <w:r w:rsidRPr="00124B71">
        <w:rPr>
          <w:rFonts w:cs="Times New Roman"/>
        </w:rPr>
        <w:t xml:space="preserve"> of the </w:t>
      </w:r>
      <w:r w:rsidR="005E0BCF" w:rsidRPr="00124B71">
        <w:rPr>
          <w:rFonts w:cs="Times New Roman"/>
        </w:rPr>
        <w:t>expanding balance. Lenders should be wary of these loans after their dismal performance in the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005E0BCF" w:rsidRPr="00124B71">
        <w:rPr>
          <w:rFonts w:cs="Times New Roman"/>
        </w:rPr>
        <w:t xml:space="preserve"> of the bubble, but institutional memory is short, and these loan programs could make a comeback if they are not specifically outlawed. This provision is careful to allow interest-only loans. They are still a high-risk product, but an argument can be made that these loans have a place, and there is no need to completely ban them. They will not have a future as an affordability</w:t>
      </w:r>
      <w:r w:rsidR="001858B5">
        <w:rPr>
          <w:rFonts w:cs="Times New Roman"/>
        </w:rPr>
        <w:fldChar w:fldCharType="begin"/>
      </w:r>
      <w:r w:rsidR="00AE7D38">
        <w:instrText xml:space="preserve"> XE "</w:instrText>
      </w:r>
      <w:r w:rsidR="00AE7D38" w:rsidRPr="00373E58">
        <w:rPr>
          <w:rFonts w:cs="Times New Roman"/>
        </w:rPr>
        <w:instrText>affordability</w:instrText>
      </w:r>
      <w:r w:rsidR="00AE7D38">
        <w:instrText xml:space="preserve">" </w:instrText>
      </w:r>
      <w:r w:rsidR="001858B5">
        <w:rPr>
          <w:rFonts w:cs="Times New Roman"/>
        </w:rPr>
        <w:fldChar w:fldCharType="end"/>
      </w:r>
      <w:r w:rsidR="005E0BCF" w:rsidRPr="00124B71">
        <w:rPr>
          <w:rFonts w:cs="Times New Roman"/>
        </w:rPr>
        <w:t xml:space="preserve"> product capable of driving up prices if the borrower must still qualify for the fully amortized payment.</w:t>
      </w:r>
    </w:p>
    <w:p w14:paraId="713A4F30" w14:textId="77777777" w:rsidR="002B0609" w:rsidRPr="00124B71" w:rsidRDefault="009548BD" w:rsidP="002B0609">
      <w:pPr>
        <w:rPr>
          <w:rFonts w:cs="Times New Roman"/>
        </w:rPr>
      </w:pPr>
      <w:r w:rsidRPr="00124B71">
        <w:rPr>
          <w:rFonts w:cs="Times New Roman"/>
        </w:rPr>
        <w:t xml:space="preserve">For the lending provisions to have real impact, they must apply to both purchases and to refinances, thus the clause, </w:t>
      </w:r>
      <w:r w:rsidRPr="00124B71">
        <w:rPr>
          <w:rFonts w:cs="Times New Roman"/>
          <w:i/>
        </w:rPr>
        <w:t>“Loans for the purchase or refinance of residential real estate.”</w:t>
      </w:r>
      <w:r w:rsidRPr="00124B71">
        <w:rPr>
          <w:rFonts w:cs="Times New Roman"/>
        </w:rPr>
        <w:t xml:space="preserve"> If the rules only applied to purchases, there would be a tremendous volume in refinances to circumvent the regulations. The caps on debt-to-income</w:t>
      </w:r>
      <w:r w:rsidR="001858B5">
        <w:rPr>
          <w:rFonts w:cs="Times New Roman"/>
        </w:rPr>
        <w:fldChar w:fldCharType="begin"/>
      </w:r>
      <w:r w:rsidR="00AE7D38">
        <w:instrText xml:space="preserve"> XE "</w:instrText>
      </w:r>
      <w:r w:rsidR="00AE7D38" w:rsidRPr="00991A9B">
        <w:rPr>
          <w:rFonts w:cs="Times New Roman"/>
        </w:rPr>
        <w:instrText>debt-to-income</w:instrText>
      </w:r>
      <w:r w:rsidR="00AE7D38">
        <w:instrText xml:space="preserve">" </w:instrText>
      </w:r>
      <w:r w:rsidR="001858B5">
        <w:rPr>
          <w:rFonts w:cs="Times New Roman"/>
        </w:rPr>
        <w:fldChar w:fldCharType="end"/>
      </w:r>
      <w:r w:rsidRPr="00124B71">
        <w:rPr>
          <w:rFonts w:cs="Times New Roman"/>
        </w:rPr>
        <w:t xml:space="preserve"> ratios, mortgage terms and combined-loan-to-value</w:t>
      </w:r>
      <w:r w:rsidR="001858B5">
        <w:rPr>
          <w:rFonts w:cs="Times New Roman"/>
        </w:rPr>
        <w:fldChar w:fldCharType="begin"/>
      </w:r>
      <w:r w:rsidR="003247C5">
        <w:instrText xml:space="preserve"> XE "</w:instrText>
      </w:r>
      <w:r w:rsidR="003247C5" w:rsidRPr="00022402">
        <w:rPr>
          <w:rFonts w:cs="Times New Roman"/>
        </w:rPr>
        <w:instrText>combined-loan-to-value</w:instrText>
      </w:r>
      <w:r w:rsidR="003247C5">
        <w:instrText xml:space="preserve">" </w:instrText>
      </w:r>
      <w:r w:rsidR="001858B5">
        <w:rPr>
          <w:rFonts w:cs="Times New Roman"/>
        </w:rPr>
        <w:fldChar w:fldCharType="end"/>
      </w:r>
      <w:r w:rsidRPr="00124B71">
        <w:rPr>
          <w:rFonts w:cs="Times New Roman"/>
        </w:rPr>
        <w:t xml:space="preserve"> only have meaning if they are universally applied.</w:t>
      </w:r>
      <w:r w:rsidR="0088483C" w:rsidRPr="00124B71">
        <w:rPr>
          <w:rFonts w:cs="Times New Roman"/>
        </w:rPr>
        <w:t xml:space="preserve"> The combined-loan-to-value</w:t>
      </w:r>
      <w:r w:rsidR="001858B5">
        <w:rPr>
          <w:rFonts w:cs="Times New Roman"/>
        </w:rPr>
        <w:fldChar w:fldCharType="begin"/>
      </w:r>
      <w:r w:rsidR="001A53F8">
        <w:instrText xml:space="preserve"> XE "</w:instrText>
      </w:r>
      <w:r w:rsidR="001A53F8" w:rsidRPr="00DB4DD4">
        <w:rPr>
          <w:rFonts w:cs="Times New Roman"/>
        </w:rPr>
        <w:instrText>loan-to-value</w:instrText>
      </w:r>
      <w:r w:rsidR="001A53F8">
        <w:instrText xml:space="preserve">" </w:instrText>
      </w:r>
      <w:r w:rsidR="001858B5">
        <w:rPr>
          <w:rFonts w:cs="Times New Roman"/>
        </w:rPr>
        <w:fldChar w:fldCharType="end"/>
      </w:r>
      <w:r w:rsidR="0088483C" w:rsidRPr="00124B71">
        <w:rPr>
          <w:rFonts w:cs="Times New Roman"/>
        </w:rPr>
        <w:t xml:space="preserve"> standard is based on the </w:t>
      </w:r>
      <w:r w:rsidR="0088483C" w:rsidRPr="00124B71">
        <w:rPr>
          <w:rFonts w:cs="Times New Roman"/>
          <w:i/>
        </w:rPr>
        <w:t>“appraised value of the property at the time of sale or refinance</w:t>
      </w:r>
      <w:r w:rsidR="006E4D1F" w:rsidRPr="00124B71">
        <w:rPr>
          <w:rFonts w:cs="Times New Roman"/>
          <w:i/>
        </w:rPr>
        <w:t>.</w:t>
      </w:r>
      <w:r w:rsidR="0088483C" w:rsidRPr="00124B71">
        <w:rPr>
          <w:rFonts w:cs="Times New Roman"/>
          <w:i/>
        </w:rPr>
        <w:t>”</w:t>
      </w:r>
      <w:r w:rsidR="006E4D1F" w:rsidRPr="00124B71">
        <w:rPr>
          <w:rFonts w:cs="Times New Roman"/>
        </w:rPr>
        <w:t xml:space="preserve"> The new appraisal methods will have impact here. It is important that the records need only be accurate as of the time of the transaction. If a borrower experiences a decline in their income</w:t>
      </w:r>
      <w:r w:rsidR="00766845" w:rsidRPr="00124B71">
        <w:rPr>
          <w:rFonts w:cs="Times New Roman"/>
        </w:rPr>
        <w:t xml:space="preserve"> or if the property declines in value</w:t>
      </w:r>
      <w:r w:rsidR="006E4D1F" w:rsidRPr="00124B71">
        <w:rPr>
          <w:rFonts w:cs="Times New Roman"/>
        </w:rPr>
        <w:t xml:space="preserve"> to where they no longer meet the loan standard, it does not mean they can go petition for debt relief.</w:t>
      </w:r>
    </w:p>
    <w:p w14:paraId="64FCE83C" w14:textId="77777777" w:rsidR="000C79C4" w:rsidRPr="00124B71" w:rsidRDefault="009548BD" w:rsidP="009548BD">
      <w:pPr>
        <w:rPr>
          <w:rFonts w:cs="Times New Roman"/>
        </w:rPr>
      </w:pPr>
      <w:r w:rsidRPr="00124B71">
        <w:rPr>
          <w:rFonts w:cs="Times New Roman"/>
        </w:rPr>
        <w:t xml:space="preserve">The regulations would only need to apply to loans </w:t>
      </w:r>
      <w:r w:rsidR="000C79C4" w:rsidRPr="00124B71">
        <w:rPr>
          <w:rFonts w:cs="Times New Roman"/>
          <w:i/>
        </w:rPr>
        <w:t>“secured by a mortgage and recorded in the public record</w:t>
      </w:r>
      <w:r w:rsidRPr="00124B71">
        <w:rPr>
          <w:rFonts w:cs="Times New Roman"/>
          <w:i/>
        </w:rPr>
        <w:t>.</w:t>
      </w:r>
      <w:r w:rsidR="000C79C4" w:rsidRPr="00124B71">
        <w:rPr>
          <w:rFonts w:cs="Times New Roman"/>
          <w:i/>
        </w:rPr>
        <w:t>”</w:t>
      </w:r>
      <w:r w:rsidRPr="00124B71">
        <w:rPr>
          <w:rFonts w:cs="Times New Roman"/>
          <w:i/>
        </w:rPr>
        <w:t xml:space="preserve"> </w:t>
      </w:r>
      <w:r w:rsidRPr="00124B71">
        <w:rPr>
          <w:rFonts w:cs="Times New Roman"/>
        </w:rPr>
        <w:t>People can still borrow money from any source they wished as long as the lender knows they will not have any claim on residential real estate. If a lender wanted to issue a loan secured by real estate outside of the outlined standards, the borrower would not have to pay back that money. If a borrower has non-recorded debts which create a total indebtedness requiring more than 36% of their gross income, they would not be eligible for a home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loan even if they met the other qualifications. In such circumstances, it is better to limit borrowing than increase the probab</w:t>
      </w:r>
      <w:r w:rsidR="00D73D33" w:rsidRPr="00124B71">
        <w:rPr>
          <w:rFonts w:cs="Times New Roman"/>
        </w:rPr>
        <w:t>ility of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00D73D33" w:rsidRPr="00124B71">
        <w:rPr>
          <w:rFonts w:cs="Times New Roman"/>
        </w:rPr>
        <w:t xml:space="preserve">. </w:t>
      </w:r>
    </w:p>
    <w:p w14:paraId="5566331E" w14:textId="77777777" w:rsidR="00D73D33" w:rsidRPr="00124B71" w:rsidRDefault="006E4D1F" w:rsidP="00057A74">
      <w:pPr>
        <w:rPr>
          <w:rFonts w:cs="Times New Roman"/>
        </w:rPr>
      </w:pPr>
      <w:r w:rsidRPr="00124B71">
        <w:rPr>
          <w:rFonts w:cs="Times New Roman"/>
        </w:rPr>
        <w:t>Many states have non-recourse</w:t>
      </w:r>
      <w:r w:rsidR="001858B5">
        <w:rPr>
          <w:rFonts w:cs="Times New Roman"/>
        </w:rPr>
        <w:fldChar w:fldCharType="begin"/>
      </w:r>
      <w:r w:rsidR="00A7313A">
        <w:instrText xml:space="preserve"> XE "</w:instrText>
      </w:r>
      <w:r w:rsidR="00A7313A" w:rsidRPr="003432A5">
        <w:rPr>
          <w:rFonts w:cs="Times New Roman"/>
        </w:rPr>
        <w:instrText>non-recourse</w:instrText>
      </w:r>
      <w:r w:rsidR="00A7313A">
        <w:instrText xml:space="preserve">" </w:instrText>
      </w:r>
      <w:r w:rsidR="001858B5">
        <w:rPr>
          <w:rFonts w:cs="Times New Roman"/>
        </w:rPr>
        <w:fldChar w:fldCharType="end"/>
      </w:r>
      <w:r w:rsidRPr="00124B71">
        <w:rPr>
          <w:rFonts w:cs="Times New Roman"/>
        </w:rPr>
        <w:t xml:space="preserve"> laws on their books. </w:t>
      </w:r>
      <w:r w:rsidR="00057A74" w:rsidRPr="00124B71">
        <w:rPr>
          <w:rFonts w:cs="Times New Roman"/>
        </w:rPr>
        <w:t>These laws serve to protect the borrower from predatory lending because the lender cannot go after other assets of the borrower in the event of default. In theory this should make lenders more conservative in their underwriting; however, the behavior of lenders in California, a non-recourse state, during the Great Housing Bubble was not conservative. These laws do serve to protect borrowers, and they should be enacted for purchase-money mortgages in all 50 states.</w:t>
      </w:r>
    </w:p>
    <w:p w14:paraId="4CC3E043" w14:textId="77777777" w:rsidR="00F945F2" w:rsidRPr="00124B71" w:rsidRDefault="00F945F2" w:rsidP="008339DA">
      <w:pPr>
        <w:rPr>
          <w:rFonts w:cs="Times New Roman"/>
        </w:rPr>
      </w:pPr>
      <w:r w:rsidRPr="00124B71">
        <w:rPr>
          <w:rFonts w:cs="Times New Roman"/>
        </w:rPr>
        <w:t>Since one of the goals of regulatory reform is to inhibit the behavior of irrational exuberance</w:t>
      </w:r>
      <w:r w:rsidR="001858B5">
        <w:rPr>
          <w:rFonts w:cs="Times New Roman"/>
        </w:rPr>
        <w:fldChar w:fldCharType="begin"/>
      </w:r>
      <w:r w:rsidR="00180E6F">
        <w:instrText xml:space="preserve"> XE "</w:instrText>
      </w:r>
      <w:r w:rsidR="00180E6F" w:rsidRPr="00FD3A30">
        <w:rPr>
          <w:rFonts w:cs="Times New Roman"/>
        </w:rPr>
        <w:instrText>irrational exuberance</w:instrText>
      </w:r>
      <w:r w:rsidR="00180E6F">
        <w:instrText xml:space="preserve">" </w:instrText>
      </w:r>
      <w:r w:rsidR="001858B5">
        <w:rPr>
          <w:rFonts w:cs="Times New Roman"/>
        </w:rPr>
        <w:fldChar w:fldCharType="end"/>
      </w:r>
      <w:r w:rsidRPr="00124B71">
        <w:rPr>
          <w:rFonts w:cs="Times New Roman"/>
        </w:rPr>
        <w:t>, the sales tactics of the National Association of Realtors</w:t>
      </w:r>
      <w:r w:rsidR="001858B5">
        <w:rPr>
          <w:rFonts w:cs="Times New Roman"/>
        </w:rPr>
        <w:fldChar w:fldCharType="begin"/>
      </w:r>
      <w:r w:rsidR="002321D5">
        <w:instrText xml:space="preserve"> XE "</w:instrText>
      </w:r>
      <w:r w:rsidR="002321D5" w:rsidRPr="00D5186C">
        <w:rPr>
          <w:rFonts w:cs="Times New Roman"/>
        </w:rPr>
        <w:instrText>National Association of Realtors</w:instrText>
      </w:r>
      <w:r w:rsidR="002321D5">
        <w:instrText xml:space="preserve">" </w:instrText>
      </w:r>
      <w:r w:rsidR="001858B5">
        <w:rPr>
          <w:rFonts w:cs="Times New Roman"/>
        </w:rPr>
        <w:fldChar w:fldCharType="end"/>
      </w:r>
      <w:r w:rsidRPr="00124B71">
        <w:rPr>
          <w:rFonts w:cs="Times New Roman"/>
        </w:rPr>
        <w:t xml:space="preserve"> should be examined and potentially come under the same restrictions as securities brokers through the Securities and Exchange Commission. After the stock market crash which helped precipitate the Great Depression</w:t>
      </w:r>
      <w:r w:rsidR="001858B5">
        <w:rPr>
          <w:rFonts w:cs="Times New Roman"/>
        </w:rPr>
        <w:fldChar w:fldCharType="begin"/>
      </w:r>
      <w:r w:rsidR="002321D5">
        <w:instrText xml:space="preserve"> XE "</w:instrText>
      </w:r>
      <w:r w:rsidR="002321D5" w:rsidRPr="00FE6E68">
        <w:rPr>
          <w:rFonts w:cs="Times New Roman"/>
        </w:rPr>
        <w:instrText>Great Depression</w:instrText>
      </w:r>
      <w:r w:rsidR="002321D5">
        <w:instrText xml:space="preserve">" </w:instrText>
      </w:r>
      <w:r w:rsidR="001858B5">
        <w:rPr>
          <w:rFonts w:cs="Times New Roman"/>
        </w:rPr>
        <w:fldChar w:fldCharType="end"/>
      </w:r>
      <w:r w:rsidRPr="00124B71">
        <w:rPr>
          <w:rFonts w:cs="Times New Roman"/>
        </w:rPr>
        <w:t xml:space="preserve">, Congress created the Securities and Exchange Commission to regulate the sales activities of securities brokers. There are strict regulations in place governing the representations made concerning the future performance of investment </w:t>
      </w:r>
      <w:r w:rsidRPr="00124B71">
        <w:rPr>
          <w:rFonts w:cs="Times New Roman"/>
        </w:rPr>
        <w:lastRenderedPageBreak/>
        <w:t>opportunities. These protections were put in place to protect the general public from the false promises made by stockbrokers in the 1920s which many naïve investors believed. The same analogy holds true for Realtors</w:t>
      </w:r>
      <w:r w:rsidR="001858B5">
        <w:rPr>
          <w:rFonts w:cs="Times New Roman"/>
        </w:rPr>
        <w:fldChar w:fldCharType="begin"/>
      </w:r>
      <w:r w:rsidR="001A53F8">
        <w:instrText xml:space="preserve"> XE "</w:instrText>
      </w:r>
      <w:r w:rsidR="001A53F8" w:rsidRPr="00957A14">
        <w:rPr>
          <w:rFonts w:cs="Times New Roman"/>
        </w:rPr>
        <w:instrText>Realtors</w:instrText>
      </w:r>
      <w:r w:rsidR="001A53F8">
        <w:instrText xml:space="preserve">" </w:instrText>
      </w:r>
      <w:r w:rsidR="001858B5">
        <w:rPr>
          <w:rFonts w:cs="Times New Roman"/>
        </w:rPr>
        <w:fldChar w:fldCharType="end"/>
      </w:r>
      <w:r w:rsidRPr="00124B71">
        <w:rPr>
          <w:rFonts w:cs="Times New Roman"/>
        </w:rPr>
        <w:t>. The National Association of Realtors has launched numerous adverti</w:t>
      </w:r>
      <w:r w:rsidR="008339DA" w:rsidRPr="00124B71">
        <w:rPr>
          <w:rFonts w:cs="Times New Roman"/>
        </w:rPr>
        <w:t>s</w:t>
      </w:r>
      <w:r w:rsidRPr="00124B71">
        <w:rPr>
          <w:rFonts w:cs="Times New Roman"/>
        </w:rPr>
        <w:t>ing campaigns suggesting erroneously that residential real estate is a great investment</w:t>
      </w:r>
      <w:r w:rsidR="008339DA" w:rsidRPr="00124B71">
        <w:rPr>
          <w:rFonts w:cs="Times New Roman"/>
        </w:rPr>
        <w:t xml:space="preserve"> and appreciation</w:t>
      </w:r>
      <w:r w:rsidR="001858B5">
        <w:rPr>
          <w:rFonts w:cs="Times New Roman"/>
        </w:rPr>
        <w:fldChar w:fldCharType="begin"/>
      </w:r>
      <w:r w:rsidR="00FA2AEF">
        <w:instrText xml:space="preserve"> XE "</w:instrText>
      </w:r>
      <w:r w:rsidR="00FA2AEF" w:rsidRPr="009C5D12">
        <w:rPr>
          <w:rFonts w:cs="Times New Roman"/>
        </w:rPr>
        <w:instrText>appreciation</w:instrText>
      </w:r>
      <w:r w:rsidR="00FA2AEF">
        <w:instrText xml:space="preserve">" </w:instrText>
      </w:r>
      <w:r w:rsidR="001858B5">
        <w:rPr>
          <w:rFonts w:cs="Times New Roman"/>
        </w:rPr>
        <w:fldChar w:fldCharType="end"/>
      </w:r>
      <w:r w:rsidR="008339DA" w:rsidRPr="00124B71">
        <w:rPr>
          <w:rFonts w:cs="Times New Roman"/>
        </w:rPr>
        <w:t xml:space="preserve"> will make home buyers wealthy</w:t>
      </w:r>
      <w:r w:rsidR="00A107E9" w:rsidRPr="00124B71">
        <w:rPr>
          <w:rFonts w:cs="Times New Roman"/>
        </w:rPr>
        <w:t xml:space="preserve">. </w:t>
      </w:r>
      <w:r w:rsidR="008339DA" w:rsidRPr="00124B71">
        <w:rPr>
          <w:rStyle w:val="EndnoteReference"/>
          <w:rFonts w:cs="Times New Roman"/>
        </w:rPr>
        <w:endnoteReference w:id="146"/>
      </w:r>
      <w:r w:rsidR="008339DA" w:rsidRPr="00124B71">
        <w:rPr>
          <w:rFonts w:cs="Times New Roman"/>
        </w:rPr>
        <w:t xml:space="preserve"> The mantra of all realtors is that house prices always go up. There are currently no limits to the distortions and outright lies realtors can tell prospective buyers with regards to the investment potential of residential real estate. Buyers are already prone to believe the fallacies of unlimited riches in real estate, and these fallacious beliefs lead to housing bubbles. Realtors should be prevented from making representations concerning the investment potential of real estate. Since the regulatory framework for this kind of regulation and oversight is already in place under the auspices of the Securities and Exchange Commission, Congress would merely need to make Realtors subject to these regulations in order to solve the problem.</w:t>
      </w:r>
    </w:p>
    <w:p w14:paraId="117F466E" w14:textId="77777777" w:rsidR="00057A74" w:rsidRPr="00124B71" w:rsidRDefault="00057A74" w:rsidP="00057A74">
      <w:pPr>
        <w:rPr>
          <w:rFonts w:cs="Times New Roman"/>
        </w:rPr>
      </w:pPr>
      <w:r w:rsidRPr="00124B71">
        <w:rPr>
          <w:rFonts w:cs="Times New Roman"/>
        </w:rPr>
        <w:t>The result of these restrictions will be that all homeowners will have at least 10% equity</w:t>
      </w:r>
      <w:r w:rsidR="001858B5">
        <w:rPr>
          <w:rFonts w:cs="Times New Roman"/>
        </w:rPr>
        <w:fldChar w:fldCharType="begin"/>
      </w:r>
      <w:r w:rsidR="00FA2AEF">
        <w:instrText xml:space="preserve"> XE "</w:instrText>
      </w:r>
      <w:r w:rsidR="00FA2AEF" w:rsidRPr="008D3E1B">
        <w:rPr>
          <w:rFonts w:cs="Times New Roman"/>
        </w:rPr>
        <w:instrText>equity</w:instrText>
      </w:r>
      <w:r w:rsidR="00FA2AEF">
        <w:instrText xml:space="preserve">" </w:instrText>
      </w:r>
      <w:r w:rsidR="001858B5">
        <w:rPr>
          <w:rFonts w:cs="Times New Roman"/>
        </w:rPr>
        <w:fldChar w:fldCharType="end"/>
      </w:r>
      <w:r w:rsidRPr="00124B71">
        <w:rPr>
          <w:rFonts w:cs="Times New Roman"/>
        </w:rPr>
        <w:t xml:space="preserve"> in their properties unless they have borrowed from a government program like the FHA</w:t>
      </w:r>
      <w:r w:rsidR="001858B5">
        <w:rPr>
          <w:rFonts w:cs="Times New Roman"/>
        </w:rPr>
        <w:fldChar w:fldCharType="begin"/>
      </w:r>
      <w:r w:rsidR="00FF74AC">
        <w:instrText xml:space="preserve"> XE "</w:instrText>
      </w:r>
      <w:r w:rsidR="00FF74AC" w:rsidRPr="00EA0044">
        <w:rPr>
          <w:rFonts w:cs="Times New Roman"/>
        </w:rPr>
        <w:instrText>FHA</w:instrText>
      </w:r>
      <w:r w:rsidR="00FF74AC">
        <w:instrText xml:space="preserve">" </w:instrText>
      </w:r>
      <w:r w:rsidR="001858B5">
        <w:rPr>
          <w:rFonts w:cs="Times New Roman"/>
        </w:rPr>
        <w:fldChar w:fldCharType="end"/>
      </w:r>
      <w:r w:rsidRPr="00124B71">
        <w:rPr>
          <w:rFonts w:cs="Times New Roman"/>
        </w:rPr>
        <w:t xml:space="preserve"> where the combined-loan-to-value</w:t>
      </w:r>
      <w:r w:rsidR="001858B5">
        <w:rPr>
          <w:rFonts w:cs="Times New Roman"/>
        </w:rPr>
        <w:fldChar w:fldCharType="begin"/>
      </w:r>
      <w:r w:rsidR="003247C5">
        <w:instrText xml:space="preserve"> XE "</w:instrText>
      </w:r>
      <w:r w:rsidR="003247C5" w:rsidRPr="00022402">
        <w:rPr>
          <w:rFonts w:cs="Times New Roman"/>
        </w:rPr>
        <w:instrText>combined-loan-to-value</w:instrText>
      </w:r>
      <w:r w:rsidR="003247C5">
        <w:instrText xml:space="preserve">" </w:instrText>
      </w:r>
      <w:r w:rsidR="001858B5">
        <w:rPr>
          <w:rFonts w:cs="Times New Roman"/>
        </w:rPr>
        <w:fldChar w:fldCharType="end"/>
      </w:r>
      <w:r w:rsidRPr="00124B71">
        <w:rPr>
          <w:rFonts w:cs="Times New Roman"/>
        </w:rPr>
        <w:t xml:space="preserve"> can exceed the limits. This equity cushion would buffer lenders from predatory borrowing and a huge increase in foreclosures if prices were to decline. Home equity in the United States has been declining since the mid 1980s, and it actually declined while prices rose during the Great Housing Bubble due to the rampant equity extraction. The lack of an equity cushion exacerbated the foreclosure</w:t>
      </w:r>
      <w:r w:rsidR="001858B5">
        <w:rPr>
          <w:rFonts w:cs="Times New Roman"/>
        </w:rPr>
        <w:fldChar w:fldCharType="begin"/>
      </w:r>
      <w:r w:rsidR="00F71DE5">
        <w:instrText xml:space="preserve"> XE "</w:instrText>
      </w:r>
      <w:r w:rsidR="00F71DE5" w:rsidRPr="00011F5A">
        <w:rPr>
          <w:rFonts w:cs="Times New Roman"/>
        </w:rPr>
        <w:instrText>foreclosure</w:instrText>
      </w:r>
      <w:r w:rsidR="00F71DE5">
        <w:instrText xml:space="preserve">" </w:instrText>
      </w:r>
      <w:r w:rsidR="001858B5">
        <w:rPr>
          <w:rFonts w:cs="Times New Roman"/>
        </w:rPr>
        <w:fldChar w:fldCharType="end"/>
      </w:r>
      <w:r w:rsidRPr="00124B71">
        <w:rPr>
          <w:rFonts w:cs="Times New Roman"/>
        </w:rPr>
        <w:t xml:space="preserve"> problem as many homeowners who owed more on their mortgage than the house was worth simply stopped making payments and allowed the house to fall into foreclosure.</w:t>
      </w:r>
    </w:p>
    <w:p w14:paraId="5ABDA680" w14:textId="77777777" w:rsidR="00820086" w:rsidRPr="00EF0EDA" w:rsidRDefault="001447B8" w:rsidP="00820086">
      <w:pPr>
        <w:pStyle w:val="Heading2"/>
      </w:pPr>
      <w:bookmarkStart w:id="252" w:name="_Toc238867419"/>
      <w:r>
        <w:t>Summary</w:t>
      </w:r>
      <w:bookmarkEnd w:id="252"/>
    </w:p>
    <w:p w14:paraId="38A973B6" w14:textId="77777777" w:rsidR="00057A74" w:rsidRPr="00124B71" w:rsidRDefault="009A6DE4" w:rsidP="00057A74">
      <w:pPr>
        <w:rPr>
          <w:rFonts w:cs="Times New Roman"/>
        </w:rPr>
      </w:pPr>
      <w:r w:rsidRPr="00124B71">
        <w:rPr>
          <w:rFonts w:cs="Times New Roman"/>
        </w:rPr>
        <w:t>A future bubble in the housing market must be prevented. The economic and personal problems resulting from the deflation</w:t>
      </w:r>
      <w:r w:rsidR="001858B5">
        <w:rPr>
          <w:rFonts w:cs="Times New Roman"/>
        </w:rPr>
        <w:fldChar w:fldCharType="begin"/>
      </w:r>
      <w:r w:rsidR="003247C5">
        <w:instrText xml:space="preserve"> XE "</w:instrText>
      </w:r>
      <w:r w:rsidR="003247C5" w:rsidRPr="00F36AF5">
        <w:rPr>
          <w:rFonts w:cs="Times New Roman"/>
        </w:rPr>
        <w:instrText>deflation</w:instrText>
      </w:r>
      <w:r w:rsidR="003247C5">
        <w:instrText xml:space="preserve">" </w:instrText>
      </w:r>
      <w:r w:rsidR="001858B5">
        <w:rPr>
          <w:rFonts w:cs="Times New Roman"/>
        </w:rPr>
        <w:fldChar w:fldCharType="end"/>
      </w:r>
      <w:r w:rsidRPr="00124B71">
        <w:rPr>
          <w:rFonts w:cs="Times New Roman"/>
        </w:rPr>
        <w:t xml:space="preserve"> of the Great Housing Bubble must not be inflicted on another generation. Just as those who endured the Great Depression</w:t>
      </w:r>
      <w:r w:rsidR="001858B5">
        <w:rPr>
          <w:rFonts w:cs="Times New Roman"/>
        </w:rPr>
        <w:fldChar w:fldCharType="begin"/>
      </w:r>
      <w:r w:rsidR="002321D5">
        <w:instrText xml:space="preserve"> XE "</w:instrText>
      </w:r>
      <w:r w:rsidR="002321D5" w:rsidRPr="00FE6E68">
        <w:rPr>
          <w:rFonts w:cs="Times New Roman"/>
        </w:rPr>
        <w:instrText>Great Depression</w:instrText>
      </w:r>
      <w:r w:rsidR="002321D5">
        <w:instrText xml:space="preserve">" </w:instrText>
      </w:r>
      <w:r w:rsidR="001858B5">
        <w:rPr>
          <w:rFonts w:cs="Times New Roman"/>
        </w:rPr>
        <w:fldChar w:fldCharType="end"/>
      </w:r>
      <w:r w:rsidRPr="00124B71">
        <w:rPr>
          <w:rFonts w:cs="Times New Roman"/>
        </w:rPr>
        <w:t xml:space="preserve"> struggled to understand what went wrong and prevent its reoccurrence, we must prevent another bubble in the housing market. There are both market-based alternatives and regulatory-based policies that could serve to prevent the next housing bubble.</w:t>
      </w:r>
      <w:r w:rsidR="007E7EC6" w:rsidRPr="00124B71">
        <w:rPr>
          <w:rFonts w:cs="Times New Roman"/>
        </w:rPr>
        <w:t xml:space="preserve"> The market based solution proposed herein is to expand the use of the income approach</w:t>
      </w:r>
      <w:r w:rsidR="001858B5">
        <w:rPr>
          <w:rFonts w:cs="Times New Roman"/>
        </w:rPr>
        <w:fldChar w:fldCharType="begin"/>
      </w:r>
      <w:r w:rsidR="003247C5">
        <w:instrText xml:space="preserve"> XE "</w:instrText>
      </w:r>
      <w:r w:rsidR="003247C5" w:rsidRPr="00F97F1B">
        <w:rPr>
          <w:rFonts w:cs="Times New Roman"/>
        </w:rPr>
        <w:instrText>income approach</w:instrText>
      </w:r>
      <w:r w:rsidR="003247C5">
        <w:instrText xml:space="preserve">" </w:instrText>
      </w:r>
      <w:r w:rsidR="001858B5">
        <w:rPr>
          <w:rFonts w:cs="Times New Roman"/>
        </w:rPr>
        <w:fldChar w:fldCharType="end"/>
      </w:r>
      <w:r w:rsidR="007E7EC6" w:rsidRPr="00124B71">
        <w:rPr>
          <w:rFonts w:cs="Times New Roman"/>
        </w:rPr>
        <w:t xml:space="preserve"> to property appraisal to tether prices to fundamental values. The regulatory solution proposed herein is a multifaceted approach that limits lending to within certain standards. The policing mechanism is a shift to civil enforcement through allowing borrowers to obtain debt forgiveness for amounts lent outside of the approved parameters.</w:t>
      </w:r>
    </w:p>
    <w:p w14:paraId="57C8E695" w14:textId="77777777" w:rsidR="0019071F" w:rsidRPr="00124B71" w:rsidRDefault="007E7EC6" w:rsidP="00057A74">
      <w:pPr>
        <w:rPr>
          <w:rFonts w:cs="Times New Roman"/>
        </w:rPr>
      </w:pPr>
      <w:r w:rsidRPr="00124B71">
        <w:rPr>
          <w:rFonts w:cs="Times New Roman"/>
        </w:rPr>
        <w:t xml:space="preserve">The Great Housing Bubble was an epic event impacting the lives of nearly every household in the United States and around the world. At first it was a giant house party fueled by excessive borrowing and spending by homeowners. </w:t>
      </w:r>
      <w:r w:rsidRPr="00124B71">
        <w:rPr>
          <w:rFonts w:cs="Times New Roman"/>
        </w:rPr>
        <w:lastRenderedPageBreak/>
        <w:t xml:space="preserve">The hangover was not pleasant. As of the time of this writing the full history of the fallout is not yet recorded. The decline in prices to this point has been breathtaking and unprecedented. When the full history is written, and the final </w:t>
      </w:r>
      <w:r w:rsidR="00CF4C5E" w:rsidRPr="00124B71">
        <w:rPr>
          <w:rFonts w:cs="Times New Roman"/>
        </w:rPr>
        <w:t>impact</w:t>
      </w:r>
      <w:r w:rsidRPr="00124B71">
        <w:rPr>
          <w:rFonts w:cs="Times New Roman"/>
        </w:rPr>
        <w:t xml:space="preserve"> of the bubble is </w:t>
      </w:r>
      <w:r w:rsidR="00CF4C5E" w:rsidRPr="00124B71">
        <w:rPr>
          <w:rFonts w:cs="Times New Roman"/>
        </w:rPr>
        <w:t>measured</w:t>
      </w:r>
      <w:r w:rsidRPr="00124B71">
        <w:rPr>
          <w:rFonts w:cs="Times New Roman"/>
        </w:rPr>
        <w:t>,</w:t>
      </w:r>
      <w:r w:rsidR="0099680D" w:rsidRPr="00124B71">
        <w:rPr>
          <w:rFonts w:cs="Times New Roman"/>
        </w:rPr>
        <w:t xml:space="preserve"> many will remember the Great Housing Bubble as one of the most important historical events of their lifetime.</w:t>
      </w:r>
      <w:r w:rsidRPr="00124B71">
        <w:rPr>
          <w:rFonts w:cs="Times New Roman"/>
        </w:rPr>
        <w:t xml:space="preserve"> </w:t>
      </w:r>
    </w:p>
    <w:sdt>
      <w:sdtPr>
        <w:rPr>
          <w:rFonts w:cs="Times New Roman"/>
        </w:rPr>
        <w:id w:val="14798583"/>
        <w:docPartObj>
          <w:docPartGallery w:val="Bibliographies"/>
          <w:docPartUnique/>
        </w:docPartObj>
      </w:sdtPr>
      <w:sdtContent>
        <w:p w14:paraId="5142B752" w14:textId="77777777" w:rsidR="009F7B4C" w:rsidRPr="00124B71" w:rsidRDefault="009F7B4C" w:rsidP="00735C29">
          <w:pPr>
            <w:rPr>
              <w:rFonts w:cs="Times New Roman"/>
            </w:rPr>
            <w:sectPr w:rsidR="009F7B4C" w:rsidRPr="00124B71" w:rsidSect="009729DE">
              <w:headerReference w:type="even" r:id="rId107"/>
              <w:headerReference w:type="default" r:id="rId108"/>
              <w:endnotePr>
                <w:numFmt w:val="decimal"/>
              </w:endnotePr>
              <w:type w:val="oddPage"/>
              <w:pgSz w:w="8640" w:h="12960" w:code="173"/>
              <w:pgMar w:top="1008" w:right="936" w:bottom="1080" w:left="936" w:header="504" w:footer="504" w:gutter="0"/>
              <w:cols w:space="720"/>
              <w:titlePg/>
              <w:docGrid w:linePitch="360"/>
            </w:sectPr>
          </w:pPr>
        </w:p>
        <w:p w14:paraId="077FB2CA" w14:textId="77777777" w:rsidR="0019071F" w:rsidRPr="00EF0EDA" w:rsidRDefault="0019071F">
          <w:pPr>
            <w:pStyle w:val="Heading1"/>
          </w:pPr>
          <w:bookmarkStart w:id="253" w:name="_Toc238867420"/>
          <w:r w:rsidRPr="00EF0EDA">
            <w:lastRenderedPageBreak/>
            <w:t>Bibliography</w:t>
          </w:r>
          <w:bookmarkEnd w:id="253"/>
        </w:p>
        <w:sdt>
          <w:sdtPr>
            <w:rPr>
              <w:sz w:val="20"/>
            </w:rPr>
            <w:id w:val="111145805"/>
            <w:bibliography/>
          </w:sdtPr>
          <w:sdtEndPr>
            <w:rPr>
              <w:rFonts w:cs="Times New Roman"/>
            </w:rPr>
          </w:sdtEndPr>
          <w:sdtContent>
            <w:p w14:paraId="36F89185" w14:textId="77777777" w:rsidR="007E3004" w:rsidRDefault="001858B5" w:rsidP="007E3004">
              <w:pPr>
                <w:pStyle w:val="Bibliography"/>
                <w:ind w:left="720" w:hanging="720"/>
                <w:rPr>
                  <w:noProof/>
                  <w:kern w:val="0"/>
                  <w:sz w:val="24"/>
                  <w:szCs w:val="24"/>
                </w:rPr>
              </w:pPr>
              <w:r w:rsidRPr="00124B71">
                <w:rPr>
                  <w:rFonts w:cs="Times New Roman"/>
                </w:rPr>
                <w:fldChar w:fldCharType="begin"/>
              </w:r>
              <w:r w:rsidR="0019071F" w:rsidRPr="00124B71">
                <w:rPr>
                  <w:rFonts w:cs="Times New Roman"/>
                </w:rPr>
                <w:instrText xml:space="preserve"> BIBLIOGRAPHY </w:instrText>
              </w:r>
              <w:r w:rsidRPr="00124B71">
                <w:rPr>
                  <w:rFonts w:cs="Times New Roman"/>
                </w:rPr>
                <w:fldChar w:fldCharType="separate"/>
              </w:r>
              <w:r w:rsidR="007E3004">
                <w:rPr>
                  <w:noProof/>
                </w:rPr>
                <w:t xml:space="preserve">Anderson, R. G., &amp; Gascon, C. S. (2008). </w:t>
              </w:r>
              <w:r w:rsidR="007E3004">
                <w:rPr>
                  <w:i/>
                  <w:iCs/>
                  <w:noProof/>
                </w:rPr>
                <w:t>Offshoring, Economic Insecurity, and the Demand for Social Insurance.</w:t>
              </w:r>
              <w:r w:rsidR="007E3004">
                <w:rPr>
                  <w:noProof/>
                </w:rPr>
                <w:t xml:space="preserve"> St, Louis, MO: Federal Reserve Bank of St. Louis.</w:t>
              </w:r>
            </w:p>
            <w:p w14:paraId="78F36977" w14:textId="77777777" w:rsidR="007E3004" w:rsidRDefault="007E3004" w:rsidP="007E3004">
              <w:pPr>
                <w:pStyle w:val="Bibliography"/>
                <w:ind w:left="720" w:hanging="720"/>
                <w:rPr>
                  <w:noProof/>
                </w:rPr>
              </w:pPr>
              <w:r>
                <w:rPr>
                  <w:noProof/>
                </w:rPr>
                <w:t xml:space="preserve">Ashcraft, A. B., &amp; Schuermann, T. (2008). </w:t>
              </w:r>
              <w:r>
                <w:rPr>
                  <w:i/>
                  <w:iCs/>
                  <w:noProof/>
                </w:rPr>
                <w:t>Understanding the Securitization of Subprime Mortgage Credit.</w:t>
              </w:r>
              <w:r>
                <w:rPr>
                  <w:noProof/>
                </w:rPr>
                <w:t xml:space="preserve"> New York, NY: Federal Reserve Bank of New York.</w:t>
              </w:r>
            </w:p>
            <w:p w14:paraId="2D21E561" w14:textId="77777777" w:rsidR="007E3004" w:rsidRDefault="007E3004" w:rsidP="007E3004">
              <w:pPr>
                <w:pStyle w:val="Bibliography"/>
                <w:ind w:left="720" w:hanging="720"/>
                <w:rPr>
                  <w:noProof/>
                </w:rPr>
              </w:pPr>
              <w:r>
                <w:rPr>
                  <w:noProof/>
                </w:rPr>
                <w:t xml:space="preserve">Baker, D. (2002). The Run-up in Home Prices: a Bubble. </w:t>
              </w:r>
              <w:r>
                <w:rPr>
                  <w:i/>
                  <w:iCs/>
                  <w:noProof/>
                </w:rPr>
                <w:t>Challenge</w:t>
              </w:r>
              <w:r>
                <w:rPr>
                  <w:noProof/>
                </w:rPr>
                <w:t>, 93+.</w:t>
              </w:r>
            </w:p>
            <w:p w14:paraId="08698A57" w14:textId="77777777" w:rsidR="007E3004" w:rsidRDefault="007E3004" w:rsidP="007E3004">
              <w:pPr>
                <w:pStyle w:val="Bibliography"/>
                <w:ind w:left="720" w:hanging="720"/>
                <w:rPr>
                  <w:noProof/>
                </w:rPr>
              </w:pPr>
              <w:r>
                <w:rPr>
                  <w:noProof/>
                </w:rPr>
                <w:t xml:space="preserve">Baker, K., &amp; Kaul, B. (2002). Using Multiperiod Variables in the Analysis of Home Improvement Decisions by Homeowners. </w:t>
              </w:r>
              <w:r>
                <w:rPr>
                  <w:i/>
                  <w:iCs/>
                  <w:noProof/>
                </w:rPr>
                <w:t>Real Estate Economics</w:t>
              </w:r>
              <w:r>
                <w:rPr>
                  <w:noProof/>
                </w:rPr>
                <w:t>, 551+.</w:t>
              </w:r>
            </w:p>
            <w:p w14:paraId="53ECE5C0" w14:textId="77777777" w:rsidR="007E3004" w:rsidRDefault="007E3004" w:rsidP="007E3004">
              <w:pPr>
                <w:pStyle w:val="Bibliography"/>
                <w:ind w:left="720" w:hanging="720"/>
                <w:rPr>
                  <w:noProof/>
                </w:rPr>
              </w:pPr>
              <w:r>
                <w:rPr>
                  <w:noProof/>
                </w:rPr>
                <w:t xml:space="preserve">Balen, M. (2003). </w:t>
              </w:r>
              <w:r>
                <w:rPr>
                  <w:i/>
                  <w:iCs/>
                  <w:noProof/>
                </w:rPr>
                <w:t>The Secret History of the South Sea Bubble.</w:t>
              </w:r>
              <w:r>
                <w:rPr>
                  <w:noProof/>
                </w:rPr>
                <w:t xml:space="preserve"> New York, NY: HarperCollins Publishers Inc.</w:t>
              </w:r>
            </w:p>
            <w:p w14:paraId="4236CECA" w14:textId="77777777" w:rsidR="007E3004" w:rsidRDefault="007E3004" w:rsidP="007E3004">
              <w:pPr>
                <w:pStyle w:val="Bibliography"/>
                <w:ind w:left="720" w:hanging="720"/>
                <w:rPr>
                  <w:noProof/>
                </w:rPr>
              </w:pPr>
              <w:r>
                <w:rPr>
                  <w:noProof/>
                </w:rPr>
                <w:t xml:space="preserve">Bernanke, B. (2007). The Economic Outlook. </w:t>
              </w:r>
              <w:r>
                <w:rPr>
                  <w:i/>
                  <w:iCs/>
                  <w:noProof/>
                </w:rPr>
                <w:t>Before the Joint Economic Committee, U.S. Congress</w:t>
              </w:r>
              <w:r>
                <w:rPr>
                  <w:noProof/>
                </w:rPr>
                <w:t xml:space="preserve"> (p. 1). Washington, D.C.: Board of Governers of the Federal Reserve.</w:t>
              </w:r>
            </w:p>
            <w:p w14:paraId="4BA805A1" w14:textId="77777777" w:rsidR="007E3004" w:rsidRDefault="007E3004" w:rsidP="007E3004">
              <w:pPr>
                <w:pStyle w:val="Bibliography"/>
                <w:ind w:left="720" w:hanging="720"/>
                <w:rPr>
                  <w:noProof/>
                </w:rPr>
              </w:pPr>
              <w:r>
                <w:rPr>
                  <w:noProof/>
                </w:rPr>
                <w:t xml:space="preserve">Bernanke, B. S. (1999). </w:t>
              </w:r>
              <w:r>
                <w:rPr>
                  <w:i/>
                  <w:iCs/>
                  <w:noProof/>
                </w:rPr>
                <w:t>Japanese Monetary Policy: A Case of Self-Induced Paralysis.</w:t>
              </w:r>
              <w:r>
                <w:rPr>
                  <w:noProof/>
                </w:rPr>
                <w:t xml:space="preserve"> Washington, DC: Institute for International Economics.</w:t>
              </w:r>
            </w:p>
            <w:p w14:paraId="07ECE10F" w14:textId="77777777" w:rsidR="007E3004" w:rsidRDefault="007E3004" w:rsidP="007E3004">
              <w:pPr>
                <w:pStyle w:val="Bibliography"/>
                <w:ind w:left="720" w:hanging="720"/>
                <w:rPr>
                  <w:noProof/>
                </w:rPr>
              </w:pPr>
              <w:r>
                <w:rPr>
                  <w:noProof/>
                </w:rPr>
                <w:t xml:space="preserve">Bernanke, B. S. (2008). Reducing Preventable Mortgage Foreclosures. </w:t>
              </w:r>
              <w:r>
                <w:rPr>
                  <w:i/>
                  <w:iCs/>
                  <w:noProof/>
                </w:rPr>
                <w:t>Independent Community Bankers of America Annual Convention</w:t>
              </w:r>
              <w:r>
                <w:rPr>
                  <w:noProof/>
                </w:rPr>
                <w:t xml:space="preserve"> (p. 1). Orlando, FL: Board of Governors of the Federal Reserve System.</w:t>
              </w:r>
            </w:p>
            <w:p w14:paraId="2582C1AF" w14:textId="77777777" w:rsidR="007E3004" w:rsidRDefault="007E3004" w:rsidP="007E3004">
              <w:pPr>
                <w:pStyle w:val="Bibliography"/>
                <w:ind w:left="720" w:hanging="720"/>
                <w:rPr>
                  <w:noProof/>
                </w:rPr>
              </w:pPr>
              <w:r>
                <w:rPr>
                  <w:noProof/>
                </w:rPr>
                <w:t xml:space="preserve">Bernanke, B. S., &amp; Boivin, J. (2002). </w:t>
              </w:r>
              <w:r>
                <w:rPr>
                  <w:i/>
                  <w:iCs/>
                  <w:noProof/>
                </w:rPr>
                <w:t>Monetary Policy in a Data-Rich Environment.</w:t>
              </w:r>
              <w:r>
                <w:rPr>
                  <w:noProof/>
                </w:rPr>
                <w:t xml:space="preserve"> Princeton, NJ: Princeton University.</w:t>
              </w:r>
            </w:p>
            <w:p w14:paraId="244D2A1F" w14:textId="77777777" w:rsidR="007E3004" w:rsidRDefault="007E3004" w:rsidP="007E3004">
              <w:pPr>
                <w:pStyle w:val="Bibliography"/>
                <w:ind w:left="720" w:hanging="720"/>
                <w:rPr>
                  <w:noProof/>
                </w:rPr>
              </w:pPr>
              <w:r>
                <w:rPr>
                  <w:noProof/>
                </w:rPr>
                <w:t xml:space="preserve">Bernanke, B. S., &amp; Gertler, M. (2000). </w:t>
              </w:r>
              <w:r>
                <w:rPr>
                  <w:i/>
                  <w:iCs/>
                  <w:noProof/>
                </w:rPr>
                <w:t>Should Central Banks Respond to Movements in Asset Prices?</w:t>
              </w:r>
              <w:r>
                <w:rPr>
                  <w:noProof/>
                </w:rPr>
                <w:t xml:space="preserve"> Princeton, NJ : Princeton University.</w:t>
              </w:r>
            </w:p>
            <w:p w14:paraId="3F55AF0B" w14:textId="77777777" w:rsidR="007E3004" w:rsidRDefault="007E3004" w:rsidP="007E3004">
              <w:pPr>
                <w:pStyle w:val="Bibliography"/>
                <w:ind w:left="720" w:hanging="720"/>
                <w:rPr>
                  <w:noProof/>
                </w:rPr>
              </w:pPr>
              <w:r>
                <w:rPr>
                  <w:noProof/>
                </w:rPr>
                <w:t xml:space="preserve">Bikhchandani, S., Hirshleifer, D., &amp; Welch, I. (1998). Learning from the Behavior of Others: Conformity, Fads, and Informational Cascades. </w:t>
              </w:r>
              <w:r>
                <w:rPr>
                  <w:i/>
                  <w:iCs/>
                  <w:noProof/>
                </w:rPr>
                <w:t>The Journal of Economic Perspectives</w:t>
              </w:r>
              <w:r>
                <w:rPr>
                  <w:noProof/>
                </w:rPr>
                <w:t>, 26.</w:t>
              </w:r>
            </w:p>
            <w:p w14:paraId="55291349" w14:textId="77777777" w:rsidR="007E3004" w:rsidRDefault="007E3004" w:rsidP="007E3004">
              <w:pPr>
                <w:pStyle w:val="Bibliography"/>
                <w:ind w:left="720" w:hanging="720"/>
                <w:rPr>
                  <w:noProof/>
                </w:rPr>
              </w:pPr>
              <w:r>
                <w:rPr>
                  <w:noProof/>
                </w:rPr>
                <w:t xml:space="preserve">Black, A., Fraser, P., &amp; Hoesli, M. (2006). House Prices, Fuindamentals and Bubbles. </w:t>
              </w:r>
              <w:r>
                <w:rPr>
                  <w:i/>
                  <w:iCs/>
                  <w:noProof/>
                </w:rPr>
                <w:t>Journal of Business Finance &amp; Accounting</w:t>
              </w:r>
              <w:r>
                <w:rPr>
                  <w:noProof/>
                </w:rPr>
                <w:t>, 1535+.</w:t>
              </w:r>
            </w:p>
            <w:p w14:paraId="23D5ACA4" w14:textId="77777777" w:rsidR="007E3004" w:rsidRDefault="007E3004" w:rsidP="007E3004">
              <w:pPr>
                <w:pStyle w:val="Bibliography"/>
                <w:ind w:left="720" w:hanging="720"/>
                <w:rPr>
                  <w:noProof/>
                </w:rPr>
              </w:pPr>
              <w:r>
                <w:rPr>
                  <w:noProof/>
                </w:rPr>
                <w:t xml:space="preserve">Boucher, M. (1999). </w:t>
              </w:r>
              <w:r>
                <w:rPr>
                  <w:i/>
                  <w:iCs/>
                  <w:noProof/>
                </w:rPr>
                <w:t>The Hedge Fund Edge.</w:t>
              </w:r>
              <w:r>
                <w:rPr>
                  <w:noProof/>
                </w:rPr>
                <w:t xml:space="preserve"> New York, NY: John Wiley &amp; Sons, Inc.</w:t>
              </w:r>
            </w:p>
            <w:p w14:paraId="574CD03D" w14:textId="77777777" w:rsidR="007E3004" w:rsidRDefault="007E3004" w:rsidP="007E3004">
              <w:pPr>
                <w:pStyle w:val="Bibliography"/>
                <w:ind w:left="720" w:hanging="720"/>
                <w:rPr>
                  <w:noProof/>
                </w:rPr>
              </w:pPr>
              <w:r>
                <w:rPr>
                  <w:noProof/>
                </w:rPr>
                <w:t xml:space="preserve">Boykin, J. H., &amp; Haney, R. L. (1997). </w:t>
              </w:r>
              <w:r>
                <w:rPr>
                  <w:i/>
                  <w:iCs/>
                  <w:noProof/>
                </w:rPr>
                <w:t>Financing Real Estate.</w:t>
              </w:r>
              <w:r>
                <w:rPr>
                  <w:noProof/>
                </w:rPr>
                <w:t xml:space="preserve"> Prentice Hall College Division.</w:t>
              </w:r>
            </w:p>
            <w:p w14:paraId="38DDAAFF" w14:textId="77777777" w:rsidR="007E3004" w:rsidRDefault="007E3004" w:rsidP="007E3004">
              <w:pPr>
                <w:pStyle w:val="Bibliography"/>
                <w:ind w:left="720" w:hanging="720"/>
                <w:rPr>
                  <w:noProof/>
                </w:rPr>
              </w:pPr>
              <w:r>
                <w:rPr>
                  <w:noProof/>
                </w:rPr>
                <w:lastRenderedPageBreak/>
                <w:t xml:space="preserve">Brown, S. J. (2006). How Critical Is the Housing Market? </w:t>
              </w:r>
              <w:r>
                <w:rPr>
                  <w:i/>
                  <w:iCs/>
                  <w:noProof/>
                </w:rPr>
                <w:t>ABA Banking Journal</w:t>
              </w:r>
              <w:r>
                <w:rPr>
                  <w:noProof/>
                </w:rPr>
                <w:t>, 64.</w:t>
              </w:r>
            </w:p>
            <w:p w14:paraId="2AF5D5A0" w14:textId="77777777" w:rsidR="007E3004" w:rsidRDefault="007E3004" w:rsidP="007E3004">
              <w:pPr>
                <w:pStyle w:val="Bibliography"/>
                <w:ind w:left="720" w:hanging="720"/>
                <w:rPr>
                  <w:noProof/>
                </w:rPr>
              </w:pPr>
              <w:r>
                <w:rPr>
                  <w:noProof/>
                </w:rPr>
                <w:t xml:space="preserve">Buffet, W. (2002). </w:t>
              </w:r>
              <w:r>
                <w:rPr>
                  <w:i/>
                  <w:iCs/>
                  <w:noProof/>
                </w:rPr>
                <w:t>Berkshire Hathaway annual report for 2002.</w:t>
              </w:r>
              <w:r>
                <w:rPr>
                  <w:noProof/>
                </w:rPr>
                <w:t xml:space="preserve"> Omaha, NE: Berkshire Hathaway.</w:t>
              </w:r>
            </w:p>
            <w:p w14:paraId="34111E90" w14:textId="77777777" w:rsidR="007E3004" w:rsidRDefault="007E3004" w:rsidP="007E3004">
              <w:pPr>
                <w:pStyle w:val="Bibliography"/>
                <w:ind w:left="720" w:hanging="720"/>
                <w:rPr>
                  <w:noProof/>
                </w:rPr>
              </w:pPr>
              <w:r>
                <w:rPr>
                  <w:noProof/>
                </w:rPr>
                <w:t xml:space="preserve">Burdekin, R. C., &amp; Siklos, P. L. (2004). </w:t>
              </w:r>
              <w:r>
                <w:rPr>
                  <w:i/>
                  <w:iCs/>
                  <w:noProof/>
                </w:rPr>
                <w:t>Deflation: Current and Historical Perspectives (Studies in Macroeconomic History) .</w:t>
              </w:r>
              <w:r>
                <w:rPr>
                  <w:noProof/>
                </w:rPr>
                <w:t xml:space="preserve"> New York, NY: Cambridge University Press.</w:t>
              </w:r>
            </w:p>
            <w:p w14:paraId="0FCE4013" w14:textId="77777777" w:rsidR="007E3004" w:rsidRDefault="007E3004" w:rsidP="007E3004">
              <w:pPr>
                <w:pStyle w:val="Bibliography"/>
                <w:ind w:left="720" w:hanging="720"/>
                <w:rPr>
                  <w:noProof/>
                </w:rPr>
              </w:pPr>
              <w:r>
                <w:rPr>
                  <w:noProof/>
                </w:rPr>
                <w:t xml:space="preserve">BusinessWeek Magazine . (2006, September 11). Nightmare Mortgages. </w:t>
              </w:r>
              <w:r>
                <w:rPr>
                  <w:i/>
                  <w:iCs/>
                  <w:noProof/>
                </w:rPr>
                <w:t>BusinessWeek</w:t>
              </w:r>
              <w:r>
                <w:rPr>
                  <w:noProof/>
                </w:rPr>
                <w:t>, p. 1.</w:t>
              </w:r>
            </w:p>
            <w:p w14:paraId="767CD07F" w14:textId="77777777" w:rsidR="007E3004" w:rsidRDefault="007E3004" w:rsidP="007E3004">
              <w:pPr>
                <w:pStyle w:val="Bibliography"/>
                <w:ind w:left="720" w:hanging="720"/>
                <w:rPr>
                  <w:noProof/>
                </w:rPr>
              </w:pPr>
              <w:r>
                <w:rPr>
                  <w:noProof/>
                </w:rPr>
                <w:t xml:space="preserve">Campbell, S. D., Davis, M. A., Gallin, J., &amp; Martin, R. F. (2005). </w:t>
              </w:r>
              <w:r>
                <w:rPr>
                  <w:i/>
                  <w:iCs/>
                  <w:noProof/>
                </w:rPr>
                <w:t>A Trend and Variance Decomposition of the Rent-Price Ratio in Housing Markets.</w:t>
              </w:r>
              <w:r>
                <w:rPr>
                  <w:noProof/>
                </w:rPr>
                <w:t xml:space="preserve"> Washington, DC: Board of Governors of the Federal Reserve System.</w:t>
              </w:r>
            </w:p>
            <w:p w14:paraId="2D578FCC" w14:textId="77777777" w:rsidR="007E3004" w:rsidRDefault="007E3004" w:rsidP="007E3004">
              <w:pPr>
                <w:pStyle w:val="Bibliography"/>
                <w:ind w:left="720" w:hanging="720"/>
                <w:rPr>
                  <w:noProof/>
                </w:rPr>
              </w:pPr>
              <w:r>
                <w:rPr>
                  <w:noProof/>
                </w:rPr>
                <w:t xml:space="preserve">Cannon, S., Miller, N. G., &amp; Pandher, G. S. (2006). Risk and Return in the U.S. Housing Market: A Cross-Sectional Asset-Pricing Approach. </w:t>
              </w:r>
              <w:r>
                <w:rPr>
                  <w:i/>
                  <w:iCs/>
                  <w:noProof/>
                </w:rPr>
                <w:t>Real Estate Economics</w:t>
              </w:r>
              <w:r>
                <w:rPr>
                  <w:noProof/>
                </w:rPr>
                <w:t>, 519+.</w:t>
              </w:r>
            </w:p>
            <w:p w14:paraId="13346219" w14:textId="77777777" w:rsidR="007E3004" w:rsidRDefault="007E3004" w:rsidP="007E3004">
              <w:pPr>
                <w:pStyle w:val="Bibliography"/>
                <w:ind w:left="720" w:hanging="720"/>
                <w:rPr>
                  <w:noProof/>
                </w:rPr>
              </w:pPr>
              <w:r>
                <w:rPr>
                  <w:noProof/>
                </w:rPr>
                <w:t xml:space="preserve">Capell, P. (2004). Eight Tips for Buyers Making Competitive Bids. </w:t>
              </w:r>
              <w:r>
                <w:rPr>
                  <w:i/>
                  <w:iCs/>
                  <w:noProof/>
                </w:rPr>
                <w:t>Real Estate Journal.com</w:t>
              </w:r>
              <w:r>
                <w:rPr>
                  <w:noProof/>
                </w:rPr>
                <w:t>, p. 1.</w:t>
              </w:r>
            </w:p>
            <w:p w14:paraId="5BA41C84" w14:textId="77777777" w:rsidR="007E3004" w:rsidRDefault="007E3004" w:rsidP="007E3004">
              <w:pPr>
                <w:pStyle w:val="Bibliography"/>
                <w:ind w:left="720" w:hanging="720"/>
                <w:rPr>
                  <w:noProof/>
                </w:rPr>
              </w:pPr>
              <w:r>
                <w:rPr>
                  <w:noProof/>
                </w:rPr>
                <w:t xml:space="preserve">Capra, F. (Director). (1946). </w:t>
              </w:r>
              <w:r>
                <w:rPr>
                  <w:i/>
                  <w:iCs/>
                  <w:noProof/>
                </w:rPr>
                <w:t>It's a Wonderful Life</w:t>
              </w:r>
              <w:r>
                <w:rPr>
                  <w:noProof/>
                </w:rPr>
                <w:t xml:space="preserve"> [Motion Picture].</w:t>
              </w:r>
            </w:p>
            <w:p w14:paraId="41E6E013" w14:textId="77777777" w:rsidR="007E3004" w:rsidRDefault="007E3004" w:rsidP="007E3004">
              <w:pPr>
                <w:pStyle w:val="Bibliography"/>
                <w:ind w:left="720" w:hanging="720"/>
                <w:rPr>
                  <w:noProof/>
                </w:rPr>
              </w:pPr>
              <w:r>
                <w:rPr>
                  <w:noProof/>
                </w:rPr>
                <w:t xml:space="preserve">Carter, J. (2006). </w:t>
              </w:r>
              <w:r>
                <w:rPr>
                  <w:i/>
                  <w:iCs/>
                  <w:noProof/>
                </w:rPr>
                <w:t>Mastering the Trade.</w:t>
              </w:r>
              <w:r>
                <w:rPr>
                  <w:noProof/>
                </w:rPr>
                <w:t xml:space="preserve"> New York, NY: McGraw-Hill, Inc.</w:t>
              </w:r>
            </w:p>
            <w:p w14:paraId="512F16DD" w14:textId="77777777" w:rsidR="007E3004" w:rsidRDefault="007E3004" w:rsidP="007E3004">
              <w:pPr>
                <w:pStyle w:val="Bibliography"/>
                <w:ind w:left="720" w:hanging="720"/>
                <w:rPr>
                  <w:noProof/>
                </w:rPr>
              </w:pPr>
              <w:r>
                <w:rPr>
                  <w:noProof/>
                </w:rPr>
                <w:t xml:space="preserve">Case, K. E., &amp; Shiller, R. J. (1988). </w:t>
              </w:r>
              <w:r>
                <w:rPr>
                  <w:i/>
                  <w:iCs/>
                  <w:noProof/>
                </w:rPr>
                <w:t>The Behavior of Home Buyers in Boom and Post-Boom Markets.</w:t>
              </w:r>
              <w:r>
                <w:rPr>
                  <w:noProof/>
                </w:rPr>
                <w:t xml:space="preserve"> New Haven, CT: Cowles Foundation for Research in Economics, Yale University.</w:t>
              </w:r>
            </w:p>
            <w:p w14:paraId="168CED96" w14:textId="77777777" w:rsidR="007E3004" w:rsidRDefault="007E3004" w:rsidP="007E3004">
              <w:pPr>
                <w:pStyle w:val="Bibliography"/>
                <w:ind w:left="720" w:hanging="720"/>
                <w:rPr>
                  <w:noProof/>
                </w:rPr>
              </w:pPr>
              <w:r>
                <w:rPr>
                  <w:noProof/>
                </w:rPr>
                <w:t xml:space="preserve">Case, K. E., &amp; Shiller, R. J. (2004). </w:t>
              </w:r>
              <w:r>
                <w:rPr>
                  <w:i/>
                  <w:iCs/>
                  <w:noProof/>
                </w:rPr>
                <w:t>Is There a Bubble in the Housing Market.</w:t>
              </w:r>
              <w:r>
                <w:rPr>
                  <w:noProof/>
                </w:rPr>
                <w:t xml:space="preserve"> New Haven, CT: Cowles Foundation for Research in Economics, Yale University.</w:t>
              </w:r>
            </w:p>
            <w:p w14:paraId="37834A0A" w14:textId="77777777" w:rsidR="007E3004" w:rsidRDefault="007E3004" w:rsidP="007E3004">
              <w:pPr>
                <w:pStyle w:val="Bibliography"/>
                <w:ind w:left="720" w:hanging="720"/>
                <w:rPr>
                  <w:noProof/>
                </w:rPr>
              </w:pPr>
              <w:r>
                <w:rPr>
                  <w:noProof/>
                </w:rPr>
                <w:t xml:space="preserve">Chambers, M. S., Garriga, C., &amp; Schlagenhauf, D. (2007). </w:t>
              </w:r>
              <w:r>
                <w:rPr>
                  <w:i/>
                  <w:iCs/>
                  <w:noProof/>
                </w:rPr>
                <w:t>Mortgage Contracts and Housing Tenure Decisions.</w:t>
              </w:r>
              <w:r>
                <w:rPr>
                  <w:noProof/>
                </w:rPr>
                <w:t xml:space="preserve"> St. Louis, MO: Federal Reserve Bank of St. Louis.</w:t>
              </w:r>
            </w:p>
            <w:p w14:paraId="42BC4477" w14:textId="77777777" w:rsidR="007E3004" w:rsidRDefault="007E3004" w:rsidP="007E3004">
              <w:pPr>
                <w:pStyle w:val="Bibliography"/>
                <w:ind w:left="720" w:hanging="720"/>
                <w:rPr>
                  <w:noProof/>
                </w:rPr>
              </w:pPr>
              <w:r>
                <w:rPr>
                  <w:noProof/>
                </w:rPr>
                <w:t xml:space="preserve">Chambers, M., Garriga, C., &amp; Schlagenhauf, D. E. (2007). </w:t>
              </w:r>
              <w:r>
                <w:rPr>
                  <w:i/>
                  <w:iCs/>
                  <w:noProof/>
                </w:rPr>
                <w:t>Accounting for Changes in the Homeownership Rate.</w:t>
              </w:r>
              <w:r>
                <w:rPr>
                  <w:noProof/>
                </w:rPr>
                <w:t xml:space="preserve"> St. Louis, MO: Federal Reserve Bank of St. Louis.</w:t>
              </w:r>
            </w:p>
            <w:p w14:paraId="4B9B531C" w14:textId="77777777" w:rsidR="007E3004" w:rsidRDefault="007E3004" w:rsidP="007E3004">
              <w:pPr>
                <w:pStyle w:val="Bibliography"/>
                <w:ind w:left="720" w:hanging="720"/>
                <w:rPr>
                  <w:noProof/>
                </w:rPr>
              </w:pPr>
              <w:r>
                <w:rPr>
                  <w:noProof/>
                </w:rPr>
                <w:t xml:space="preserve">Chomsisengphet, S., &amp; Pennington-Cross, A. (2006). </w:t>
              </w:r>
              <w:r>
                <w:rPr>
                  <w:i/>
                  <w:iCs/>
                  <w:noProof/>
                </w:rPr>
                <w:t>Subprime Refinancing: Equity Extraction and Mortgage Termination.</w:t>
              </w:r>
              <w:r>
                <w:rPr>
                  <w:noProof/>
                </w:rPr>
                <w:t xml:space="preserve"> St. Louis, MO: Federal Reserve Bank of St. Louis.</w:t>
              </w:r>
            </w:p>
            <w:p w14:paraId="20D036C2" w14:textId="77777777" w:rsidR="007E3004" w:rsidRDefault="007E3004" w:rsidP="007E3004">
              <w:pPr>
                <w:pStyle w:val="Bibliography"/>
                <w:ind w:left="720" w:hanging="720"/>
                <w:rPr>
                  <w:noProof/>
                </w:rPr>
              </w:pPr>
              <w:r>
                <w:rPr>
                  <w:noProof/>
                </w:rPr>
                <w:t xml:space="preserve">Credit Suisse. (2007). </w:t>
              </w:r>
              <w:r>
                <w:rPr>
                  <w:i/>
                  <w:iCs/>
                  <w:noProof/>
                </w:rPr>
                <w:t>Mortgage Liquidity du Jour: Underestimated No More.</w:t>
              </w:r>
              <w:r>
                <w:rPr>
                  <w:noProof/>
                </w:rPr>
                <w:t xml:space="preserve"> Credit Suisse Equity Research.</w:t>
              </w:r>
            </w:p>
            <w:p w14:paraId="6ED1854B" w14:textId="77777777" w:rsidR="007E3004" w:rsidRDefault="007E3004" w:rsidP="007E3004">
              <w:pPr>
                <w:pStyle w:val="Bibliography"/>
                <w:ind w:left="720" w:hanging="720"/>
                <w:rPr>
                  <w:noProof/>
                </w:rPr>
              </w:pPr>
              <w:r>
                <w:rPr>
                  <w:noProof/>
                </w:rPr>
                <w:t xml:space="preserve">Crone, T. M., &amp; Nakamura, L. I. (2004). </w:t>
              </w:r>
              <w:r>
                <w:rPr>
                  <w:i/>
                  <w:iCs/>
                  <w:noProof/>
                </w:rPr>
                <w:t>Hedonic Estimates of the Cost of Housing Services -- Rental and Owner-Occupied Units.</w:t>
              </w:r>
              <w:r>
                <w:rPr>
                  <w:noProof/>
                </w:rPr>
                <w:t xml:space="preserve"> Philadelphia, PA: Federal Reserve Bank of Philadelphia.</w:t>
              </w:r>
            </w:p>
            <w:p w14:paraId="76F37FC2" w14:textId="77777777" w:rsidR="007E3004" w:rsidRDefault="007E3004" w:rsidP="007E3004">
              <w:pPr>
                <w:pStyle w:val="Bibliography"/>
                <w:ind w:left="720" w:hanging="720"/>
                <w:rPr>
                  <w:noProof/>
                </w:rPr>
              </w:pPr>
              <w:r>
                <w:rPr>
                  <w:noProof/>
                </w:rPr>
                <w:t xml:space="preserve">Dalton, J. F., Jones, E. T., &amp; Dalton, R. B. (1999). </w:t>
              </w:r>
              <w:r>
                <w:rPr>
                  <w:i/>
                  <w:iCs/>
                  <w:noProof/>
                </w:rPr>
                <w:t>Mind over Markets.</w:t>
              </w:r>
              <w:r>
                <w:rPr>
                  <w:noProof/>
                </w:rPr>
                <w:t xml:space="preserve"> Greenville, SC: Traders Press, Inc.</w:t>
              </w:r>
            </w:p>
            <w:p w14:paraId="76793CDE" w14:textId="77777777" w:rsidR="007E3004" w:rsidRDefault="007E3004" w:rsidP="007E3004">
              <w:pPr>
                <w:pStyle w:val="Bibliography"/>
                <w:ind w:left="720" w:hanging="720"/>
                <w:rPr>
                  <w:noProof/>
                </w:rPr>
              </w:pPr>
              <w:r>
                <w:rPr>
                  <w:noProof/>
                </w:rPr>
                <w:t>Daniel, K., Hirshleifer, D., &amp; Subrahmanyam, A. (1998). Ivestor Psychology and Security Market Under- and Overreactions. 58.</w:t>
              </w:r>
            </w:p>
            <w:p w14:paraId="2421198B" w14:textId="77777777" w:rsidR="007E3004" w:rsidRDefault="007E3004" w:rsidP="007E3004">
              <w:pPr>
                <w:pStyle w:val="Bibliography"/>
                <w:ind w:left="720" w:hanging="720"/>
                <w:rPr>
                  <w:noProof/>
                </w:rPr>
              </w:pPr>
              <w:r>
                <w:rPr>
                  <w:noProof/>
                </w:rPr>
                <w:t xml:space="preserve">Das, S. (2005). </w:t>
              </w:r>
              <w:r>
                <w:rPr>
                  <w:i/>
                  <w:iCs/>
                  <w:noProof/>
                </w:rPr>
                <w:t>Credit Derivatives: CDOs and Structured Credit Products.</w:t>
              </w:r>
              <w:r>
                <w:rPr>
                  <w:noProof/>
                </w:rPr>
                <w:t xml:space="preserve"> New York, NY: John Wiley &amp; Sons, Inc.</w:t>
              </w:r>
            </w:p>
            <w:p w14:paraId="24DDBDF1" w14:textId="77777777" w:rsidR="007E3004" w:rsidRDefault="007E3004" w:rsidP="007E3004">
              <w:pPr>
                <w:pStyle w:val="Bibliography"/>
                <w:ind w:left="720" w:hanging="720"/>
                <w:rPr>
                  <w:noProof/>
                </w:rPr>
              </w:pPr>
              <w:r>
                <w:rPr>
                  <w:noProof/>
                </w:rPr>
                <w:lastRenderedPageBreak/>
                <w:t xml:space="preserve">Davis, M. A., &amp; Palumbo, M. G. (2006). </w:t>
              </w:r>
              <w:r>
                <w:rPr>
                  <w:i/>
                  <w:iCs/>
                  <w:noProof/>
                </w:rPr>
                <w:t>The Price of Residential Land in Large U.S. Cities.</w:t>
              </w:r>
              <w:r>
                <w:rPr>
                  <w:noProof/>
                </w:rPr>
                <w:t xml:space="preserve"> Washington, D.C.: Federal Reserve Board.</w:t>
              </w:r>
            </w:p>
            <w:p w14:paraId="69CC9539" w14:textId="77777777" w:rsidR="007E3004" w:rsidRDefault="007E3004" w:rsidP="007E3004">
              <w:pPr>
                <w:pStyle w:val="Bibliography"/>
                <w:ind w:left="720" w:hanging="720"/>
                <w:rPr>
                  <w:noProof/>
                </w:rPr>
              </w:pPr>
              <w:r>
                <w:rPr>
                  <w:noProof/>
                </w:rPr>
                <w:t xml:space="preserve">Davis, M., &amp; Heathcote, J. (2003). </w:t>
              </w:r>
              <w:r>
                <w:rPr>
                  <w:i/>
                  <w:iCs/>
                  <w:noProof/>
                </w:rPr>
                <w:t>Housing and the Business Cycle.</w:t>
              </w:r>
              <w:r>
                <w:rPr>
                  <w:noProof/>
                </w:rPr>
                <w:t xml:space="preserve"> Washington, DC: Board of Governors of the Federal Reserve System.</w:t>
              </w:r>
            </w:p>
            <w:p w14:paraId="6885A144" w14:textId="77777777" w:rsidR="007E3004" w:rsidRDefault="007E3004" w:rsidP="007E3004">
              <w:pPr>
                <w:pStyle w:val="Bibliography"/>
                <w:ind w:left="720" w:hanging="720"/>
                <w:rPr>
                  <w:noProof/>
                </w:rPr>
              </w:pPr>
              <w:r>
                <w:rPr>
                  <w:noProof/>
                </w:rPr>
                <w:t xml:space="preserve">Deming, W. E. (2000). </w:t>
              </w:r>
              <w:r>
                <w:rPr>
                  <w:i/>
                  <w:iCs/>
                  <w:noProof/>
                </w:rPr>
                <w:t>The New Economics for Industry, Government, Education - 2nd Edition.</w:t>
              </w:r>
              <w:r>
                <w:rPr>
                  <w:noProof/>
                </w:rPr>
                <w:t xml:space="preserve"> Boston, MA: The MIT Press.</w:t>
              </w:r>
            </w:p>
            <w:p w14:paraId="6988ADAE" w14:textId="77777777" w:rsidR="007E3004" w:rsidRDefault="007E3004" w:rsidP="007E3004">
              <w:pPr>
                <w:pStyle w:val="Bibliography"/>
                <w:ind w:left="720" w:hanging="720"/>
                <w:rPr>
                  <w:noProof/>
                </w:rPr>
              </w:pPr>
              <w:r>
                <w:rPr>
                  <w:noProof/>
                </w:rPr>
                <w:t xml:space="preserve">Deng, Y., &amp; Gabriel, S. (2006). Risk-Based Pricing and the Enhancement of Mortgage Credit Availability among Underserved and Higher Credit-Risk Populations. </w:t>
              </w:r>
              <w:r>
                <w:rPr>
                  <w:i/>
                  <w:iCs/>
                  <w:noProof/>
                </w:rPr>
                <w:t>Journal of Money</w:t>
              </w:r>
              <w:r>
                <w:rPr>
                  <w:noProof/>
                </w:rPr>
                <w:t>, 1431+.</w:t>
              </w:r>
            </w:p>
            <w:p w14:paraId="3B7BCF57" w14:textId="77777777" w:rsidR="007E3004" w:rsidRDefault="007E3004" w:rsidP="007E3004">
              <w:pPr>
                <w:pStyle w:val="Bibliography"/>
                <w:ind w:left="720" w:hanging="720"/>
                <w:rPr>
                  <w:noProof/>
                </w:rPr>
              </w:pPr>
              <w:r>
                <w:rPr>
                  <w:noProof/>
                </w:rPr>
                <w:t xml:space="preserve">Dent, H. S. (2006). </w:t>
              </w:r>
              <w:r>
                <w:rPr>
                  <w:i/>
                  <w:iCs/>
                  <w:noProof/>
                </w:rPr>
                <w:t>The Next Great Bubble Boom.</w:t>
              </w:r>
              <w:r>
                <w:rPr>
                  <w:noProof/>
                </w:rPr>
                <w:t xml:space="preserve"> New York, NY: Free Press.</w:t>
              </w:r>
            </w:p>
            <w:p w14:paraId="17CE225C" w14:textId="77777777" w:rsidR="007E3004" w:rsidRDefault="007E3004" w:rsidP="007E3004">
              <w:pPr>
                <w:pStyle w:val="Bibliography"/>
                <w:ind w:left="720" w:hanging="720"/>
                <w:rPr>
                  <w:noProof/>
                </w:rPr>
              </w:pPr>
              <w:r>
                <w:rPr>
                  <w:noProof/>
                </w:rPr>
                <w:t xml:space="preserve">Doms, M., &amp; Krainer, J. (2007). </w:t>
              </w:r>
              <w:r>
                <w:rPr>
                  <w:i/>
                  <w:iCs/>
                  <w:noProof/>
                </w:rPr>
                <w:t>Innovations in Mortgage Markets and Increased Spending on Housing.</w:t>
              </w:r>
              <w:r>
                <w:rPr>
                  <w:noProof/>
                </w:rPr>
                <w:t xml:space="preserve"> San Francisco, CA: Federal Reserve Bank of San Francisco.</w:t>
              </w:r>
            </w:p>
            <w:p w14:paraId="5A08F086" w14:textId="77777777" w:rsidR="007E3004" w:rsidRDefault="007E3004" w:rsidP="007E3004">
              <w:pPr>
                <w:pStyle w:val="Bibliography"/>
                <w:ind w:left="720" w:hanging="720"/>
                <w:rPr>
                  <w:noProof/>
                </w:rPr>
              </w:pPr>
              <w:r>
                <w:rPr>
                  <w:noProof/>
                </w:rPr>
                <w:t xml:space="preserve">Doms, M., Furlong, F., &amp; Krainer, J. (2007). </w:t>
              </w:r>
              <w:r>
                <w:rPr>
                  <w:i/>
                  <w:iCs/>
                  <w:noProof/>
                </w:rPr>
                <w:t>Subprime Mortgage Delinquency Rates.</w:t>
              </w:r>
              <w:r>
                <w:rPr>
                  <w:noProof/>
                </w:rPr>
                <w:t xml:space="preserve"> San Francisco, CA: Federal Reserve Bank of San Francisco.</w:t>
              </w:r>
            </w:p>
            <w:p w14:paraId="24001B00" w14:textId="77777777" w:rsidR="007E3004" w:rsidRDefault="007E3004" w:rsidP="007E3004">
              <w:pPr>
                <w:pStyle w:val="Bibliography"/>
                <w:ind w:left="720" w:hanging="720"/>
                <w:rPr>
                  <w:noProof/>
                </w:rPr>
              </w:pPr>
              <w:r>
                <w:rPr>
                  <w:noProof/>
                </w:rPr>
                <w:t xml:space="preserve">Douglas, M. (1990). </w:t>
              </w:r>
              <w:r>
                <w:rPr>
                  <w:i/>
                  <w:iCs/>
                  <w:noProof/>
                </w:rPr>
                <w:t>The Disciplined Trader, Developing Winning Attitudes.</w:t>
              </w:r>
              <w:r>
                <w:rPr>
                  <w:noProof/>
                </w:rPr>
                <w:t xml:space="preserve"> New York, NY: New York Institute of Finance.</w:t>
              </w:r>
            </w:p>
            <w:p w14:paraId="33188C11" w14:textId="77777777" w:rsidR="007E3004" w:rsidRDefault="007E3004" w:rsidP="007E3004">
              <w:pPr>
                <w:pStyle w:val="Bibliography"/>
                <w:ind w:left="720" w:hanging="720"/>
                <w:rPr>
                  <w:noProof/>
                </w:rPr>
              </w:pPr>
              <w:r>
                <w:rPr>
                  <w:noProof/>
                </w:rPr>
                <w:t xml:space="preserve">Douglas, M. (2000). </w:t>
              </w:r>
              <w:r>
                <w:rPr>
                  <w:i/>
                  <w:iCs/>
                  <w:noProof/>
                </w:rPr>
                <w:t>Trading in the Zone.</w:t>
              </w:r>
              <w:r>
                <w:rPr>
                  <w:noProof/>
                </w:rPr>
                <w:t xml:space="preserve"> New York, NY: New York Institute of Finance.</w:t>
              </w:r>
            </w:p>
            <w:p w14:paraId="4FC24370" w14:textId="77777777" w:rsidR="007E3004" w:rsidRDefault="007E3004" w:rsidP="007E3004">
              <w:pPr>
                <w:pStyle w:val="Bibliography"/>
                <w:ind w:left="720" w:hanging="720"/>
                <w:rPr>
                  <w:noProof/>
                </w:rPr>
              </w:pPr>
              <w:r>
                <w:rPr>
                  <w:noProof/>
                </w:rPr>
                <w:t xml:space="preserve">Engen, E. M., Gale, W. G., &amp; Uccello, C. E. (2004). </w:t>
              </w:r>
              <w:r>
                <w:rPr>
                  <w:i/>
                  <w:iCs/>
                  <w:noProof/>
                </w:rPr>
                <w:t>Lifetime Earnings, Social Security Benefits, and the Adequacy of Retirement Wealth Accumulation.</w:t>
              </w:r>
              <w:r>
                <w:rPr>
                  <w:noProof/>
                </w:rPr>
                <w:t xml:space="preserve"> Washington, D.C.: Federal Reserve Board.</w:t>
              </w:r>
            </w:p>
            <w:p w14:paraId="6AA202AA" w14:textId="77777777" w:rsidR="007E3004" w:rsidRDefault="007E3004" w:rsidP="007E3004">
              <w:pPr>
                <w:pStyle w:val="Bibliography"/>
                <w:ind w:left="720" w:hanging="720"/>
                <w:rPr>
                  <w:noProof/>
                </w:rPr>
              </w:pPr>
              <w:r>
                <w:rPr>
                  <w:noProof/>
                </w:rPr>
                <w:t xml:space="preserve">Fabozzi, F. J., Davis, H. A., &amp; Choudhry, M. (2006). </w:t>
              </w:r>
              <w:r>
                <w:rPr>
                  <w:i/>
                  <w:iCs/>
                  <w:noProof/>
                </w:rPr>
                <w:t>Introduction to Structured Finance.</w:t>
              </w:r>
              <w:r>
                <w:rPr>
                  <w:noProof/>
                </w:rPr>
                <w:t xml:space="preserve"> New York, NY: John Wiley &amp; Sons, Inc.</w:t>
              </w:r>
            </w:p>
            <w:p w14:paraId="644D31EF" w14:textId="77777777" w:rsidR="007E3004" w:rsidRDefault="007E3004" w:rsidP="007E3004">
              <w:pPr>
                <w:pStyle w:val="Bibliography"/>
                <w:ind w:left="720" w:hanging="720"/>
                <w:rPr>
                  <w:noProof/>
                </w:rPr>
              </w:pPr>
              <w:r>
                <w:rPr>
                  <w:noProof/>
                </w:rPr>
                <w:t xml:space="preserve">Fishbein, A. J. (2008). </w:t>
              </w:r>
              <w:r>
                <w:rPr>
                  <w:i/>
                  <w:iCs/>
                  <w:noProof/>
                </w:rPr>
                <w:t>Piggyback Loans at the Trough: California Subprime Home Purchase and Refinance Lending in 2006.</w:t>
              </w:r>
              <w:r>
                <w:rPr>
                  <w:noProof/>
                </w:rPr>
                <w:t xml:space="preserve"> Washington, D.C.: Consumer Federation of America.</w:t>
              </w:r>
            </w:p>
            <w:p w14:paraId="00819989" w14:textId="77777777" w:rsidR="007E3004" w:rsidRDefault="007E3004" w:rsidP="007E3004">
              <w:pPr>
                <w:pStyle w:val="Bibliography"/>
                <w:ind w:left="720" w:hanging="720"/>
                <w:rPr>
                  <w:noProof/>
                </w:rPr>
              </w:pPr>
              <w:r>
                <w:rPr>
                  <w:noProof/>
                </w:rPr>
                <w:t xml:space="preserve">Fishbein, A. J., &amp; Woodall, P. (2006 ). </w:t>
              </w:r>
              <w:r>
                <w:rPr>
                  <w:i/>
                  <w:iCs/>
                  <w:noProof/>
                </w:rPr>
                <w:t>Exotic or Toxic? An Examination of the Non-Traditional Mortgage Market for Consumers and Lenders.</w:t>
              </w:r>
              <w:r>
                <w:rPr>
                  <w:noProof/>
                </w:rPr>
                <w:t xml:space="preserve"> Washington, D.C.: Consumer Federation of America.</w:t>
              </w:r>
            </w:p>
            <w:p w14:paraId="06EBCBFA" w14:textId="77777777" w:rsidR="007E3004" w:rsidRDefault="007E3004" w:rsidP="007E3004">
              <w:pPr>
                <w:pStyle w:val="Bibliography"/>
                <w:ind w:left="720" w:hanging="720"/>
                <w:rPr>
                  <w:noProof/>
                </w:rPr>
              </w:pPr>
              <w:r>
                <w:rPr>
                  <w:noProof/>
                </w:rPr>
                <w:t xml:space="preserve">Fisher, J. D., &amp; Quayyum, S. (2005). </w:t>
              </w:r>
              <w:r>
                <w:rPr>
                  <w:i/>
                  <w:iCs/>
                  <w:noProof/>
                </w:rPr>
                <w:t>The great turn-of-the-century housing boom.</w:t>
              </w:r>
              <w:r>
                <w:rPr>
                  <w:noProof/>
                </w:rPr>
                <w:t xml:space="preserve"> Chicago, IL: Federal Reserve Bank of Chicago.</w:t>
              </w:r>
            </w:p>
            <w:p w14:paraId="1EFCF9EF" w14:textId="77777777" w:rsidR="007E3004" w:rsidRDefault="007E3004" w:rsidP="007E3004">
              <w:pPr>
                <w:pStyle w:val="Bibliography"/>
                <w:ind w:left="720" w:hanging="720"/>
                <w:rPr>
                  <w:noProof/>
                </w:rPr>
              </w:pPr>
              <w:r>
                <w:rPr>
                  <w:noProof/>
                </w:rPr>
                <w:t xml:space="preserve">Fletcher, J. (2005). </w:t>
              </w:r>
              <w:r>
                <w:rPr>
                  <w:i/>
                  <w:iCs/>
                  <w:noProof/>
                </w:rPr>
                <w:t>House Poor, Pumped-Up Prices, Rising Rates, and Mortgages on Steroids.</w:t>
              </w:r>
              <w:r>
                <w:rPr>
                  <w:noProof/>
                </w:rPr>
                <w:t xml:space="preserve"> New York, NY: HarperCollins Publishers Inc.</w:t>
              </w:r>
            </w:p>
            <w:p w14:paraId="6A0D0912" w14:textId="77777777" w:rsidR="007E3004" w:rsidRDefault="007E3004" w:rsidP="007E3004">
              <w:pPr>
                <w:pStyle w:val="Bibliography"/>
                <w:ind w:left="720" w:hanging="720"/>
                <w:rPr>
                  <w:noProof/>
                </w:rPr>
              </w:pPr>
              <w:r>
                <w:rPr>
                  <w:noProof/>
                </w:rPr>
                <w:t xml:space="preserve">Frame, W. S., &amp; White, L. J. (2005). Fussing and Fuming over Fannie and Freddie: How Much Smoke, How Much Fire? </w:t>
              </w:r>
              <w:r>
                <w:rPr>
                  <w:i/>
                  <w:iCs/>
                  <w:noProof/>
                </w:rPr>
                <w:t>The Journal of Economic Perspectives</w:t>
              </w:r>
              <w:r>
                <w:rPr>
                  <w:noProof/>
                </w:rPr>
                <w:t>, 28.</w:t>
              </w:r>
            </w:p>
            <w:p w14:paraId="1121E56D" w14:textId="77777777" w:rsidR="007E3004" w:rsidRDefault="007E3004" w:rsidP="007E3004">
              <w:pPr>
                <w:pStyle w:val="Bibliography"/>
                <w:ind w:left="720" w:hanging="720"/>
                <w:rPr>
                  <w:noProof/>
                </w:rPr>
              </w:pPr>
              <w:r>
                <w:rPr>
                  <w:noProof/>
                </w:rPr>
                <w:t xml:space="preserve">Gallin, J. (2003). </w:t>
              </w:r>
              <w:r>
                <w:rPr>
                  <w:i/>
                  <w:iCs/>
                  <w:noProof/>
                </w:rPr>
                <w:t>The Long-Run Relationship between House Prices and Income: Evidence from Local Housing Markets.</w:t>
              </w:r>
              <w:r>
                <w:rPr>
                  <w:noProof/>
                </w:rPr>
                <w:t xml:space="preserve"> Washington, DC: Federal Reserve Board.</w:t>
              </w:r>
            </w:p>
            <w:p w14:paraId="5C6B355A" w14:textId="77777777" w:rsidR="007E3004" w:rsidRDefault="007E3004" w:rsidP="007E3004">
              <w:pPr>
                <w:pStyle w:val="Bibliography"/>
                <w:ind w:left="720" w:hanging="720"/>
                <w:rPr>
                  <w:noProof/>
                </w:rPr>
              </w:pPr>
              <w:r>
                <w:rPr>
                  <w:noProof/>
                </w:rPr>
                <w:t xml:space="preserve">Gallin, J. (2004). </w:t>
              </w:r>
              <w:r>
                <w:rPr>
                  <w:i/>
                  <w:iCs/>
                  <w:noProof/>
                </w:rPr>
                <w:t>The Long-Run Relationship between House Prices and Rents.</w:t>
              </w:r>
              <w:r>
                <w:rPr>
                  <w:noProof/>
                </w:rPr>
                <w:t xml:space="preserve"> Washington, D.C.: Federal Reserve Board.</w:t>
              </w:r>
            </w:p>
            <w:p w14:paraId="17EAA4B9" w14:textId="77777777" w:rsidR="007E3004" w:rsidRDefault="007E3004" w:rsidP="007E3004">
              <w:pPr>
                <w:pStyle w:val="Bibliography"/>
                <w:ind w:left="720" w:hanging="720"/>
                <w:rPr>
                  <w:noProof/>
                </w:rPr>
              </w:pPr>
              <w:r>
                <w:rPr>
                  <w:noProof/>
                </w:rPr>
                <w:t xml:space="preserve">Gallin, J. (2006). The Long-Run Relationship between House Prices and Income: Evidence from Local Housing Markets. </w:t>
              </w:r>
              <w:r>
                <w:rPr>
                  <w:i/>
                  <w:iCs/>
                  <w:noProof/>
                </w:rPr>
                <w:t>Real Estate Economics</w:t>
              </w:r>
              <w:r>
                <w:rPr>
                  <w:noProof/>
                </w:rPr>
                <w:t>, 417+.</w:t>
              </w:r>
            </w:p>
            <w:p w14:paraId="1FBE1DAF" w14:textId="77777777" w:rsidR="007E3004" w:rsidRDefault="007E3004" w:rsidP="007E3004">
              <w:pPr>
                <w:pStyle w:val="Bibliography"/>
                <w:ind w:left="720" w:hanging="720"/>
                <w:rPr>
                  <w:noProof/>
                </w:rPr>
              </w:pPr>
              <w:r>
                <w:rPr>
                  <w:noProof/>
                </w:rPr>
                <w:lastRenderedPageBreak/>
                <w:t xml:space="preserve">Ganguin, B., &amp; Bilardello, J. (2004). </w:t>
              </w:r>
              <w:r>
                <w:rPr>
                  <w:i/>
                  <w:iCs/>
                  <w:noProof/>
                </w:rPr>
                <w:t>Standard &amp; Poor's Fundamentals of Corporate Credit Analysis.</w:t>
              </w:r>
              <w:r>
                <w:rPr>
                  <w:noProof/>
                </w:rPr>
                <w:t xml:space="preserve"> New York, NY: McGraw-Hill.</w:t>
              </w:r>
            </w:p>
            <w:p w14:paraId="5B857932" w14:textId="77777777" w:rsidR="007E3004" w:rsidRDefault="007E3004" w:rsidP="007E3004">
              <w:pPr>
                <w:pStyle w:val="Bibliography"/>
                <w:ind w:left="720" w:hanging="720"/>
                <w:rPr>
                  <w:noProof/>
                </w:rPr>
              </w:pPr>
              <w:r>
                <w:rPr>
                  <w:noProof/>
                </w:rPr>
                <w:t xml:space="preserve">Garber, P. M. (1989). Tulipmania. </w:t>
              </w:r>
              <w:r>
                <w:rPr>
                  <w:i/>
                  <w:iCs/>
                  <w:noProof/>
                </w:rPr>
                <w:t>The Journal of Political Economy</w:t>
              </w:r>
              <w:r>
                <w:rPr>
                  <w:noProof/>
                </w:rPr>
                <w:t>, 26.</w:t>
              </w:r>
            </w:p>
            <w:p w14:paraId="2A875CF7" w14:textId="77777777" w:rsidR="007E3004" w:rsidRDefault="007E3004" w:rsidP="007E3004">
              <w:pPr>
                <w:pStyle w:val="Bibliography"/>
                <w:ind w:left="720" w:hanging="720"/>
                <w:rPr>
                  <w:noProof/>
                </w:rPr>
              </w:pPr>
              <w:r>
                <w:rPr>
                  <w:noProof/>
                </w:rPr>
                <w:t xml:space="preserve">Geary, L. H. (2002, May 21). Riches to Rags: Millionairs who go Bust. </w:t>
              </w:r>
              <w:r>
                <w:rPr>
                  <w:i/>
                  <w:iCs/>
                  <w:noProof/>
                </w:rPr>
                <w:t>CNN/Money</w:t>
              </w:r>
              <w:r>
                <w:rPr>
                  <w:noProof/>
                </w:rPr>
                <w:t>, p. 1.</w:t>
              </w:r>
            </w:p>
            <w:p w14:paraId="2606357E" w14:textId="77777777" w:rsidR="007E3004" w:rsidRDefault="007E3004" w:rsidP="007E3004">
              <w:pPr>
                <w:pStyle w:val="Bibliography"/>
                <w:ind w:left="720" w:hanging="720"/>
                <w:rPr>
                  <w:noProof/>
                </w:rPr>
              </w:pPr>
              <w:r>
                <w:rPr>
                  <w:noProof/>
                </w:rPr>
                <w:t xml:space="preserve">Gerardi, K., Shapiro, A. H., &amp; Willen, P. S. (2007). </w:t>
              </w:r>
              <w:r>
                <w:rPr>
                  <w:i/>
                  <w:iCs/>
                  <w:noProof/>
                </w:rPr>
                <w:t>Subprime Outcomes: Risky Mortgages, Homeownership Experience, and Forclosures.</w:t>
              </w:r>
              <w:r>
                <w:rPr>
                  <w:noProof/>
                </w:rPr>
                <w:t xml:space="preserve"> Boston, MA: Federal Reserve Bank of Boston.</w:t>
              </w:r>
            </w:p>
            <w:p w14:paraId="573EDA5F" w14:textId="77777777" w:rsidR="007E3004" w:rsidRDefault="007E3004" w:rsidP="007E3004">
              <w:pPr>
                <w:pStyle w:val="Bibliography"/>
                <w:ind w:left="720" w:hanging="720"/>
                <w:rPr>
                  <w:noProof/>
                </w:rPr>
              </w:pPr>
              <w:r>
                <w:rPr>
                  <w:noProof/>
                </w:rPr>
                <w:t xml:space="preserve">Gibbon, E. (1999). </w:t>
              </w:r>
              <w:r>
                <w:rPr>
                  <w:i/>
                  <w:iCs/>
                  <w:noProof/>
                </w:rPr>
                <w:t>Decline &amp; Fall of the Roman Empire, New Ed edition.</w:t>
              </w:r>
              <w:r>
                <w:rPr>
                  <w:noProof/>
                </w:rPr>
                <w:t xml:space="preserve"> Hertfordshire, United Kingdom: Wordsworth Editions Ltd.</w:t>
              </w:r>
            </w:p>
            <w:p w14:paraId="214C3FD0" w14:textId="77777777" w:rsidR="007E3004" w:rsidRDefault="007E3004" w:rsidP="007E3004">
              <w:pPr>
                <w:pStyle w:val="Bibliography"/>
                <w:ind w:left="720" w:hanging="720"/>
                <w:rPr>
                  <w:noProof/>
                </w:rPr>
              </w:pPr>
              <w:r>
                <w:rPr>
                  <w:noProof/>
                </w:rPr>
                <w:t xml:space="preserve">Green, R. K., &amp; Wachter, S. M. (2007). Praveen Kujal1 and Vernon L. Smith. </w:t>
              </w:r>
              <w:r>
                <w:rPr>
                  <w:i/>
                  <w:iCs/>
                  <w:noProof/>
                </w:rPr>
                <w:t>Housing, Housing Finance &amp; Monetary Policy</w:t>
              </w:r>
              <w:r>
                <w:rPr>
                  <w:noProof/>
                </w:rPr>
                <w:t xml:space="preserve"> (p. 64). Jackson Hole, Wyoming: Federal Reserve Bank of Kansas City.</w:t>
              </w:r>
            </w:p>
            <w:p w14:paraId="0538C51D" w14:textId="77777777" w:rsidR="007E3004" w:rsidRDefault="007E3004" w:rsidP="007E3004">
              <w:pPr>
                <w:pStyle w:val="Bibliography"/>
                <w:ind w:left="720" w:hanging="720"/>
                <w:rPr>
                  <w:noProof/>
                </w:rPr>
              </w:pPr>
              <w:r>
                <w:rPr>
                  <w:noProof/>
                </w:rPr>
                <w:t xml:space="preserve">Greenspan, A. (1996). The Challenge of Central Banking in a Democratic Society. </w:t>
              </w:r>
              <w:r>
                <w:rPr>
                  <w:i/>
                  <w:iCs/>
                  <w:noProof/>
                </w:rPr>
                <w:t>Annual Dinner and Francis Boyer Lecture of The American Enterprise Institute for Public Policy Research.</w:t>
              </w:r>
              <w:r>
                <w:rPr>
                  <w:noProof/>
                </w:rPr>
                <w:t xml:space="preserve"> Washington, D.C.: Federal Reserve Board.</w:t>
              </w:r>
            </w:p>
            <w:p w14:paraId="6DEEA600" w14:textId="77777777" w:rsidR="007E3004" w:rsidRDefault="007E3004" w:rsidP="007E3004">
              <w:pPr>
                <w:pStyle w:val="Bibliography"/>
                <w:ind w:left="720" w:hanging="720"/>
                <w:rPr>
                  <w:noProof/>
                </w:rPr>
              </w:pPr>
              <w:r>
                <w:rPr>
                  <w:noProof/>
                </w:rPr>
                <w:t xml:space="preserve">Greenspan, A. (2004). Understanding Household Debt Obligations. </w:t>
              </w:r>
              <w:r>
                <w:rPr>
                  <w:i/>
                  <w:iCs/>
                  <w:noProof/>
                </w:rPr>
                <w:t>Credit Union National Association 2004 Governmental Affairs Conference.</w:t>
              </w:r>
              <w:r>
                <w:rPr>
                  <w:noProof/>
                </w:rPr>
                <w:t xml:space="preserve"> Washington, DC: Federal Reserve Board.</w:t>
              </w:r>
            </w:p>
            <w:p w14:paraId="77633E3D" w14:textId="77777777" w:rsidR="007E3004" w:rsidRDefault="007E3004" w:rsidP="007E3004">
              <w:pPr>
                <w:pStyle w:val="Bibliography"/>
                <w:ind w:left="720" w:hanging="720"/>
                <w:rPr>
                  <w:noProof/>
                </w:rPr>
              </w:pPr>
              <w:r>
                <w:rPr>
                  <w:noProof/>
                </w:rPr>
                <w:t xml:space="preserve">Grigg, W. N. (2004, May). Will the Housing Bubble Burst? Our Socialist Mortgage System and Easy Money Policy Have Created a Dangerously Inflated Housing Bubble That, If Pricked, Could Take the Economy Down with It. </w:t>
              </w:r>
              <w:r>
                <w:rPr>
                  <w:i/>
                  <w:iCs/>
                  <w:noProof/>
                </w:rPr>
                <w:t>The New American</w:t>
              </w:r>
              <w:r>
                <w:rPr>
                  <w:noProof/>
                </w:rPr>
                <w:t>, p. 20+.</w:t>
              </w:r>
            </w:p>
            <w:p w14:paraId="3557AE1C" w14:textId="77777777" w:rsidR="007E3004" w:rsidRDefault="007E3004" w:rsidP="007E3004">
              <w:pPr>
                <w:pStyle w:val="Bibliography"/>
                <w:ind w:left="720" w:hanging="720"/>
                <w:rPr>
                  <w:noProof/>
                </w:rPr>
              </w:pPr>
              <w:r>
                <w:rPr>
                  <w:noProof/>
                </w:rPr>
                <w:t xml:space="preserve">Gross, D. (2004, February 27). Alan Greenspan: ARMed and Dangerous. </w:t>
              </w:r>
              <w:r>
                <w:rPr>
                  <w:i/>
                  <w:iCs/>
                  <w:noProof/>
                </w:rPr>
                <w:t>Slate Magazine: Moneybox</w:t>
              </w:r>
              <w:r>
                <w:rPr>
                  <w:noProof/>
                </w:rPr>
                <w:t>, p. 1.</w:t>
              </w:r>
            </w:p>
            <w:p w14:paraId="7FBF3D10" w14:textId="77777777" w:rsidR="007E3004" w:rsidRDefault="007E3004" w:rsidP="007E3004">
              <w:pPr>
                <w:pStyle w:val="Bibliography"/>
                <w:ind w:left="720" w:hanging="720"/>
                <w:rPr>
                  <w:noProof/>
                </w:rPr>
              </w:pPr>
              <w:r>
                <w:rPr>
                  <w:noProof/>
                </w:rPr>
                <w:t xml:space="preserve">Gross, D. (2007, July 26). The Real Morons of Orange County. </w:t>
              </w:r>
              <w:r>
                <w:rPr>
                  <w:i/>
                  <w:iCs/>
                  <w:noProof/>
                </w:rPr>
                <w:t>Moneybox</w:t>
              </w:r>
              <w:r>
                <w:rPr>
                  <w:noProof/>
                </w:rPr>
                <w:t>, p. 1.</w:t>
              </w:r>
            </w:p>
            <w:p w14:paraId="6696874C" w14:textId="77777777" w:rsidR="007E3004" w:rsidRDefault="007E3004" w:rsidP="007E3004">
              <w:pPr>
                <w:pStyle w:val="Bibliography"/>
                <w:ind w:left="720" w:hanging="720"/>
                <w:rPr>
                  <w:noProof/>
                </w:rPr>
              </w:pPr>
              <w:r>
                <w:rPr>
                  <w:noProof/>
                </w:rPr>
                <w:t xml:space="preserve">Haines, C. L., &amp; Rosen, R. J. (2006). Bubble, bubble, toil, and trouble. </w:t>
              </w:r>
              <w:r>
                <w:rPr>
                  <w:i/>
                  <w:iCs/>
                  <w:noProof/>
                </w:rPr>
                <w:t>Economic Perspectives</w:t>
              </w:r>
              <w:r>
                <w:rPr>
                  <w:noProof/>
                </w:rPr>
                <w:t>, 35.</w:t>
              </w:r>
            </w:p>
            <w:p w14:paraId="37D14B72" w14:textId="77777777" w:rsidR="007E3004" w:rsidRDefault="007E3004" w:rsidP="007E3004">
              <w:pPr>
                <w:pStyle w:val="Bibliography"/>
                <w:ind w:left="720" w:hanging="720"/>
                <w:rPr>
                  <w:noProof/>
                </w:rPr>
              </w:pPr>
              <w:r>
                <w:rPr>
                  <w:noProof/>
                </w:rPr>
                <w:t xml:space="preserve">Hall, C. (2004). </w:t>
              </w:r>
              <w:r>
                <w:rPr>
                  <w:i/>
                  <w:iCs/>
                  <w:noProof/>
                </w:rPr>
                <w:t>Timing the Real Estate Market.</w:t>
              </w:r>
              <w:r>
                <w:rPr>
                  <w:noProof/>
                </w:rPr>
                <w:t xml:space="preserve"> New York, NY: McGraw-Hill.</w:t>
              </w:r>
            </w:p>
            <w:p w14:paraId="73483046" w14:textId="77777777" w:rsidR="007E3004" w:rsidRDefault="007E3004" w:rsidP="007E3004">
              <w:pPr>
                <w:pStyle w:val="Bibliography"/>
                <w:ind w:left="720" w:hanging="720"/>
                <w:rPr>
                  <w:noProof/>
                </w:rPr>
              </w:pPr>
              <w:r>
                <w:rPr>
                  <w:noProof/>
                </w:rPr>
                <w:t xml:space="preserve">Haney, R. L., Berens, G., &amp; Miles, M. E. (1995). </w:t>
              </w:r>
              <w:r>
                <w:rPr>
                  <w:i/>
                  <w:iCs/>
                  <w:noProof/>
                </w:rPr>
                <w:t>Real Estate Development: Principles and Process.</w:t>
              </w:r>
              <w:r>
                <w:rPr>
                  <w:noProof/>
                </w:rPr>
                <w:t xml:space="preserve"> Washington, D.C.: Urban Land Institute.</w:t>
              </w:r>
            </w:p>
            <w:p w14:paraId="3370E1CB" w14:textId="77777777" w:rsidR="007E3004" w:rsidRDefault="007E3004" w:rsidP="007E3004">
              <w:pPr>
                <w:pStyle w:val="Bibliography"/>
                <w:ind w:left="720" w:hanging="720"/>
                <w:rPr>
                  <w:noProof/>
                </w:rPr>
              </w:pPr>
              <w:r>
                <w:rPr>
                  <w:noProof/>
                </w:rPr>
                <w:t xml:space="preserve">Haubrich, J. G., &amp; Lucas, D. (2006). </w:t>
              </w:r>
              <w:r>
                <w:rPr>
                  <w:i/>
                  <w:iCs/>
                  <w:noProof/>
                </w:rPr>
                <w:t>Who holds the toxic waste? An investigation of CMO holdings.</w:t>
              </w:r>
              <w:r>
                <w:rPr>
                  <w:noProof/>
                </w:rPr>
                <w:t xml:space="preserve"> Cleveland, OH: Federal Reserve Bank of Cleveland.</w:t>
              </w:r>
            </w:p>
            <w:p w14:paraId="0C930609" w14:textId="77777777" w:rsidR="007E3004" w:rsidRDefault="007E3004" w:rsidP="007E3004">
              <w:pPr>
                <w:pStyle w:val="Bibliography"/>
                <w:ind w:left="720" w:hanging="720"/>
                <w:rPr>
                  <w:noProof/>
                </w:rPr>
              </w:pPr>
              <w:r>
                <w:rPr>
                  <w:noProof/>
                </w:rPr>
                <w:t xml:space="preserve">Heffernan, S. (2005). </w:t>
              </w:r>
              <w:r>
                <w:rPr>
                  <w:i/>
                  <w:iCs/>
                  <w:noProof/>
                </w:rPr>
                <w:t>Modern Banking.</w:t>
              </w:r>
              <w:r>
                <w:rPr>
                  <w:noProof/>
                </w:rPr>
                <w:t xml:space="preserve"> New York, NY: John Wiley &amp; Sons, Inc.</w:t>
              </w:r>
            </w:p>
            <w:p w14:paraId="7F5B4036" w14:textId="77777777" w:rsidR="007E3004" w:rsidRDefault="007E3004" w:rsidP="007E3004">
              <w:pPr>
                <w:pStyle w:val="Bibliography"/>
                <w:ind w:left="720" w:hanging="720"/>
                <w:rPr>
                  <w:noProof/>
                </w:rPr>
              </w:pPr>
              <w:r>
                <w:rPr>
                  <w:noProof/>
                </w:rPr>
                <w:t xml:space="preserve">Helbling, T., Conover, E., &amp; Terrones, M. (2003). Chapter II: When Bubbles Burst. </w:t>
              </w:r>
              <w:r>
                <w:rPr>
                  <w:i/>
                  <w:iCs/>
                  <w:noProof/>
                </w:rPr>
                <w:t>World Economic Outlook</w:t>
              </w:r>
              <w:r>
                <w:rPr>
                  <w:noProof/>
                </w:rPr>
                <w:t>, 61+.</w:t>
              </w:r>
            </w:p>
            <w:p w14:paraId="6ABB599E" w14:textId="77777777" w:rsidR="007E3004" w:rsidRDefault="007E3004" w:rsidP="007E3004">
              <w:pPr>
                <w:pStyle w:val="Bibliography"/>
                <w:ind w:left="720" w:hanging="720"/>
                <w:rPr>
                  <w:noProof/>
                </w:rPr>
              </w:pPr>
              <w:r>
                <w:rPr>
                  <w:noProof/>
                </w:rPr>
                <w:t xml:space="preserve">Himmelberg, C., Mayer, C., &amp; Sinai, T. (2005). </w:t>
              </w:r>
              <w:r>
                <w:rPr>
                  <w:i/>
                  <w:iCs/>
                  <w:noProof/>
                </w:rPr>
                <w:t>Assessing High House Prices: Bubbles, Fundamentals, and Misperceptions.</w:t>
              </w:r>
              <w:r>
                <w:rPr>
                  <w:noProof/>
                </w:rPr>
                <w:t xml:space="preserve"> New York, NY: Federal Reserve Bank of New York.</w:t>
              </w:r>
            </w:p>
            <w:p w14:paraId="3069E1EF" w14:textId="77777777" w:rsidR="007E3004" w:rsidRDefault="007E3004" w:rsidP="007E3004">
              <w:pPr>
                <w:pStyle w:val="Bibliography"/>
                <w:ind w:left="720" w:hanging="720"/>
                <w:rPr>
                  <w:noProof/>
                </w:rPr>
              </w:pPr>
              <w:r>
                <w:rPr>
                  <w:noProof/>
                </w:rPr>
                <w:t xml:space="preserve">Hockley, C. A. (2005, June 7). Are CAP Rates Still a Valid Indicator of Value? </w:t>
              </w:r>
              <w:r>
                <w:rPr>
                  <w:i/>
                  <w:iCs/>
                  <w:noProof/>
                </w:rPr>
                <w:t>RealtyTimes</w:t>
              </w:r>
              <w:r>
                <w:rPr>
                  <w:noProof/>
                </w:rPr>
                <w:t>, p. 1.</w:t>
              </w:r>
            </w:p>
            <w:p w14:paraId="690D5800" w14:textId="77777777" w:rsidR="007E3004" w:rsidRDefault="007E3004" w:rsidP="007E3004">
              <w:pPr>
                <w:pStyle w:val="Bibliography"/>
                <w:ind w:left="720" w:hanging="720"/>
                <w:rPr>
                  <w:noProof/>
                </w:rPr>
              </w:pPr>
              <w:r>
                <w:rPr>
                  <w:noProof/>
                </w:rPr>
                <w:lastRenderedPageBreak/>
                <w:t xml:space="preserve">Jaeger, W. (2006). The Effects of Land-Use Regulations on Property Values. </w:t>
              </w:r>
              <w:r>
                <w:rPr>
                  <w:i/>
                  <w:iCs/>
                  <w:noProof/>
                </w:rPr>
                <w:t>Environmental Law</w:t>
              </w:r>
              <w:r>
                <w:rPr>
                  <w:noProof/>
                </w:rPr>
                <w:t>, 105+.</w:t>
              </w:r>
            </w:p>
            <w:p w14:paraId="3FF5F176" w14:textId="77777777" w:rsidR="007E3004" w:rsidRDefault="007E3004" w:rsidP="007E3004">
              <w:pPr>
                <w:pStyle w:val="Bibliography"/>
                <w:ind w:left="720" w:hanging="720"/>
                <w:rPr>
                  <w:noProof/>
                </w:rPr>
              </w:pPr>
              <w:r>
                <w:rPr>
                  <w:noProof/>
                </w:rPr>
                <w:t xml:space="preserve">Johnson, D., &amp; Halliburton, M. (2007). The Subprime Credit Crunch. </w:t>
              </w:r>
              <w:r>
                <w:rPr>
                  <w:i/>
                  <w:iCs/>
                  <w:noProof/>
                </w:rPr>
                <w:t>ABA Banking Journal</w:t>
              </w:r>
              <w:r>
                <w:rPr>
                  <w:noProof/>
                </w:rPr>
                <w:t>, 64+.</w:t>
              </w:r>
            </w:p>
            <w:p w14:paraId="593D0033" w14:textId="77777777" w:rsidR="007E3004" w:rsidRDefault="007E3004" w:rsidP="007E3004">
              <w:pPr>
                <w:pStyle w:val="Bibliography"/>
                <w:ind w:left="720" w:hanging="720"/>
                <w:rPr>
                  <w:noProof/>
                </w:rPr>
              </w:pPr>
              <w:r>
                <w:rPr>
                  <w:noProof/>
                </w:rPr>
                <w:t xml:space="preserve">Kahneman, D., &amp; Tversky, A. (1979). Prospect Theory: An Analysis of Decision under Risk. </w:t>
              </w:r>
              <w:r>
                <w:rPr>
                  <w:i/>
                  <w:iCs/>
                  <w:noProof/>
                </w:rPr>
                <w:t>Econometrica</w:t>
              </w:r>
              <w:r>
                <w:rPr>
                  <w:noProof/>
                </w:rPr>
                <w:t>, 33.</w:t>
              </w:r>
            </w:p>
            <w:p w14:paraId="143D978C" w14:textId="77777777" w:rsidR="007E3004" w:rsidRDefault="007E3004" w:rsidP="007E3004">
              <w:pPr>
                <w:pStyle w:val="Bibliography"/>
                <w:ind w:left="720" w:hanging="720"/>
                <w:rPr>
                  <w:noProof/>
                </w:rPr>
              </w:pPr>
              <w:r>
                <w:rPr>
                  <w:noProof/>
                </w:rPr>
                <w:t xml:space="preserve">Kahneman, D., Knetsch, J. L., &amp; Thaler, R. H. (1991). The Endowment Effect, Loss Aversion, and Status Quo Bias. </w:t>
              </w:r>
              <w:r>
                <w:rPr>
                  <w:i/>
                  <w:iCs/>
                  <w:noProof/>
                </w:rPr>
                <w:t>The Journal of Economic Perspectives</w:t>
              </w:r>
              <w:r>
                <w:rPr>
                  <w:noProof/>
                </w:rPr>
                <w:t>, 15.</w:t>
              </w:r>
            </w:p>
            <w:p w14:paraId="19EB825F" w14:textId="77777777" w:rsidR="007E3004" w:rsidRDefault="007E3004" w:rsidP="007E3004">
              <w:pPr>
                <w:pStyle w:val="Bibliography"/>
                <w:ind w:left="720" w:hanging="720"/>
                <w:rPr>
                  <w:noProof/>
                </w:rPr>
              </w:pPr>
              <w:r>
                <w:rPr>
                  <w:noProof/>
                </w:rPr>
                <w:t xml:space="preserve">Kiyosaki, R. T., &amp; Lechter, S. L. (2000). </w:t>
              </w:r>
              <w:r>
                <w:rPr>
                  <w:i/>
                  <w:iCs/>
                  <w:noProof/>
                </w:rPr>
                <w:t>Rich Dad, Poor Dad: What the Rich Teach Their Kids About Money--That the Poor and Middle Class Do Not!</w:t>
              </w:r>
              <w:r>
                <w:rPr>
                  <w:noProof/>
                </w:rPr>
                <w:t xml:space="preserve"> Lebanon, IN: Business Plus.</w:t>
              </w:r>
            </w:p>
            <w:p w14:paraId="7AF525F0" w14:textId="77777777" w:rsidR="007E3004" w:rsidRDefault="007E3004" w:rsidP="007E3004">
              <w:pPr>
                <w:pStyle w:val="Bibliography"/>
                <w:ind w:left="720" w:hanging="720"/>
                <w:rPr>
                  <w:noProof/>
                </w:rPr>
              </w:pPr>
              <w:r>
                <w:rPr>
                  <w:noProof/>
                </w:rPr>
                <w:t xml:space="preserve">Kolbe, P. T. (2007, Summer). Affordability in the Single-Family Housing Market. </w:t>
              </w:r>
              <w:r>
                <w:rPr>
                  <w:i/>
                  <w:iCs/>
                  <w:noProof/>
                </w:rPr>
                <w:t>Business Perspectives</w:t>
              </w:r>
              <w:r>
                <w:rPr>
                  <w:noProof/>
                </w:rPr>
                <w:t>, p. 8+.</w:t>
              </w:r>
            </w:p>
            <w:p w14:paraId="29BD6791" w14:textId="77777777" w:rsidR="007E3004" w:rsidRDefault="007E3004" w:rsidP="007E3004">
              <w:pPr>
                <w:pStyle w:val="Bibliography"/>
                <w:ind w:left="720" w:hanging="720"/>
                <w:rPr>
                  <w:noProof/>
                </w:rPr>
              </w:pPr>
              <w:r>
                <w:rPr>
                  <w:noProof/>
                </w:rPr>
                <w:t xml:space="preserve">Kornfield, J. (1993). </w:t>
              </w:r>
              <w:r>
                <w:rPr>
                  <w:i/>
                  <w:iCs/>
                  <w:noProof/>
                </w:rPr>
                <w:t>A Path with Heart: A Guide Through the Perils and Promises of Spiritual Life.</w:t>
              </w:r>
              <w:r>
                <w:rPr>
                  <w:noProof/>
                </w:rPr>
                <w:t xml:space="preserve"> New York, NY: Bantam Books.</w:t>
              </w:r>
            </w:p>
            <w:p w14:paraId="623AF76C" w14:textId="77777777" w:rsidR="007E3004" w:rsidRDefault="007E3004" w:rsidP="007E3004">
              <w:pPr>
                <w:pStyle w:val="Bibliography"/>
                <w:ind w:left="720" w:hanging="720"/>
                <w:rPr>
                  <w:noProof/>
                </w:rPr>
              </w:pPr>
              <w:r>
                <w:rPr>
                  <w:noProof/>
                </w:rPr>
                <w:t xml:space="preserve">Kornfield, J. (1993). </w:t>
              </w:r>
              <w:r>
                <w:rPr>
                  <w:i/>
                  <w:iCs/>
                  <w:noProof/>
                </w:rPr>
                <w:t>The Inner Art of Meditation.</w:t>
              </w:r>
              <w:r>
                <w:rPr>
                  <w:noProof/>
                </w:rPr>
                <w:t xml:space="preserve"> Louisville, CO: Sounds True.</w:t>
              </w:r>
            </w:p>
            <w:p w14:paraId="0B32CA99" w14:textId="77777777" w:rsidR="007E3004" w:rsidRDefault="007E3004" w:rsidP="007E3004">
              <w:pPr>
                <w:pStyle w:val="Bibliography"/>
                <w:ind w:left="720" w:hanging="720"/>
                <w:rPr>
                  <w:noProof/>
                </w:rPr>
              </w:pPr>
              <w:r>
                <w:rPr>
                  <w:noProof/>
                </w:rPr>
                <w:t xml:space="preserve">Kornfield, J. (1996). </w:t>
              </w:r>
              <w:r>
                <w:rPr>
                  <w:i/>
                  <w:iCs/>
                  <w:noProof/>
                </w:rPr>
                <w:t>The Roots of Buddhist Psychology.</w:t>
              </w:r>
              <w:r>
                <w:rPr>
                  <w:noProof/>
                </w:rPr>
                <w:t xml:space="preserve"> Louisville, CO: Sounds True.</w:t>
              </w:r>
            </w:p>
            <w:p w14:paraId="3692F353" w14:textId="77777777" w:rsidR="007E3004" w:rsidRDefault="007E3004" w:rsidP="007E3004">
              <w:pPr>
                <w:pStyle w:val="Bibliography"/>
                <w:ind w:left="720" w:hanging="720"/>
                <w:rPr>
                  <w:noProof/>
                </w:rPr>
              </w:pPr>
              <w:r>
                <w:rPr>
                  <w:noProof/>
                </w:rPr>
                <w:t xml:space="preserve">Kornfield, J. (2000). </w:t>
              </w:r>
              <w:r>
                <w:rPr>
                  <w:i/>
                  <w:iCs/>
                  <w:noProof/>
                </w:rPr>
                <w:t>After the Ecstasy, the Laundry: How the Heart Grows Wise on the Spiritual Path.</w:t>
              </w:r>
              <w:r>
                <w:rPr>
                  <w:noProof/>
                </w:rPr>
                <w:t xml:space="preserve"> New York, NY: Bantam Books.</w:t>
              </w:r>
            </w:p>
            <w:p w14:paraId="3E8D8348" w14:textId="77777777" w:rsidR="007E3004" w:rsidRDefault="007E3004" w:rsidP="007E3004">
              <w:pPr>
                <w:pStyle w:val="Bibliography"/>
                <w:ind w:left="720" w:hanging="720"/>
                <w:rPr>
                  <w:noProof/>
                </w:rPr>
              </w:pPr>
              <w:r>
                <w:rPr>
                  <w:noProof/>
                </w:rPr>
                <w:t xml:space="preserve">Krainer, J. (2003). House Price Bubbles. </w:t>
              </w:r>
              <w:r>
                <w:rPr>
                  <w:i/>
                  <w:iCs/>
                  <w:noProof/>
                </w:rPr>
                <w:t>FRBSF Economic Letter</w:t>
              </w:r>
              <w:r>
                <w:rPr>
                  <w:noProof/>
                </w:rPr>
                <w:t>, 4.</w:t>
              </w:r>
            </w:p>
            <w:p w14:paraId="55F2299C" w14:textId="77777777" w:rsidR="007E3004" w:rsidRDefault="007E3004" w:rsidP="007E3004">
              <w:pPr>
                <w:pStyle w:val="Bibliography"/>
                <w:ind w:left="720" w:hanging="720"/>
                <w:rPr>
                  <w:noProof/>
                </w:rPr>
              </w:pPr>
              <w:r>
                <w:rPr>
                  <w:noProof/>
                </w:rPr>
                <w:t xml:space="preserve">Krainer, J. (2006). Residential Investment over the Real Estate Cycle. </w:t>
              </w:r>
              <w:r>
                <w:rPr>
                  <w:i/>
                  <w:iCs/>
                  <w:noProof/>
                </w:rPr>
                <w:t>FRBSF Economic Letter</w:t>
              </w:r>
              <w:r>
                <w:rPr>
                  <w:noProof/>
                </w:rPr>
                <w:t>, 4.</w:t>
              </w:r>
            </w:p>
            <w:p w14:paraId="46333850" w14:textId="77777777" w:rsidR="007E3004" w:rsidRDefault="007E3004" w:rsidP="007E3004">
              <w:pPr>
                <w:pStyle w:val="Bibliography"/>
                <w:ind w:left="720" w:hanging="720"/>
                <w:rPr>
                  <w:noProof/>
                </w:rPr>
              </w:pPr>
              <w:r>
                <w:rPr>
                  <w:noProof/>
                </w:rPr>
                <w:t xml:space="preserve">Krainer, J., &amp; Wei, C. (2004). House Prices and Fundamental Value. </w:t>
              </w:r>
              <w:r>
                <w:rPr>
                  <w:i/>
                  <w:iCs/>
                  <w:noProof/>
                </w:rPr>
                <w:t>FRBSF Economic Letter</w:t>
              </w:r>
              <w:r>
                <w:rPr>
                  <w:noProof/>
                </w:rPr>
                <w:t>, 4.</w:t>
              </w:r>
            </w:p>
            <w:p w14:paraId="36042B75" w14:textId="77777777" w:rsidR="007E3004" w:rsidRDefault="007E3004" w:rsidP="007E3004">
              <w:pPr>
                <w:pStyle w:val="Bibliography"/>
                <w:ind w:left="720" w:hanging="720"/>
                <w:rPr>
                  <w:noProof/>
                </w:rPr>
              </w:pPr>
              <w:r>
                <w:rPr>
                  <w:noProof/>
                </w:rPr>
                <w:t xml:space="preserve">Kruger, J., &amp; Dunning, D. (1999). Unskilled and Unaware of It: How Difficulties in Recognizing One's Own Incompetence Lead to Inflated Self-Assessments. </w:t>
              </w:r>
              <w:r>
                <w:rPr>
                  <w:i/>
                  <w:iCs/>
                  <w:noProof/>
                </w:rPr>
                <w:t>Journal of Personality and Social Psychology</w:t>
              </w:r>
              <w:r>
                <w:rPr>
                  <w:noProof/>
                </w:rPr>
                <w:t>, 14.</w:t>
              </w:r>
            </w:p>
            <w:p w14:paraId="5903EB8A" w14:textId="77777777" w:rsidR="007E3004" w:rsidRDefault="007E3004" w:rsidP="007E3004">
              <w:pPr>
                <w:pStyle w:val="Bibliography"/>
                <w:ind w:left="720" w:hanging="720"/>
                <w:rPr>
                  <w:noProof/>
                </w:rPr>
              </w:pPr>
              <w:r>
                <w:rPr>
                  <w:noProof/>
                </w:rPr>
                <w:t xml:space="preserve">Kujal, P., &amp; Smith, V. L. (1991). </w:t>
              </w:r>
              <w:r>
                <w:rPr>
                  <w:i/>
                  <w:iCs/>
                  <w:noProof/>
                </w:rPr>
                <w:t>The Endowment Effect.</w:t>
              </w:r>
              <w:r>
                <w:rPr>
                  <w:noProof/>
                </w:rPr>
                <w:t xml:space="preserve"> Madrid, Spain: Universidad Carlos III De Madrid.</w:t>
              </w:r>
            </w:p>
            <w:p w14:paraId="066FE447" w14:textId="77777777" w:rsidR="007E3004" w:rsidRDefault="007E3004" w:rsidP="007E3004">
              <w:pPr>
                <w:pStyle w:val="Bibliography"/>
                <w:ind w:left="720" w:hanging="720"/>
                <w:rPr>
                  <w:noProof/>
                </w:rPr>
              </w:pPr>
              <w:r>
                <w:rPr>
                  <w:noProof/>
                </w:rPr>
                <w:t xml:space="preserve">Kujal, P., &amp; Smith, V. L. (2003). </w:t>
              </w:r>
              <w:r>
                <w:rPr>
                  <w:i/>
                  <w:iCs/>
                  <w:noProof/>
                </w:rPr>
                <w:t>Fairness and Short Run Price Adjustment in Posted Offer Markets.</w:t>
              </w:r>
              <w:r>
                <w:rPr>
                  <w:noProof/>
                </w:rPr>
                <w:t xml:space="preserve"> Madrid, Spain: University of Carlos III De Madrid.</w:t>
              </w:r>
            </w:p>
            <w:p w14:paraId="0D9534CA" w14:textId="77777777" w:rsidR="007E3004" w:rsidRDefault="007E3004" w:rsidP="007E3004">
              <w:pPr>
                <w:pStyle w:val="Bibliography"/>
                <w:ind w:left="720" w:hanging="720"/>
                <w:rPr>
                  <w:noProof/>
                </w:rPr>
              </w:pPr>
              <w:r>
                <w:rPr>
                  <w:noProof/>
                </w:rPr>
                <w:t xml:space="preserve">Kuttner, K. N., &amp; Posen, A. S. (2001). </w:t>
              </w:r>
              <w:r>
                <w:rPr>
                  <w:i/>
                  <w:iCs/>
                  <w:noProof/>
                </w:rPr>
                <w:t>Passive Savers and Fiscal Policy Effectiveness in Japan.</w:t>
              </w:r>
              <w:r>
                <w:rPr>
                  <w:noProof/>
                </w:rPr>
                <w:t xml:space="preserve"> Washington, DC: Institute for International Economics.</w:t>
              </w:r>
            </w:p>
            <w:p w14:paraId="3016D751" w14:textId="77777777" w:rsidR="007E3004" w:rsidRDefault="007E3004" w:rsidP="007E3004">
              <w:pPr>
                <w:pStyle w:val="Bibliography"/>
                <w:ind w:left="720" w:hanging="720"/>
                <w:rPr>
                  <w:noProof/>
                </w:rPr>
              </w:pPr>
              <w:r>
                <w:rPr>
                  <w:noProof/>
                </w:rPr>
                <w:t xml:space="preserve">Lacour-Little, M. (2004, March). Equity Dilution: An Alternative Perspective on Mortgage Default. </w:t>
              </w:r>
              <w:r>
                <w:rPr>
                  <w:i/>
                  <w:iCs/>
                  <w:noProof/>
                </w:rPr>
                <w:t>Real Estate Economics</w:t>
              </w:r>
              <w:r>
                <w:rPr>
                  <w:noProof/>
                </w:rPr>
                <w:t>, p. 359+.</w:t>
              </w:r>
            </w:p>
            <w:p w14:paraId="774EFF29" w14:textId="77777777" w:rsidR="007E3004" w:rsidRDefault="007E3004" w:rsidP="007E3004">
              <w:pPr>
                <w:pStyle w:val="Bibliography"/>
                <w:ind w:left="720" w:hanging="720"/>
                <w:rPr>
                  <w:noProof/>
                </w:rPr>
              </w:pPr>
              <w:r>
                <w:rPr>
                  <w:noProof/>
                </w:rPr>
                <w:t xml:space="preserve">Leamer, E. E. (2007). Housing Is the Business Cycle. </w:t>
              </w:r>
              <w:r>
                <w:rPr>
                  <w:i/>
                  <w:iCs/>
                  <w:noProof/>
                </w:rPr>
                <w:t>Housing, Housing Finance and Monetary Policy</w:t>
              </w:r>
              <w:r>
                <w:rPr>
                  <w:noProof/>
                </w:rPr>
                <w:t xml:space="preserve"> (p. 74). Jackson Hole, WY: Federal Reserve Bank of Kansas City.</w:t>
              </w:r>
            </w:p>
            <w:p w14:paraId="2C9FC5B3" w14:textId="77777777" w:rsidR="007E3004" w:rsidRDefault="007E3004" w:rsidP="007E3004">
              <w:pPr>
                <w:pStyle w:val="Bibliography"/>
                <w:ind w:left="720" w:hanging="720"/>
                <w:rPr>
                  <w:noProof/>
                </w:rPr>
              </w:pPr>
              <w:r>
                <w:rPr>
                  <w:noProof/>
                </w:rPr>
                <w:t xml:space="preserve">Leamer, E. E. (2007). Housing Is the Business Cycle. </w:t>
              </w:r>
              <w:r>
                <w:rPr>
                  <w:i/>
                  <w:iCs/>
                  <w:noProof/>
                </w:rPr>
                <w:t>Housing, Housing Finance, and Monetary Policy</w:t>
              </w:r>
              <w:r>
                <w:rPr>
                  <w:noProof/>
                </w:rPr>
                <w:t xml:space="preserve"> (p. 73). Jackson Hole, Wyoming: Federal Reserve Bank of Kansas City.</w:t>
              </w:r>
            </w:p>
            <w:p w14:paraId="08703CF9" w14:textId="77777777" w:rsidR="007E3004" w:rsidRDefault="007E3004" w:rsidP="007E3004">
              <w:pPr>
                <w:pStyle w:val="Bibliography"/>
                <w:ind w:left="720" w:hanging="720"/>
                <w:rPr>
                  <w:noProof/>
                </w:rPr>
              </w:pPr>
              <w:r>
                <w:rPr>
                  <w:noProof/>
                </w:rPr>
                <w:lastRenderedPageBreak/>
                <w:t xml:space="preserve">Lefevre, E. (1994). </w:t>
              </w:r>
              <w:r>
                <w:rPr>
                  <w:i/>
                  <w:iCs/>
                  <w:noProof/>
                </w:rPr>
                <w:t>Reminiscences of a Stock Operator.</w:t>
              </w:r>
              <w:r>
                <w:rPr>
                  <w:noProof/>
                </w:rPr>
                <w:t xml:space="preserve"> New York, NY: John Wiley &amp; Sons, Inc.</w:t>
              </w:r>
            </w:p>
            <w:p w14:paraId="54DFC0DF" w14:textId="77777777" w:rsidR="007E3004" w:rsidRDefault="007E3004" w:rsidP="007E3004">
              <w:pPr>
                <w:pStyle w:val="Bibliography"/>
                <w:ind w:left="720" w:hanging="720"/>
                <w:rPr>
                  <w:noProof/>
                </w:rPr>
              </w:pPr>
              <w:r>
                <w:rPr>
                  <w:noProof/>
                </w:rPr>
                <w:t xml:space="preserve">Leventis, A. (2007). </w:t>
              </w:r>
              <w:r>
                <w:rPr>
                  <w:i/>
                  <w:iCs/>
                  <w:noProof/>
                </w:rPr>
                <w:t>A Note on the Differences between the OFHEO and S&amp;P/Case-Shiller House Price Indexes.</w:t>
              </w:r>
              <w:r>
                <w:rPr>
                  <w:noProof/>
                </w:rPr>
                <w:t xml:space="preserve"> Washington, D.C.: Office of Federal Housing Enterprise Oversight.</w:t>
              </w:r>
            </w:p>
            <w:p w14:paraId="26F70F7E" w14:textId="77777777" w:rsidR="007E3004" w:rsidRDefault="007E3004" w:rsidP="007E3004">
              <w:pPr>
                <w:pStyle w:val="Bibliography"/>
                <w:ind w:left="720" w:hanging="720"/>
                <w:rPr>
                  <w:noProof/>
                </w:rPr>
              </w:pPr>
              <w:r>
                <w:rPr>
                  <w:noProof/>
                </w:rPr>
                <w:t xml:space="preserve">Libby, R., Libby, P., &amp; Short, D. (2004). </w:t>
              </w:r>
              <w:r>
                <w:rPr>
                  <w:i/>
                  <w:iCs/>
                  <w:noProof/>
                </w:rPr>
                <w:t>Financial Accounting, 4th Edition.</w:t>
              </w:r>
              <w:r>
                <w:rPr>
                  <w:noProof/>
                </w:rPr>
                <w:t xml:space="preserve"> Columbus, OH: McGraw-Hill.</w:t>
              </w:r>
            </w:p>
            <w:p w14:paraId="6F1A1E80" w14:textId="77777777" w:rsidR="007E3004" w:rsidRDefault="007E3004" w:rsidP="007E3004">
              <w:pPr>
                <w:pStyle w:val="Bibliography"/>
                <w:ind w:left="720" w:hanging="720"/>
                <w:rPr>
                  <w:noProof/>
                </w:rPr>
              </w:pPr>
              <w:r>
                <w:rPr>
                  <w:noProof/>
                </w:rPr>
                <w:t xml:space="preserve">Lindsey, L. B. (2007, Spring). Fear and Greed: Why the American Housing Credit Crisis Is Worse Than You Think. </w:t>
              </w:r>
              <w:r>
                <w:rPr>
                  <w:i/>
                  <w:iCs/>
                  <w:noProof/>
                </w:rPr>
                <w:t>The International Economy</w:t>
              </w:r>
              <w:r>
                <w:rPr>
                  <w:noProof/>
                </w:rPr>
                <w:t>, p. 22+.</w:t>
              </w:r>
            </w:p>
            <w:p w14:paraId="58110A83" w14:textId="77777777" w:rsidR="007E3004" w:rsidRDefault="007E3004" w:rsidP="007E3004">
              <w:pPr>
                <w:pStyle w:val="Bibliography"/>
                <w:ind w:left="720" w:hanging="720"/>
                <w:rPr>
                  <w:noProof/>
                </w:rPr>
              </w:pPr>
              <w:r>
                <w:rPr>
                  <w:noProof/>
                </w:rPr>
                <w:t xml:space="preserve">Lowy, M. (1991). </w:t>
              </w:r>
              <w:r>
                <w:rPr>
                  <w:i/>
                  <w:iCs/>
                  <w:noProof/>
                </w:rPr>
                <w:t>High Rollers: Inside the Savings and Loan Debacle.</w:t>
              </w:r>
              <w:r>
                <w:rPr>
                  <w:noProof/>
                </w:rPr>
                <w:t xml:space="preserve"> Westport, CT: Praeger Publishers.</w:t>
              </w:r>
            </w:p>
            <w:p w14:paraId="20CD20BA" w14:textId="77777777" w:rsidR="007E3004" w:rsidRDefault="007E3004" w:rsidP="007E3004">
              <w:pPr>
                <w:pStyle w:val="Bibliography"/>
                <w:ind w:left="720" w:hanging="720"/>
                <w:rPr>
                  <w:noProof/>
                </w:rPr>
              </w:pPr>
              <w:r>
                <w:rPr>
                  <w:noProof/>
                </w:rPr>
                <w:t xml:space="preserve">Lucas, D. J., Goodman, L. S., &amp; Fabozzi, F. J. (2006). </w:t>
              </w:r>
              <w:r>
                <w:rPr>
                  <w:i/>
                  <w:iCs/>
                  <w:noProof/>
                </w:rPr>
                <w:t>Collateralized Debt Obligations: Structures and Analysis, 2nd Edition.</w:t>
              </w:r>
              <w:r>
                <w:rPr>
                  <w:noProof/>
                </w:rPr>
                <w:t xml:space="preserve"> New York, NY: John Wiley &amp; Sons Inc.</w:t>
              </w:r>
            </w:p>
            <w:p w14:paraId="786D50F0" w14:textId="77777777" w:rsidR="007E3004" w:rsidRDefault="007E3004" w:rsidP="007E3004">
              <w:pPr>
                <w:pStyle w:val="Bibliography"/>
                <w:ind w:left="720" w:hanging="720"/>
                <w:rPr>
                  <w:noProof/>
                </w:rPr>
              </w:pPr>
              <w:r>
                <w:rPr>
                  <w:noProof/>
                </w:rPr>
                <w:t xml:space="preserve">Mackay, C., Vega, J. d., &amp; Fridson, M. S. (1996). </w:t>
              </w:r>
              <w:r>
                <w:rPr>
                  <w:i/>
                  <w:iCs/>
                  <w:noProof/>
                </w:rPr>
                <w:t>Extraordinary Popular Delusions and the Madness of Crowds &amp; Confusion de Confusiones.</w:t>
              </w:r>
              <w:r>
                <w:rPr>
                  <w:noProof/>
                </w:rPr>
                <w:t xml:space="preserve"> New York, NY: John Wiley &amp; Sons, Inc.</w:t>
              </w:r>
            </w:p>
            <w:p w14:paraId="14C7116F" w14:textId="77777777" w:rsidR="007E3004" w:rsidRDefault="007E3004" w:rsidP="007E3004">
              <w:pPr>
                <w:pStyle w:val="Bibliography"/>
                <w:ind w:left="720" w:hanging="720"/>
                <w:rPr>
                  <w:noProof/>
                </w:rPr>
              </w:pPr>
              <w:r>
                <w:rPr>
                  <w:noProof/>
                </w:rPr>
                <w:t xml:space="preserve">Magee, R. D. (1998). </w:t>
              </w:r>
              <w:r>
                <w:rPr>
                  <w:i/>
                  <w:iCs/>
                  <w:noProof/>
                </w:rPr>
                <w:t>Technical Analysis of Stock Trends, 7th Edition.</w:t>
              </w:r>
              <w:r>
                <w:rPr>
                  <w:noProof/>
                </w:rPr>
                <w:t xml:space="preserve"> Boca Raton, FL: St. Lucie Press.</w:t>
              </w:r>
            </w:p>
            <w:p w14:paraId="33F487BF" w14:textId="77777777" w:rsidR="007E3004" w:rsidRDefault="007E3004" w:rsidP="007E3004">
              <w:pPr>
                <w:pStyle w:val="Bibliography"/>
                <w:ind w:left="720" w:hanging="720"/>
                <w:rPr>
                  <w:noProof/>
                </w:rPr>
              </w:pPr>
              <w:r>
                <w:rPr>
                  <w:noProof/>
                </w:rPr>
                <w:t xml:space="preserve">Mankiw, N. G. (2006). </w:t>
              </w:r>
              <w:r>
                <w:rPr>
                  <w:i/>
                  <w:iCs/>
                  <w:noProof/>
                </w:rPr>
                <w:t>Principles of Macroeconomics.</w:t>
              </w:r>
              <w:r>
                <w:rPr>
                  <w:noProof/>
                </w:rPr>
                <w:t xml:space="preserve"> South-Western College Pub; 4 edition.</w:t>
              </w:r>
            </w:p>
            <w:p w14:paraId="47087B9C" w14:textId="77777777" w:rsidR="007E3004" w:rsidRDefault="007E3004" w:rsidP="007E3004">
              <w:pPr>
                <w:pStyle w:val="Bibliography"/>
                <w:ind w:left="720" w:hanging="720"/>
                <w:rPr>
                  <w:noProof/>
                </w:rPr>
              </w:pPr>
              <w:r>
                <w:rPr>
                  <w:noProof/>
                </w:rPr>
                <w:t xml:space="preserve">Mankiw, N. G., &amp; Weil, D. N. (1989). The Baby Boom, the Baby Bust and the Housing Market. </w:t>
              </w:r>
              <w:r>
                <w:rPr>
                  <w:i/>
                  <w:iCs/>
                  <w:noProof/>
                </w:rPr>
                <w:t>Regional Science and Urban Economics</w:t>
              </w:r>
              <w:r>
                <w:rPr>
                  <w:noProof/>
                </w:rPr>
                <w:t>, 24.</w:t>
              </w:r>
            </w:p>
            <w:p w14:paraId="2B7AE59E" w14:textId="77777777" w:rsidR="007E3004" w:rsidRDefault="007E3004" w:rsidP="007E3004">
              <w:pPr>
                <w:pStyle w:val="Bibliography"/>
                <w:ind w:left="720" w:hanging="720"/>
                <w:rPr>
                  <w:noProof/>
                </w:rPr>
              </w:pPr>
              <w:r>
                <w:rPr>
                  <w:noProof/>
                </w:rPr>
                <w:t xml:space="preserve">Martin, R. F. (2005). </w:t>
              </w:r>
              <w:r>
                <w:rPr>
                  <w:i/>
                  <w:iCs/>
                  <w:noProof/>
                </w:rPr>
                <w:t>The Baby Boom: Predictability in House Prices and Interest Rates.</w:t>
              </w:r>
              <w:r>
                <w:rPr>
                  <w:noProof/>
                </w:rPr>
                <w:t xml:space="preserve"> Washington, DC: Federal Reserve Board of Governors.</w:t>
              </w:r>
            </w:p>
            <w:p w14:paraId="24C79EFD" w14:textId="77777777" w:rsidR="007E3004" w:rsidRDefault="007E3004" w:rsidP="007E3004">
              <w:pPr>
                <w:pStyle w:val="Bibliography"/>
                <w:ind w:left="720" w:hanging="720"/>
                <w:rPr>
                  <w:noProof/>
                </w:rPr>
              </w:pPr>
              <w:r>
                <w:rPr>
                  <w:noProof/>
                </w:rPr>
                <w:t xml:space="preserve">McCarthy, J., &amp; Peach, R. W. (2004). </w:t>
              </w:r>
              <w:r>
                <w:rPr>
                  <w:i/>
                  <w:iCs/>
                  <w:noProof/>
                </w:rPr>
                <w:t>Are Home Prices the Next Bubble.</w:t>
              </w:r>
              <w:r>
                <w:rPr>
                  <w:noProof/>
                </w:rPr>
                <w:t xml:space="preserve"> New York, NY: Federal Reserve Bank of New York.</w:t>
              </w:r>
            </w:p>
            <w:p w14:paraId="192B196B" w14:textId="77777777" w:rsidR="007E3004" w:rsidRDefault="007E3004" w:rsidP="007E3004">
              <w:pPr>
                <w:pStyle w:val="Bibliography"/>
                <w:ind w:left="720" w:hanging="720"/>
                <w:rPr>
                  <w:noProof/>
                </w:rPr>
              </w:pPr>
              <w:r>
                <w:rPr>
                  <w:noProof/>
                </w:rPr>
                <w:t xml:space="preserve">McElroy, K. (2004). </w:t>
              </w:r>
              <w:r>
                <w:rPr>
                  <w:i/>
                  <w:iCs/>
                  <w:noProof/>
                </w:rPr>
                <w:t>Rich Dad's Advisors®: The ABC's of Real Estate Investing: The Secrets of Finding Hidden Profits Most Investors Miss.</w:t>
              </w:r>
              <w:r>
                <w:rPr>
                  <w:noProof/>
                </w:rPr>
                <w:t xml:space="preserve"> Lebanon, IN: Business Plus.</w:t>
              </w:r>
            </w:p>
            <w:p w14:paraId="257AD89E" w14:textId="77777777" w:rsidR="007E3004" w:rsidRDefault="007E3004" w:rsidP="007E3004">
              <w:pPr>
                <w:pStyle w:val="Bibliography"/>
                <w:ind w:left="720" w:hanging="720"/>
                <w:rPr>
                  <w:noProof/>
                </w:rPr>
              </w:pPr>
              <w:r>
                <w:rPr>
                  <w:noProof/>
                </w:rPr>
                <w:t xml:space="preserve">McMillan, L. G. (2002). </w:t>
              </w:r>
              <w:r>
                <w:rPr>
                  <w:i/>
                  <w:iCs/>
                  <w:noProof/>
                </w:rPr>
                <w:t>Options as a Strategic Investment, Fourth Edition.</w:t>
              </w:r>
              <w:r>
                <w:rPr>
                  <w:noProof/>
                </w:rPr>
                <w:t xml:space="preserve"> New York, NY: New York Institute of Finance.</w:t>
              </w:r>
            </w:p>
            <w:p w14:paraId="74D4E875" w14:textId="77777777" w:rsidR="007E3004" w:rsidRDefault="007E3004" w:rsidP="007E3004">
              <w:pPr>
                <w:pStyle w:val="Bibliography"/>
                <w:ind w:left="720" w:hanging="720"/>
                <w:rPr>
                  <w:noProof/>
                </w:rPr>
              </w:pPr>
              <w:r>
                <w:rPr>
                  <w:noProof/>
                </w:rPr>
                <w:t xml:space="preserve">McMillan, L. G. (2004). </w:t>
              </w:r>
              <w:r>
                <w:rPr>
                  <w:i/>
                  <w:iCs/>
                  <w:noProof/>
                </w:rPr>
                <w:t>McMillan on Options, Second Edition.</w:t>
              </w:r>
              <w:r>
                <w:rPr>
                  <w:noProof/>
                </w:rPr>
                <w:t xml:space="preserve"> Hoboken, NJ: John Wiley &amp; Sons, Inc.</w:t>
              </w:r>
            </w:p>
            <w:p w14:paraId="26E6C026" w14:textId="77777777" w:rsidR="007E3004" w:rsidRDefault="007E3004" w:rsidP="007E3004">
              <w:pPr>
                <w:pStyle w:val="Bibliography"/>
                <w:ind w:left="720" w:hanging="720"/>
                <w:rPr>
                  <w:noProof/>
                </w:rPr>
              </w:pPr>
              <w:r>
                <w:rPr>
                  <w:noProof/>
                </w:rPr>
                <w:t xml:space="preserve">Miles, R. P. (2004). </w:t>
              </w:r>
              <w:r>
                <w:rPr>
                  <w:i/>
                  <w:iCs/>
                  <w:noProof/>
                </w:rPr>
                <w:t>Warren Buffett Wealth: Principles and Practical Methods Used by the World's Greatest Investor.</w:t>
              </w:r>
              <w:r>
                <w:rPr>
                  <w:noProof/>
                </w:rPr>
                <w:t xml:space="preserve"> New York, NY: John Wiley &amp; Sons, Inc.</w:t>
              </w:r>
            </w:p>
            <w:p w14:paraId="7D663E01" w14:textId="77777777" w:rsidR="007E3004" w:rsidRDefault="007E3004" w:rsidP="007E3004">
              <w:pPr>
                <w:pStyle w:val="Bibliography"/>
                <w:ind w:left="720" w:hanging="720"/>
                <w:rPr>
                  <w:noProof/>
                </w:rPr>
              </w:pPr>
              <w:r>
                <w:rPr>
                  <w:noProof/>
                </w:rPr>
                <w:t xml:space="preserve">Minsky, H. P. (1982). </w:t>
              </w:r>
              <w:r>
                <w:rPr>
                  <w:i/>
                  <w:iCs/>
                  <w:noProof/>
                </w:rPr>
                <w:t>Can "It" Happen Again? Essays on Instability and Finance.</w:t>
              </w:r>
              <w:r>
                <w:rPr>
                  <w:noProof/>
                </w:rPr>
                <w:t xml:space="preserve"> Unknown: M.E. Sharpe.</w:t>
              </w:r>
            </w:p>
            <w:p w14:paraId="5665A226" w14:textId="77777777" w:rsidR="007E3004" w:rsidRDefault="007E3004" w:rsidP="007E3004">
              <w:pPr>
                <w:pStyle w:val="Bibliography"/>
                <w:ind w:left="720" w:hanging="720"/>
                <w:rPr>
                  <w:noProof/>
                </w:rPr>
              </w:pPr>
              <w:r>
                <w:rPr>
                  <w:noProof/>
                </w:rPr>
                <w:t xml:space="preserve">Minsky, H. P. (2008). </w:t>
              </w:r>
              <w:r>
                <w:rPr>
                  <w:i/>
                  <w:iCs/>
                  <w:noProof/>
                </w:rPr>
                <w:t>Stablizing an Unstable Economy.</w:t>
              </w:r>
              <w:r>
                <w:rPr>
                  <w:noProof/>
                </w:rPr>
                <w:t xml:space="preserve"> New York, NY: McGraw-Hill.</w:t>
              </w:r>
            </w:p>
            <w:p w14:paraId="140A7A54" w14:textId="77777777" w:rsidR="007E3004" w:rsidRDefault="007E3004" w:rsidP="007E3004">
              <w:pPr>
                <w:pStyle w:val="Bibliography"/>
                <w:ind w:left="720" w:hanging="720"/>
                <w:rPr>
                  <w:noProof/>
                </w:rPr>
              </w:pPr>
              <w:r>
                <w:rPr>
                  <w:noProof/>
                </w:rPr>
                <w:t xml:space="preserve">Mints, V. (2006). </w:t>
              </w:r>
              <w:r>
                <w:rPr>
                  <w:i/>
                  <w:iCs/>
                  <w:noProof/>
                </w:rPr>
                <w:t>THe Mortgage Rate and Housing Bubbles.</w:t>
              </w:r>
              <w:r>
                <w:rPr>
                  <w:noProof/>
                </w:rPr>
                <w:t xml:space="preserve"> Moscow, Russia: Housing Finance International.</w:t>
              </w:r>
            </w:p>
            <w:p w14:paraId="710398EB" w14:textId="77777777" w:rsidR="007E3004" w:rsidRDefault="007E3004" w:rsidP="007E3004">
              <w:pPr>
                <w:pStyle w:val="Bibliography"/>
                <w:ind w:left="720" w:hanging="720"/>
                <w:rPr>
                  <w:noProof/>
                </w:rPr>
              </w:pPr>
              <w:r>
                <w:rPr>
                  <w:noProof/>
                </w:rPr>
                <w:lastRenderedPageBreak/>
                <w:t xml:space="preserve">Mortgage Bankers Association. (2007). </w:t>
              </w:r>
              <w:r>
                <w:rPr>
                  <w:i/>
                  <w:iCs/>
                  <w:noProof/>
                </w:rPr>
                <w:t>National Delinquency Survey.</w:t>
              </w:r>
              <w:r>
                <w:rPr>
                  <w:noProof/>
                </w:rPr>
                <w:t xml:space="preserve"> Mortgage Bankers Association.</w:t>
              </w:r>
            </w:p>
            <w:p w14:paraId="320E5640" w14:textId="77777777" w:rsidR="007E3004" w:rsidRDefault="007E3004" w:rsidP="007E3004">
              <w:pPr>
                <w:pStyle w:val="Bibliography"/>
                <w:ind w:left="720" w:hanging="720"/>
                <w:rPr>
                  <w:noProof/>
                </w:rPr>
              </w:pPr>
              <w:r>
                <w:rPr>
                  <w:noProof/>
                </w:rPr>
                <w:t xml:space="preserve">Muellbauer, J. (2007). Housing, Credit and Consumer Expeditures. </w:t>
              </w:r>
              <w:r>
                <w:rPr>
                  <w:i/>
                  <w:iCs/>
                  <w:noProof/>
                </w:rPr>
                <w:t>Housing, Housing Finance, and Monetary Policy</w:t>
              </w:r>
              <w:r>
                <w:rPr>
                  <w:noProof/>
                </w:rPr>
                <w:t xml:space="preserve"> (p. 63). Jackson Hole, WY: Federal Reserve Bank of Kansas City .</w:t>
              </w:r>
            </w:p>
            <w:p w14:paraId="6B0F97DC" w14:textId="77777777" w:rsidR="007E3004" w:rsidRDefault="007E3004" w:rsidP="007E3004">
              <w:pPr>
                <w:pStyle w:val="Bibliography"/>
                <w:ind w:left="720" w:hanging="720"/>
                <w:rPr>
                  <w:noProof/>
                </w:rPr>
              </w:pPr>
              <w:r>
                <w:rPr>
                  <w:noProof/>
                </w:rPr>
                <w:t xml:space="preserve">Myers, D., &amp; Ryu, S. (2008). Aging Baby Boomers and the Generational Housing Bubble: Foresight and Mitigation of an Epic Transition. </w:t>
              </w:r>
              <w:r>
                <w:rPr>
                  <w:i/>
                  <w:iCs/>
                  <w:noProof/>
                </w:rPr>
                <w:t>Journal of the American Planning</w:t>
              </w:r>
              <w:r>
                <w:rPr>
                  <w:noProof/>
                </w:rPr>
                <w:t>, 1-17.</w:t>
              </w:r>
            </w:p>
            <w:p w14:paraId="5041BF1E" w14:textId="77777777" w:rsidR="007E3004" w:rsidRDefault="007E3004" w:rsidP="007E3004">
              <w:pPr>
                <w:pStyle w:val="Bibliography"/>
                <w:ind w:left="720" w:hanging="720"/>
                <w:rPr>
                  <w:noProof/>
                </w:rPr>
              </w:pPr>
              <w:r>
                <w:rPr>
                  <w:noProof/>
                </w:rPr>
                <w:t xml:space="preserve">Natenberg, S. (1988). </w:t>
              </w:r>
              <w:r>
                <w:rPr>
                  <w:i/>
                  <w:iCs/>
                  <w:noProof/>
                </w:rPr>
                <w:t>Options Volatility and Pricing Strategies.</w:t>
              </w:r>
              <w:r>
                <w:rPr>
                  <w:noProof/>
                </w:rPr>
                <w:t xml:space="preserve"> Chicago, IL: Probus Publishing Company.</w:t>
              </w:r>
            </w:p>
            <w:p w14:paraId="054DC6D5" w14:textId="77777777" w:rsidR="007E3004" w:rsidRDefault="007E3004" w:rsidP="007E3004">
              <w:pPr>
                <w:pStyle w:val="Bibliography"/>
                <w:ind w:left="720" w:hanging="720"/>
                <w:rPr>
                  <w:noProof/>
                </w:rPr>
              </w:pPr>
              <w:r>
                <w:rPr>
                  <w:noProof/>
                </w:rPr>
                <w:t xml:space="preserve">National Multi Housing Council, National Apartment Association. (2004). </w:t>
              </w:r>
              <w:r>
                <w:rPr>
                  <w:i/>
                  <w:iCs/>
                  <w:noProof/>
                </w:rPr>
                <w:t>Renting Can Be a Smart Investment.</w:t>
              </w:r>
              <w:r>
                <w:rPr>
                  <w:noProof/>
                </w:rPr>
                <w:t xml:space="preserve"> Washington, DC &amp; Alexandria, VA: National Multi Housing Council, National Apartment Association.</w:t>
              </w:r>
            </w:p>
            <w:p w14:paraId="13D18032" w14:textId="77777777" w:rsidR="007E3004" w:rsidRDefault="007E3004" w:rsidP="007E3004">
              <w:pPr>
                <w:pStyle w:val="Bibliography"/>
                <w:ind w:left="720" w:hanging="720"/>
                <w:rPr>
                  <w:noProof/>
                </w:rPr>
              </w:pPr>
              <w:r>
                <w:rPr>
                  <w:noProof/>
                </w:rPr>
                <w:t xml:space="preserve">Orman, S. (2006). </w:t>
              </w:r>
              <w:r>
                <w:rPr>
                  <w:i/>
                  <w:iCs/>
                  <w:noProof/>
                </w:rPr>
                <w:t>The 9 Steps to Financial Freedom: Practical and Spiritual Steps So You Can Stop Worrying, 3rd edition.</w:t>
              </w:r>
              <w:r>
                <w:rPr>
                  <w:noProof/>
                </w:rPr>
                <w:t xml:space="preserve"> New York, NY: Three Rivers Press.</w:t>
              </w:r>
            </w:p>
            <w:p w14:paraId="672FB516" w14:textId="77777777" w:rsidR="007E3004" w:rsidRDefault="007E3004" w:rsidP="007E3004">
              <w:pPr>
                <w:pStyle w:val="Bibliography"/>
                <w:ind w:left="720" w:hanging="720"/>
                <w:rPr>
                  <w:noProof/>
                </w:rPr>
              </w:pPr>
              <w:r>
                <w:rPr>
                  <w:noProof/>
                </w:rPr>
                <w:t xml:space="preserve">Orwell, G. (1950). </w:t>
              </w:r>
              <w:r>
                <w:rPr>
                  <w:i/>
                  <w:iCs/>
                  <w:noProof/>
                </w:rPr>
                <w:t>1984.</w:t>
              </w:r>
              <w:r>
                <w:rPr>
                  <w:noProof/>
                </w:rPr>
                <w:t xml:space="preserve"> New York, NY: Signet Classics.</w:t>
              </w:r>
            </w:p>
            <w:p w14:paraId="2C42EC4D" w14:textId="77777777" w:rsidR="007E3004" w:rsidRDefault="007E3004" w:rsidP="007E3004">
              <w:pPr>
                <w:pStyle w:val="Bibliography"/>
                <w:ind w:left="720" w:hanging="720"/>
                <w:rPr>
                  <w:noProof/>
                </w:rPr>
              </w:pPr>
              <w:r>
                <w:rPr>
                  <w:noProof/>
                </w:rPr>
                <w:t xml:space="preserve">Paulson, H. M. (2007). Current Housing and Mortgage Market Developments. </w:t>
              </w:r>
              <w:r>
                <w:rPr>
                  <w:i/>
                  <w:iCs/>
                  <w:noProof/>
                </w:rPr>
                <w:t>Georgetown University Law Center</w:t>
              </w:r>
              <w:r>
                <w:rPr>
                  <w:noProof/>
                </w:rPr>
                <w:t xml:space="preserve"> (p. 1). Washington, D.C.: US Department of Treasury.</w:t>
              </w:r>
            </w:p>
            <w:p w14:paraId="1E70219D" w14:textId="77777777" w:rsidR="007E3004" w:rsidRDefault="007E3004" w:rsidP="007E3004">
              <w:pPr>
                <w:pStyle w:val="Bibliography"/>
                <w:ind w:left="720" w:hanging="720"/>
                <w:rPr>
                  <w:noProof/>
                </w:rPr>
              </w:pPr>
              <w:r>
                <w:rPr>
                  <w:noProof/>
                </w:rPr>
                <w:t xml:space="preserve">Peterson, J. R. (2005). Designer Mortgages: The Boom in Nontraditional Mortgage Loans May Be a Double-Edged Sword. So Far, Most Banks Have Moved Cautiously. </w:t>
              </w:r>
              <w:r>
                <w:rPr>
                  <w:i/>
                  <w:iCs/>
                  <w:noProof/>
                </w:rPr>
                <w:t>ABA Banking Journal</w:t>
              </w:r>
              <w:r>
                <w:rPr>
                  <w:noProof/>
                </w:rPr>
                <w:t>, 30+.</w:t>
              </w:r>
            </w:p>
            <w:p w14:paraId="4EC63D21" w14:textId="77777777" w:rsidR="007E3004" w:rsidRDefault="007E3004" w:rsidP="007E3004">
              <w:pPr>
                <w:pStyle w:val="Bibliography"/>
                <w:ind w:left="720" w:hanging="720"/>
                <w:rPr>
                  <w:noProof/>
                </w:rPr>
              </w:pPr>
              <w:r>
                <w:rPr>
                  <w:noProof/>
                </w:rPr>
                <w:t xml:space="preserve">Poole, R., Ptacek, F., &amp; Verbrugge, R. (2005). </w:t>
              </w:r>
              <w:r>
                <w:rPr>
                  <w:i/>
                  <w:iCs/>
                  <w:noProof/>
                </w:rPr>
                <w:t>Treatment of Owner-Occupied Housing in the CPI.</w:t>
              </w:r>
              <w:r>
                <w:rPr>
                  <w:noProof/>
                </w:rPr>
                <w:t xml:space="preserve"> Washington, DC: Federal Economic Statistics Advisory Committee.</w:t>
              </w:r>
            </w:p>
            <w:p w14:paraId="26240490" w14:textId="77777777" w:rsidR="007E3004" w:rsidRDefault="007E3004" w:rsidP="007E3004">
              <w:pPr>
                <w:pStyle w:val="Bibliography"/>
                <w:ind w:left="720" w:hanging="720"/>
                <w:rPr>
                  <w:noProof/>
                </w:rPr>
              </w:pPr>
              <w:r>
                <w:rPr>
                  <w:noProof/>
                </w:rPr>
                <w:t xml:space="preserve">Porter, D., &amp; Smith, V. (1992). </w:t>
              </w:r>
              <w:r>
                <w:rPr>
                  <w:i/>
                  <w:iCs/>
                  <w:noProof/>
                </w:rPr>
                <w:t>Price Expectations in Experimental Asset Markets with Futures Contracting.</w:t>
              </w:r>
              <w:r>
                <w:rPr>
                  <w:noProof/>
                </w:rPr>
                <w:t xml:space="preserve"> Pasadena, CA: California Institute of Technology.</w:t>
              </w:r>
            </w:p>
            <w:p w14:paraId="4ECFDF87" w14:textId="77777777" w:rsidR="007E3004" w:rsidRDefault="007E3004" w:rsidP="007E3004">
              <w:pPr>
                <w:pStyle w:val="Bibliography"/>
                <w:ind w:left="720" w:hanging="720"/>
                <w:rPr>
                  <w:noProof/>
                </w:rPr>
              </w:pPr>
              <w:r>
                <w:rPr>
                  <w:noProof/>
                </w:rPr>
                <w:t xml:space="preserve">Posen, A. (2006). </w:t>
              </w:r>
              <w:r>
                <w:rPr>
                  <w:i/>
                  <w:iCs/>
                  <w:noProof/>
                </w:rPr>
                <w:t>Why Central Banks Should Not Burst Bubbles.</w:t>
              </w:r>
              <w:r>
                <w:rPr>
                  <w:noProof/>
                </w:rPr>
                <w:t xml:space="preserve"> Washington, DC: Institute for International Economics.</w:t>
              </w:r>
            </w:p>
            <w:p w14:paraId="17BF285E" w14:textId="77777777" w:rsidR="007E3004" w:rsidRDefault="007E3004" w:rsidP="007E3004">
              <w:pPr>
                <w:pStyle w:val="Bibliography"/>
                <w:ind w:left="720" w:hanging="720"/>
                <w:rPr>
                  <w:noProof/>
                </w:rPr>
              </w:pPr>
              <w:r>
                <w:rPr>
                  <w:noProof/>
                </w:rPr>
                <w:t xml:space="preserve">Posen, A. S. (2003). </w:t>
              </w:r>
              <w:r>
                <w:rPr>
                  <w:i/>
                  <w:iCs/>
                  <w:noProof/>
                </w:rPr>
                <w:t>It Takes more than a Bubble to Become Japan.</w:t>
              </w:r>
              <w:r>
                <w:rPr>
                  <w:noProof/>
                </w:rPr>
                <w:t xml:space="preserve"> Washington, DC: Institute for International Economics.</w:t>
              </w:r>
            </w:p>
            <w:p w14:paraId="1B7C6E53" w14:textId="77777777" w:rsidR="007E3004" w:rsidRDefault="007E3004" w:rsidP="007E3004">
              <w:pPr>
                <w:pStyle w:val="Bibliography"/>
                <w:ind w:left="720" w:hanging="720"/>
                <w:rPr>
                  <w:noProof/>
                </w:rPr>
              </w:pPr>
              <w:r>
                <w:rPr>
                  <w:noProof/>
                </w:rPr>
                <w:t xml:space="preserve">Rappaport, J. (2006). </w:t>
              </w:r>
              <w:r>
                <w:rPr>
                  <w:i/>
                  <w:iCs/>
                  <w:noProof/>
                </w:rPr>
                <w:t>A Guide to Aggregate House Price Measures.</w:t>
              </w:r>
              <w:r>
                <w:rPr>
                  <w:noProof/>
                </w:rPr>
                <w:t xml:space="preserve"> Kansas City, MO: Federal Reserve Bank of Kansas City.</w:t>
              </w:r>
            </w:p>
            <w:p w14:paraId="0FA12745" w14:textId="77777777" w:rsidR="007E3004" w:rsidRDefault="007E3004" w:rsidP="007E3004">
              <w:pPr>
                <w:pStyle w:val="Bibliography"/>
                <w:ind w:left="720" w:hanging="720"/>
                <w:rPr>
                  <w:noProof/>
                </w:rPr>
              </w:pPr>
              <w:r>
                <w:rPr>
                  <w:noProof/>
                </w:rPr>
                <w:t xml:space="preserve">Rubino, J. (2003). </w:t>
              </w:r>
              <w:r>
                <w:rPr>
                  <w:i/>
                  <w:iCs/>
                  <w:noProof/>
                </w:rPr>
                <w:t>How to Profit from the Coming Real Estate Bust.</w:t>
              </w:r>
              <w:r>
                <w:rPr>
                  <w:noProof/>
                </w:rPr>
                <w:t xml:space="preserve"> Rodale.</w:t>
              </w:r>
            </w:p>
            <w:p w14:paraId="346C2FA0" w14:textId="77777777" w:rsidR="007E3004" w:rsidRDefault="007E3004" w:rsidP="007E3004">
              <w:pPr>
                <w:pStyle w:val="Bibliography"/>
                <w:ind w:left="720" w:hanging="720"/>
                <w:rPr>
                  <w:noProof/>
                </w:rPr>
              </w:pPr>
              <w:r>
                <w:rPr>
                  <w:noProof/>
                </w:rPr>
                <w:t xml:space="preserve">Schiller, T. (2007, Fall). Housing: Boom or Bubble. </w:t>
              </w:r>
              <w:r>
                <w:rPr>
                  <w:i/>
                  <w:iCs/>
                  <w:noProof/>
                </w:rPr>
                <w:t>Business Review</w:t>
              </w:r>
              <w:r>
                <w:rPr>
                  <w:noProof/>
                </w:rPr>
                <w:t>, p. 10.</w:t>
              </w:r>
            </w:p>
            <w:p w14:paraId="356BD163" w14:textId="77777777" w:rsidR="007E3004" w:rsidRDefault="007E3004" w:rsidP="007E3004">
              <w:pPr>
                <w:pStyle w:val="Bibliography"/>
                <w:ind w:left="720" w:hanging="720"/>
                <w:rPr>
                  <w:noProof/>
                </w:rPr>
              </w:pPr>
              <w:r>
                <w:rPr>
                  <w:noProof/>
                </w:rPr>
                <w:t xml:space="preserve">Schwager, J. D. (2003). </w:t>
              </w:r>
              <w:r>
                <w:rPr>
                  <w:i/>
                  <w:iCs/>
                  <w:noProof/>
                </w:rPr>
                <w:t>Stock Market Wizards.</w:t>
              </w:r>
              <w:r>
                <w:rPr>
                  <w:noProof/>
                </w:rPr>
                <w:t xml:space="preserve"> New York, NY: Harper Collins.</w:t>
              </w:r>
            </w:p>
            <w:p w14:paraId="044C88A7" w14:textId="77777777" w:rsidR="007E3004" w:rsidRDefault="007E3004" w:rsidP="007E3004">
              <w:pPr>
                <w:pStyle w:val="Bibliography"/>
                <w:ind w:left="720" w:hanging="720"/>
                <w:rPr>
                  <w:noProof/>
                </w:rPr>
              </w:pPr>
              <w:r>
                <w:rPr>
                  <w:noProof/>
                </w:rPr>
                <w:t xml:space="preserve">Shakespeare, W. (1603). </w:t>
              </w:r>
              <w:r>
                <w:rPr>
                  <w:i/>
                  <w:iCs/>
                  <w:noProof/>
                </w:rPr>
                <w:t>Macbeth.</w:t>
              </w:r>
              <w:r>
                <w:rPr>
                  <w:noProof/>
                </w:rPr>
                <w:t xml:space="preserve"> Stratford-upon-Avon.</w:t>
              </w:r>
            </w:p>
            <w:p w14:paraId="07231F4D" w14:textId="77777777" w:rsidR="007E3004" w:rsidRDefault="007E3004" w:rsidP="007E3004">
              <w:pPr>
                <w:pStyle w:val="Bibliography"/>
                <w:ind w:left="720" w:hanging="720"/>
                <w:rPr>
                  <w:noProof/>
                </w:rPr>
              </w:pPr>
              <w:r>
                <w:rPr>
                  <w:noProof/>
                </w:rPr>
                <w:t xml:space="preserve">Shiller, R. J. (2001). </w:t>
              </w:r>
              <w:r>
                <w:rPr>
                  <w:i/>
                  <w:iCs/>
                  <w:noProof/>
                </w:rPr>
                <w:t>Bubbles, Human Judgment, and Expert Opinion.</w:t>
              </w:r>
              <w:r>
                <w:rPr>
                  <w:noProof/>
                </w:rPr>
                <w:t xml:space="preserve"> New Haven, CT: Cowles Foundation for Research in Economics, Yale University.</w:t>
              </w:r>
            </w:p>
            <w:p w14:paraId="69747C07" w14:textId="77777777" w:rsidR="007E3004" w:rsidRDefault="007E3004" w:rsidP="007E3004">
              <w:pPr>
                <w:pStyle w:val="Bibliography"/>
                <w:ind w:left="720" w:hanging="720"/>
                <w:rPr>
                  <w:noProof/>
                </w:rPr>
              </w:pPr>
              <w:r>
                <w:rPr>
                  <w:noProof/>
                </w:rPr>
                <w:t xml:space="preserve">Shiller, R. J. (2002). </w:t>
              </w:r>
              <w:r>
                <w:rPr>
                  <w:i/>
                  <w:iCs/>
                  <w:noProof/>
                </w:rPr>
                <w:t>From Efficient Market Theory to Behavioral Finance.</w:t>
              </w:r>
              <w:r>
                <w:rPr>
                  <w:noProof/>
                </w:rPr>
                <w:t xml:space="preserve"> New Haven, CT: Cowles Foundation for Research in Economics, Yale University.</w:t>
              </w:r>
            </w:p>
            <w:p w14:paraId="34C6F515" w14:textId="77777777" w:rsidR="007E3004" w:rsidRDefault="007E3004" w:rsidP="007E3004">
              <w:pPr>
                <w:pStyle w:val="Bibliography"/>
                <w:ind w:left="720" w:hanging="720"/>
                <w:rPr>
                  <w:noProof/>
                </w:rPr>
              </w:pPr>
              <w:r>
                <w:rPr>
                  <w:noProof/>
                </w:rPr>
                <w:lastRenderedPageBreak/>
                <w:t xml:space="preserve">Shiller, R. J. (2004). </w:t>
              </w:r>
              <w:r>
                <w:rPr>
                  <w:i/>
                  <w:iCs/>
                  <w:noProof/>
                </w:rPr>
                <w:t>Household Reaction to Changes in Housing Wealth.</w:t>
              </w:r>
              <w:r>
                <w:rPr>
                  <w:noProof/>
                </w:rPr>
                <w:t xml:space="preserve"> New Haven, CT: Cowles Foundation for Research in Economics, Yale University.</w:t>
              </w:r>
            </w:p>
            <w:p w14:paraId="4FB4E69E" w14:textId="77777777" w:rsidR="007E3004" w:rsidRDefault="007E3004" w:rsidP="007E3004">
              <w:pPr>
                <w:pStyle w:val="Bibliography"/>
                <w:ind w:left="720" w:hanging="720"/>
                <w:rPr>
                  <w:noProof/>
                </w:rPr>
              </w:pPr>
              <w:r>
                <w:rPr>
                  <w:noProof/>
                </w:rPr>
                <w:t xml:space="preserve">Shiller, R. J. (2005). </w:t>
              </w:r>
              <w:r>
                <w:rPr>
                  <w:i/>
                  <w:iCs/>
                  <w:noProof/>
                </w:rPr>
                <w:t>Irrational Exuberance.</w:t>
              </w:r>
              <w:r>
                <w:rPr>
                  <w:noProof/>
                </w:rPr>
                <w:t xml:space="preserve"> Doubleday.</w:t>
              </w:r>
            </w:p>
            <w:p w14:paraId="6A0019E1" w14:textId="77777777" w:rsidR="007E3004" w:rsidRDefault="007E3004" w:rsidP="007E3004">
              <w:pPr>
                <w:pStyle w:val="Bibliography"/>
                <w:ind w:left="720" w:hanging="720"/>
                <w:rPr>
                  <w:noProof/>
                </w:rPr>
              </w:pPr>
              <w:r>
                <w:rPr>
                  <w:noProof/>
                </w:rPr>
                <w:t xml:space="preserve">Shiller, R. J. (2007). </w:t>
              </w:r>
              <w:r>
                <w:rPr>
                  <w:i/>
                  <w:iCs/>
                  <w:noProof/>
                </w:rPr>
                <w:t>Historic Turning Points in Real Estate.</w:t>
              </w:r>
              <w:r>
                <w:rPr>
                  <w:noProof/>
                </w:rPr>
                <w:t xml:space="preserve"> New Haven, CT: Cowles Foundation for Research in Economics, Yale University.</w:t>
              </w:r>
            </w:p>
            <w:p w14:paraId="20EDCED1" w14:textId="77777777" w:rsidR="007E3004" w:rsidRDefault="007E3004" w:rsidP="007E3004">
              <w:pPr>
                <w:pStyle w:val="Bibliography"/>
                <w:ind w:left="720" w:hanging="720"/>
                <w:rPr>
                  <w:noProof/>
                </w:rPr>
              </w:pPr>
              <w:r>
                <w:rPr>
                  <w:noProof/>
                </w:rPr>
                <w:t xml:space="preserve">Shiller, R. J. (2007). </w:t>
              </w:r>
              <w:r>
                <w:rPr>
                  <w:i/>
                  <w:iCs/>
                  <w:noProof/>
                </w:rPr>
                <w:t>Understanding Recent Trends in House Prices and Home Ownership.</w:t>
              </w:r>
              <w:r>
                <w:rPr>
                  <w:noProof/>
                </w:rPr>
                <w:t xml:space="preserve"> New Haven, CT: Cowles Foundation for Research in Economics, Yale University.</w:t>
              </w:r>
            </w:p>
            <w:p w14:paraId="5E23E7FD" w14:textId="77777777" w:rsidR="007E3004" w:rsidRDefault="007E3004" w:rsidP="007E3004">
              <w:pPr>
                <w:pStyle w:val="Bibliography"/>
                <w:ind w:left="720" w:hanging="720"/>
                <w:rPr>
                  <w:noProof/>
                </w:rPr>
              </w:pPr>
              <w:r>
                <w:rPr>
                  <w:noProof/>
                </w:rPr>
                <w:t xml:space="preserve">Shiller, R. J., &amp; N.Weiss, A. (1998). Moral Hazard in Home Equity Conversion. </w:t>
              </w:r>
              <w:r>
                <w:rPr>
                  <w:i/>
                  <w:iCs/>
                  <w:noProof/>
                </w:rPr>
                <w:t>AREUEA–ASSA session</w:t>
              </w:r>
              <w:r>
                <w:rPr>
                  <w:noProof/>
                </w:rPr>
                <w:t xml:space="preserve"> (p. 29). Chicago Illinois: AREUEA–ASSA session.</w:t>
              </w:r>
            </w:p>
            <w:p w14:paraId="2287BA5D" w14:textId="77777777" w:rsidR="007E3004" w:rsidRDefault="007E3004" w:rsidP="007E3004">
              <w:pPr>
                <w:pStyle w:val="Bibliography"/>
                <w:ind w:left="720" w:hanging="720"/>
                <w:rPr>
                  <w:noProof/>
                </w:rPr>
              </w:pPr>
              <w:r>
                <w:rPr>
                  <w:noProof/>
                </w:rPr>
                <w:t xml:space="preserve">Shiratsuka, S. (2003). </w:t>
              </w:r>
              <w:r>
                <w:rPr>
                  <w:i/>
                  <w:iCs/>
                  <w:noProof/>
                </w:rPr>
                <w:t>Asset Price Bubble in Japan in the 1980s: Lessons for Financial and Macroeconomic Stability.</w:t>
              </w:r>
              <w:r>
                <w:rPr>
                  <w:noProof/>
                </w:rPr>
                <w:t xml:space="preserve"> Tokyo, Japan: Institute for Monetary and Economic Studies -- Bank of Japan.</w:t>
              </w:r>
            </w:p>
            <w:p w14:paraId="4C055960" w14:textId="77777777" w:rsidR="007E3004" w:rsidRDefault="007E3004" w:rsidP="007E3004">
              <w:pPr>
                <w:pStyle w:val="Bibliography"/>
                <w:ind w:left="720" w:hanging="720"/>
                <w:rPr>
                  <w:noProof/>
                </w:rPr>
              </w:pPr>
              <w:r>
                <w:rPr>
                  <w:noProof/>
                </w:rPr>
                <w:t xml:space="preserve">Shleifer, A. (2000). </w:t>
              </w:r>
              <w:r>
                <w:rPr>
                  <w:i/>
                  <w:iCs/>
                  <w:noProof/>
                </w:rPr>
                <w:t>Inefficient Markets: An Introduction to Behavioral Finance.</w:t>
              </w:r>
              <w:r>
                <w:rPr>
                  <w:noProof/>
                </w:rPr>
                <w:t xml:space="preserve"> Oxford University Press, USA.</w:t>
              </w:r>
            </w:p>
            <w:p w14:paraId="04429EAE" w14:textId="77777777" w:rsidR="007E3004" w:rsidRDefault="007E3004" w:rsidP="007E3004">
              <w:pPr>
                <w:pStyle w:val="Bibliography"/>
                <w:ind w:left="720" w:hanging="720"/>
                <w:rPr>
                  <w:noProof/>
                </w:rPr>
              </w:pPr>
              <w:r>
                <w:rPr>
                  <w:noProof/>
                </w:rPr>
                <w:t xml:space="preserve">Sinai, T. (2008). </w:t>
              </w:r>
              <w:r>
                <w:rPr>
                  <w:i/>
                  <w:iCs/>
                  <w:noProof/>
                </w:rPr>
                <w:t>The Inequity of Subprime Mortgage Relief Programs.</w:t>
              </w:r>
              <w:r>
                <w:rPr>
                  <w:noProof/>
                </w:rPr>
                <w:t xml:space="preserve"> Washington, DC: FreedomWorks Foundation.</w:t>
              </w:r>
            </w:p>
            <w:p w14:paraId="0ACE34C8" w14:textId="77777777" w:rsidR="007E3004" w:rsidRDefault="007E3004" w:rsidP="007E3004">
              <w:pPr>
                <w:pStyle w:val="Bibliography"/>
                <w:ind w:left="720" w:hanging="720"/>
                <w:rPr>
                  <w:noProof/>
                </w:rPr>
              </w:pPr>
              <w:r>
                <w:rPr>
                  <w:noProof/>
                </w:rPr>
                <w:t xml:space="preserve">Smith, V. L. (2000). Exchange, Economic Theory, and the Hayek Critique. </w:t>
              </w:r>
              <w:r>
                <w:rPr>
                  <w:i/>
                  <w:iCs/>
                  <w:noProof/>
                </w:rPr>
                <w:t>Encyclopedia of Cognitive Science</w:t>
              </w:r>
              <w:r>
                <w:rPr>
                  <w:noProof/>
                </w:rPr>
                <w:t>, 42.</w:t>
              </w:r>
            </w:p>
            <w:p w14:paraId="23CB9FA5" w14:textId="77777777" w:rsidR="007E3004" w:rsidRDefault="007E3004" w:rsidP="007E3004">
              <w:pPr>
                <w:pStyle w:val="Bibliography"/>
                <w:ind w:left="720" w:hanging="720"/>
                <w:rPr>
                  <w:noProof/>
                </w:rPr>
              </w:pPr>
              <w:r>
                <w:rPr>
                  <w:noProof/>
                </w:rPr>
                <w:t xml:space="preserve">Smith, V. L. (2004). Human Nature: An Economic Perspective. </w:t>
              </w:r>
              <w:r>
                <w:rPr>
                  <w:i/>
                  <w:iCs/>
                  <w:noProof/>
                </w:rPr>
                <w:t>Daedalus</w:t>
              </w:r>
              <w:r>
                <w:rPr>
                  <w:noProof/>
                </w:rPr>
                <w:t>, 67+.</w:t>
              </w:r>
            </w:p>
            <w:p w14:paraId="55B83F40" w14:textId="77777777" w:rsidR="007E3004" w:rsidRDefault="007E3004" w:rsidP="007E3004">
              <w:pPr>
                <w:pStyle w:val="Bibliography"/>
                <w:ind w:left="720" w:hanging="720"/>
                <w:rPr>
                  <w:noProof/>
                </w:rPr>
              </w:pPr>
              <w:r>
                <w:rPr>
                  <w:noProof/>
                </w:rPr>
                <w:t xml:space="preserve">Smith, V. L., &amp; Porter, D. (1992). </w:t>
              </w:r>
              <w:r>
                <w:rPr>
                  <w:i/>
                  <w:iCs/>
                  <w:noProof/>
                </w:rPr>
                <w:t>Price Expectations in Experimental Asset Markets with Futures Contracting.</w:t>
              </w:r>
              <w:r>
                <w:rPr>
                  <w:noProof/>
                </w:rPr>
                <w:t xml:space="preserve"> Pasadena, CA: California Institute of Technology.</w:t>
              </w:r>
            </w:p>
            <w:p w14:paraId="185F70F0" w14:textId="77777777" w:rsidR="007E3004" w:rsidRDefault="007E3004" w:rsidP="007E3004">
              <w:pPr>
                <w:pStyle w:val="Bibliography"/>
                <w:ind w:left="720" w:hanging="720"/>
                <w:rPr>
                  <w:noProof/>
                </w:rPr>
              </w:pPr>
              <w:r>
                <w:rPr>
                  <w:noProof/>
                </w:rPr>
                <w:t xml:space="preserve">Smith, V. L., Suchanek, G. L., &amp; Williams, A. W. (1988). Bubbles, Crashes, and Endogenous Expectations in Experimental Spot Asset Markets. </w:t>
              </w:r>
              <w:r>
                <w:rPr>
                  <w:i/>
                  <w:iCs/>
                  <w:noProof/>
                </w:rPr>
                <w:t>Econometrica</w:t>
              </w:r>
              <w:r>
                <w:rPr>
                  <w:noProof/>
                </w:rPr>
                <w:t>, 56.</w:t>
              </w:r>
            </w:p>
            <w:p w14:paraId="207C763D" w14:textId="77777777" w:rsidR="007E3004" w:rsidRDefault="007E3004" w:rsidP="007E3004">
              <w:pPr>
                <w:pStyle w:val="Bibliography"/>
                <w:ind w:left="720" w:hanging="720"/>
                <w:rPr>
                  <w:noProof/>
                </w:rPr>
              </w:pPr>
              <w:r>
                <w:rPr>
                  <w:noProof/>
                </w:rPr>
                <w:t xml:space="preserve">Soros, G. (1994). </w:t>
              </w:r>
              <w:r>
                <w:rPr>
                  <w:i/>
                  <w:iCs/>
                  <w:noProof/>
                </w:rPr>
                <w:t>The Alchemy of Finance: Reading the Mind of the Market.</w:t>
              </w:r>
              <w:r>
                <w:rPr>
                  <w:noProof/>
                </w:rPr>
                <w:t xml:space="preserve"> New York, NY: John Wiley &amp; Sons, Inc.</w:t>
              </w:r>
            </w:p>
            <w:p w14:paraId="61D0CDD6" w14:textId="77777777" w:rsidR="007E3004" w:rsidRDefault="007E3004" w:rsidP="007E3004">
              <w:pPr>
                <w:pStyle w:val="Bibliography"/>
                <w:ind w:left="720" w:hanging="720"/>
                <w:rPr>
                  <w:noProof/>
                </w:rPr>
              </w:pPr>
              <w:r>
                <w:rPr>
                  <w:noProof/>
                </w:rPr>
                <w:t xml:space="preserve">Soto, J. H. (2006). </w:t>
              </w:r>
              <w:r>
                <w:rPr>
                  <w:i/>
                  <w:iCs/>
                  <w:noProof/>
                </w:rPr>
                <w:t>Money, Bank Credit, and Economic Cycles.</w:t>
              </w:r>
              <w:r>
                <w:rPr>
                  <w:noProof/>
                </w:rPr>
                <w:t xml:space="preserve"> Ludwig von Mises Institute.</w:t>
              </w:r>
            </w:p>
            <w:p w14:paraId="2275761E" w14:textId="77777777" w:rsidR="007E3004" w:rsidRDefault="007E3004" w:rsidP="007E3004">
              <w:pPr>
                <w:pStyle w:val="Bibliography"/>
                <w:ind w:left="720" w:hanging="720"/>
                <w:rPr>
                  <w:noProof/>
                </w:rPr>
              </w:pPr>
              <w:r>
                <w:rPr>
                  <w:noProof/>
                </w:rPr>
                <w:t xml:space="preserve">Sullivan, P. (2006, January 20). William 'Bud' Post III; Unhappy Lottery Winner. </w:t>
              </w:r>
              <w:r>
                <w:rPr>
                  <w:i/>
                  <w:iCs/>
                  <w:noProof/>
                </w:rPr>
                <w:t>Washington Post</w:t>
              </w:r>
              <w:r>
                <w:rPr>
                  <w:noProof/>
                </w:rPr>
                <w:t>, p. 1.</w:t>
              </w:r>
            </w:p>
            <w:p w14:paraId="0F411B8B" w14:textId="77777777" w:rsidR="007E3004" w:rsidRDefault="007E3004" w:rsidP="007E3004">
              <w:pPr>
                <w:pStyle w:val="Bibliography"/>
                <w:ind w:left="720" w:hanging="720"/>
                <w:rPr>
                  <w:noProof/>
                </w:rPr>
              </w:pPr>
              <w:r>
                <w:rPr>
                  <w:noProof/>
                </w:rPr>
                <w:t xml:space="preserve">Susanne Cannon, N. G. (2003). </w:t>
              </w:r>
              <w:r>
                <w:rPr>
                  <w:i/>
                  <w:iCs/>
                  <w:noProof/>
                </w:rPr>
                <w:t>Risk and Return in the U.S. Housing Market: A Cross-Sectional Asset-Pricing Approach.</w:t>
              </w:r>
              <w:r>
                <w:rPr>
                  <w:noProof/>
                </w:rPr>
                <w:t xml:space="preserve"> </w:t>
              </w:r>
            </w:p>
            <w:p w14:paraId="4FCA5147" w14:textId="77777777" w:rsidR="007E3004" w:rsidRDefault="007E3004" w:rsidP="007E3004">
              <w:pPr>
                <w:pStyle w:val="Bibliography"/>
                <w:ind w:left="720" w:hanging="720"/>
                <w:rPr>
                  <w:noProof/>
                </w:rPr>
              </w:pPr>
              <w:r>
                <w:rPr>
                  <w:noProof/>
                </w:rPr>
                <w:t xml:space="preserve">Talbott, J. R. (2003). </w:t>
              </w:r>
              <w:r>
                <w:rPr>
                  <w:i/>
                  <w:iCs/>
                  <w:noProof/>
                </w:rPr>
                <w:t>The Coming Crash in the Housing Market.</w:t>
              </w:r>
              <w:r>
                <w:rPr>
                  <w:noProof/>
                </w:rPr>
                <w:t xml:space="preserve"> New York, NY: McGraw-Hill, Inc.</w:t>
              </w:r>
            </w:p>
            <w:p w14:paraId="1F9CE9F6" w14:textId="77777777" w:rsidR="007E3004" w:rsidRDefault="007E3004" w:rsidP="007E3004">
              <w:pPr>
                <w:pStyle w:val="Bibliography"/>
                <w:ind w:left="720" w:hanging="720"/>
                <w:rPr>
                  <w:noProof/>
                </w:rPr>
              </w:pPr>
              <w:r>
                <w:rPr>
                  <w:noProof/>
                </w:rPr>
                <w:t xml:space="preserve">Talbott, J. R. (2006). </w:t>
              </w:r>
              <w:r>
                <w:rPr>
                  <w:i/>
                  <w:iCs/>
                  <w:noProof/>
                </w:rPr>
                <w:t>Sell Now! The End of the Housing Bubble.</w:t>
              </w:r>
              <w:r>
                <w:rPr>
                  <w:noProof/>
                </w:rPr>
                <w:t xml:space="preserve"> New York, NY: St. Martins Press.</w:t>
              </w:r>
            </w:p>
            <w:p w14:paraId="61C83BB0" w14:textId="77777777" w:rsidR="007E3004" w:rsidRDefault="007E3004" w:rsidP="007E3004">
              <w:pPr>
                <w:pStyle w:val="Bibliography"/>
                <w:ind w:left="720" w:hanging="720"/>
                <w:rPr>
                  <w:noProof/>
                </w:rPr>
              </w:pPr>
              <w:r>
                <w:rPr>
                  <w:noProof/>
                </w:rPr>
                <w:t xml:space="preserve">Taleb, N. N. (2007). </w:t>
              </w:r>
              <w:r>
                <w:rPr>
                  <w:i/>
                  <w:iCs/>
                  <w:noProof/>
                </w:rPr>
                <w:t>The Black Swan: The Impact of the Highly Improbable.</w:t>
              </w:r>
              <w:r>
                <w:rPr>
                  <w:noProof/>
                </w:rPr>
                <w:t xml:space="preserve"> New York, NY: Random House.</w:t>
              </w:r>
            </w:p>
            <w:p w14:paraId="59A6A70D" w14:textId="77777777" w:rsidR="007E3004" w:rsidRDefault="007E3004" w:rsidP="007E3004">
              <w:pPr>
                <w:pStyle w:val="Bibliography"/>
                <w:ind w:left="720" w:hanging="720"/>
                <w:rPr>
                  <w:noProof/>
                </w:rPr>
              </w:pPr>
              <w:r>
                <w:rPr>
                  <w:noProof/>
                </w:rPr>
                <w:t xml:space="preserve">Thompson, E. A., Treussard, J., &amp; Hickson, C. R. (2004). </w:t>
              </w:r>
              <w:r>
                <w:rPr>
                  <w:i/>
                  <w:iCs/>
                  <w:noProof/>
                </w:rPr>
                <w:t>Predicting Bubbles and Bubble-Substitutes.</w:t>
              </w:r>
              <w:r>
                <w:rPr>
                  <w:noProof/>
                </w:rPr>
                <w:t xml:space="preserve"> Los Angeles, CA: Department of Economics UCLA.</w:t>
              </w:r>
            </w:p>
            <w:p w14:paraId="69638EF0" w14:textId="77777777" w:rsidR="007E3004" w:rsidRDefault="007E3004" w:rsidP="007E3004">
              <w:pPr>
                <w:pStyle w:val="Bibliography"/>
                <w:ind w:left="720" w:hanging="720"/>
                <w:rPr>
                  <w:noProof/>
                </w:rPr>
              </w:pPr>
              <w:r>
                <w:rPr>
                  <w:noProof/>
                </w:rPr>
                <w:t xml:space="preserve">Tversky, A., &amp; Kahneman, D. (1991). Loss Aversion in Riskless Choice: A Reference-Dependent Model. </w:t>
              </w:r>
              <w:r>
                <w:rPr>
                  <w:i/>
                  <w:iCs/>
                  <w:noProof/>
                </w:rPr>
                <w:t>The Quarterly Journal of Economics</w:t>
              </w:r>
              <w:r>
                <w:rPr>
                  <w:noProof/>
                </w:rPr>
                <w:t>, 27.</w:t>
              </w:r>
            </w:p>
            <w:p w14:paraId="2B6F78A3" w14:textId="77777777" w:rsidR="007E3004" w:rsidRDefault="007E3004" w:rsidP="007E3004">
              <w:pPr>
                <w:pStyle w:val="Bibliography"/>
                <w:ind w:left="720" w:hanging="720"/>
                <w:rPr>
                  <w:noProof/>
                </w:rPr>
              </w:pPr>
              <w:r>
                <w:rPr>
                  <w:noProof/>
                </w:rPr>
                <w:lastRenderedPageBreak/>
                <w:t xml:space="preserve">Vitale, J. (1998). </w:t>
              </w:r>
              <w:r>
                <w:rPr>
                  <w:i/>
                  <w:iCs/>
                  <w:noProof/>
                </w:rPr>
                <w:t>There's a Customer Born Every Minute: P.T. Barnum's Secrets to Business Success.</w:t>
              </w:r>
              <w:r>
                <w:rPr>
                  <w:noProof/>
                </w:rPr>
                <w:t xml:space="preserve"> AMACOM.</w:t>
              </w:r>
            </w:p>
            <w:p w14:paraId="6E73CAD2" w14:textId="77777777" w:rsidR="007E3004" w:rsidRDefault="007E3004" w:rsidP="007E3004">
              <w:pPr>
                <w:pStyle w:val="Bibliography"/>
                <w:ind w:left="720" w:hanging="720"/>
                <w:rPr>
                  <w:noProof/>
                </w:rPr>
              </w:pPr>
              <w:r>
                <w:rPr>
                  <w:noProof/>
                </w:rPr>
                <w:t xml:space="preserve">Wallace, G., Elliehausen, G., &amp; Staten, M. (2005). </w:t>
              </w:r>
              <w:r>
                <w:rPr>
                  <w:i/>
                  <w:iCs/>
                  <w:noProof/>
                </w:rPr>
                <w:t>Are Legislative Solutions to Abusive Mortgage Lending Practices Throwing Out the Baby with The Bath? Guidance From Empirical Research.</w:t>
              </w:r>
              <w:r>
                <w:rPr>
                  <w:noProof/>
                </w:rPr>
                <w:t xml:space="preserve"> Washington, D.C.: Georgetown University.</w:t>
              </w:r>
            </w:p>
            <w:p w14:paraId="6B38D0AC" w14:textId="77777777" w:rsidR="007E3004" w:rsidRDefault="007E3004" w:rsidP="007E3004">
              <w:pPr>
                <w:pStyle w:val="Bibliography"/>
                <w:ind w:left="720" w:hanging="720"/>
                <w:rPr>
                  <w:noProof/>
                </w:rPr>
              </w:pPr>
              <w:r>
                <w:rPr>
                  <w:noProof/>
                </w:rPr>
                <w:t xml:space="preserve">Wallace-Wells, B. (2004, April). There Goes the Neighborhood: Why Home Prices Are about to Plummet-And Take the Recovery with Them. </w:t>
              </w:r>
              <w:r>
                <w:rPr>
                  <w:i/>
                  <w:iCs/>
                  <w:noProof/>
                </w:rPr>
                <w:t>Washington Monthly</w:t>
              </w:r>
              <w:r>
                <w:rPr>
                  <w:noProof/>
                </w:rPr>
                <w:t>, p. 30+.</w:t>
              </w:r>
            </w:p>
            <w:p w14:paraId="7DAA5662" w14:textId="77777777" w:rsidR="007E3004" w:rsidRDefault="007E3004" w:rsidP="007E3004">
              <w:pPr>
                <w:pStyle w:val="Bibliography"/>
                <w:ind w:left="720" w:hanging="720"/>
                <w:rPr>
                  <w:noProof/>
                </w:rPr>
              </w:pPr>
              <w:r>
                <w:rPr>
                  <w:noProof/>
                </w:rPr>
                <w:t xml:space="preserve">Wolff, M. (1998). </w:t>
              </w:r>
              <w:r>
                <w:rPr>
                  <w:i/>
                  <w:iCs/>
                  <w:noProof/>
                </w:rPr>
                <w:t>Burn Rate: How I Survived the Gold Rush Years on the Internet .</w:t>
              </w:r>
              <w:r>
                <w:rPr>
                  <w:noProof/>
                </w:rPr>
                <w:t xml:space="preserve"> New York, NY: Simon &amp; Schuster.</w:t>
              </w:r>
            </w:p>
            <w:p w14:paraId="0AC0F035" w14:textId="77777777" w:rsidR="007E3004" w:rsidRDefault="007E3004" w:rsidP="007E3004">
              <w:pPr>
                <w:pStyle w:val="Bibliography"/>
                <w:ind w:left="720" w:hanging="720"/>
                <w:rPr>
                  <w:noProof/>
                </w:rPr>
              </w:pPr>
              <w:r>
                <w:rPr>
                  <w:noProof/>
                </w:rPr>
                <w:t xml:space="preserve">Zuckoff, M. (2005). </w:t>
              </w:r>
              <w:r>
                <w:rPr>
                  <w:i/>
                  <w:iCs/>
                  <w:noProof/>
                </w:rPr>
                <w:t>Ponzi's Scheme: The True Story of a Financial Legend.</w:t>
              </w:r>
              <w:r>
                <w:rPr>
                  <w:noProof/>
                </w:rPr>
                <w:t xml:space="preserve"> New York, NY: Random House.</w:t>
              </w:r>
            </w:p>
            <w:p w14:paraId="2D52A26A" w14:textId="77777777" w:rsidR="0019071F" w:rsidRPr="00124B71" w:rsidRDefault="001858B5" w:rsidP="007E3004">
              <w:pPr>
                <w:rPr>
                  <w:rFonts w:cs="Times New Roman"/>
                </w:rPr>
              </w:pPr>
              <w:r w:rsidRPr="00124B71">
                <w:rPr>
                  <w:rFonts w:cs="Times New Roman"/>
                </w:rPr>
                <w:fldChar w:fldCharType="end"/>
              </w:r>
            </w:p>
          </w:sdtContent>
        </w:sdt>
      </w:sdtContent>
    </w:sdt>
    <w:p w14:paraId="562D923A" w14:textId="77777777" w:rsidR="009B393A" w:rsidRDefault="009B393A" w:rsidP="001767A9">
      <w:pPr>
        <w:sectPr w:rsidR="009B393A" w:rsidSect="009729DE">
          <w:headerReference w:type="even" r:id="rId109"/>
          <w:headerReference w:type="default" r:id="rId110"/>
          <w:headerReference w:type="first" r:id="rId111"/>
          <w:endnotePr>
            <w:numFmt w:val="decimal"/>
          </w:endnotePr>
          <w:type w:val="oddPage"/>
          <w:pgSz w:w="8640" w:h="12960" w:code="173"/>
          <w:pgMar w:top="1008" w:right="936" w:bottom="1080" w:left="936" w:header="504" w:footer="504" w:gutter="0"/>
          <w:cols w:space="720"/>
          <w:titlePg/>
          <w:docGrid w:linePitch="360"/>
        </w:sectPr>
      </w:pPr>
    </w:p>
    <w:p w14:paraId="2D4F8D1E" w14:textId="77777777" w:rsidR="009B393A" w:rsidRDefault="005C08A7" w:rsidP="006756FD">
      <w:pPr>
        <w:pStyle w:val="Heading1"/>
      </w:pPr>
      <w:r>
        <w:lastRenderedPageBreak/>
        <w:tab/>
      </w:r>
      <w:bookmarkStart w:id="254" w:name="_Toc238867421"/>
      <w:r w:rsidR="006E6925" w:rsidRPr="00392E1C">
        <w:t>Index</w:t>
      </w:r>
      <w:bookmarkEnd w:id="254"/>
      <w:r>
        <w:tab/>
      </w:r>
    </w:p>
    <w:p w14:paraId="5FE58DC4" w14:textId="77777777" w:rsidR="005C08A7" w:rsidRPr="005C08A7" w:rsidRDefault="005C08A7" w:rsidP="005C08A7"/>
    <w:p w14:paraId="3C5DD539" w14:textId="77777777" w:rsidR="007E3004" w:rsidRDefault="001858B5" w:rsidP="001767A9">
      <w:pPr>
        <w:rPr>
          <w:noProof/>
        </w:rPr>
        <w:sectPr w:rsidR="007E3004" w:rsidSect="007E3004">
          <w:headerReference w:type="even" r:id="rId112"/>
          <w:headerReference w:type="default" r:id="rId113"/>
          <w:endnotePr>
            <w:numFmt w:val="decimal"/>
          </w:endnotePr>
          <w:type w:val="oddPage"/>
          <w:pgSz w:w="8640" w:h="12960" w:code="173"/>
          <w:pgMar w:top="1008" w:right="936" w:bottom="1080" w:left="936" w:header="504" w:footer="504" w:gutter="0"/>
          <w:cols w:space="720"/>
          <w:titlePg/>
          <w:docGrid w:linePitch="360"/>
        </w:sectPr>
      </w:pPr>
      <w:r>
        <w:fldChar w:fldCharType="begin"/>
      </w:r>
      <w:r w:rsidR="001112A5" w:rsidRPr="00392E1C">
        <w:instrText xml:space="preserve"> INDEX \h "A" \c "2" \z "1033" </w:instrText>
      </w:r>
      <w:r>
        <w:fldChar w:fldCharType="separate"/>
      </w:r>
    </w:p>
    <w:p w14:paraId="76C9CA43" w14:textId="77777777" w:rsidR="007E3004" w:rsidRDefault="007E3004">
      <w:pPr>
        <w:pStyle w:val="IndexHeading"/>
        <w:keepNext/>
        <w:tabs>
          <w:tab w:val="right" w:leader="dot" w:pos="3014"/>
        </w:tabs>
        <w:rPr>
          <w:b w:val="0"/>
          <w:bCs w:val="0"/>
          <w:noProof/>
        </w:rPr>
      </w:pPr>
      <w:r>
        <w:rPr>
          <w:noProof/>
        </w:rPr>
        <w:t>1</w:t>
      </w:r>
    </w:p>
    <w:p w14:paraId="36617562" w14:textId="77777777" w:rsidR="007E3004" w:rsidRDefault="007E3004">
      <w:pPr>
        <w:pStyle w:val="Index1"/>
        <w:tabs>
          <w:tab w:val="right" w:leader="dot" w:pos="3014"/>
        </w:tabs>
        <w:rPr>
          <w:noProof/>
        </w:rPr>
      </w:pPr>
      <w:r w:rsidRPr="00C94C92">
        <w:rPr>
          <w:rFonts w:cs="Times New Roman"/>
          <w:noProof/>
        </w:rPr>
        <w:t>100% financing</w:t>
      </w:r>
      <w:r>
        <w:rPr>
          <w:noProof/>
        </w:rPr>
        <w:t>, 13, 36, 43, 66, 70, 90, 93, 96, 99, 105, 111, 112, 131, 133, 171, 185, 186</w:t>
      </w:r>
    </w:p>
    <w:p w14:paraId="53E112FB" w14:textId="77777777" w:rsidR="007E3004" w:rsidRDefault="007E3004">
      <w:pPr>
        <w:pStyle w:val="IndexHeading"/>
        <w:keepNext/>
        <w:tabs>
          <w:tab w:val="right" w:leader="dot" w:pos="3014"/>
        </w:tabs>
        <w:rPr>
          <w:b w:val="0"/>
          <w:bCs w:val="0"/>
          <w:noProof/>
        </w:rPr>
      </w:pPr>
      <w:r>
        <w:rPr>
          <w:noProof/>
        </w:rPr>
        <w:t>2</w:t>
      </w:r>
    </w:p>
    <w:p w14:paraId="7CA213FA" w14:textId="77777777" w:rsidR="007E3004" w:rsidRDefault="007E3004">
      <w:pPr>
        <w:pStyle w:val="Index1"/>
        <w:tabs>
          <w:tab w:val="right" w:leader="dot" w:pos="3014"/>
        </w:tabs>
        <w:rPr>
          <w:noProof/>
        </w:rPr>
      </w:pPr>
      <w:r w:rsidRPr="00C94C92">
        <w:rPr>
          <w:rFonts w:cs="Times New Roman"/>
          <w:noProof/>
        </w:rPr>
        <w:t>2/28</w:t>
      </w:r>
      <w:r>
        <w:rPr>
          <w:noProof/>
        </w:rPr>
        <w:t>, 14, 93, 192</w:t>
      </w:r>
    </w:p>
    <w:p w14:paraId="70E55421" w14:textId="77777777" w:rsidR="007E3004" w:rsidRDefault="007E3004">
      <w:pPr>
        <w:pStyle w:val="IndexHeading"/>
        <w:keepNext/>
        <w:tabs>
          <w:tab w:val="right" w:leader="dot" w:pos="3014"/>
        </w:tabs>
        <w:rPr>
          <w:b w:val="0"/>
          <w:bCs w:val="0"/>
          <w:noProof/>
        </w:rPr>
      </w:pPr>
      <w:r>
        <w:rPr>
          <w:noProof/>
        </w:rPr>
        <w:t>3</w:t>
      </w:r>
    </w:p>
    <w:p w14:paraId="28D96F00" w14:textId="77777777" w:rsidR="007E3004" w:rsidRDefault="007E3004">
      <w:pPr>
        <w:pStyle w:val="Index1"/>
        <w:tabs>
          <w:tab w:val="right" w:leader="dot" w:pos="3014"/>
        </w:tabs>
        <w:rPr>
          <w:noProof/>
        </w:rPr>
      </w:pPr>
      <w:r w:rsidRPr="00C94C92">
        <w:rPr>
          <w:rFonts w:cs="Times New Roman"/>
          <w:noProof/>
        </w:rPr>
        <w:t>30-year conventionally amortized mortgage</w:t>
      </w:r>
      <w:r>
        <w:rPr>
          <w:noProof/>
        </w:rPr>
        <w:t>, 9</w:t>
      </w:r>
    </w:p>
    <w:p w14:paraId="388413F7" w14:textId="77777777" w:rsidR="007E3004" w:rsidRDefault="007E3004">
      <w:pPr>
        <w:pStyle w:val="IndexHeading"/>
        <w:keepNext/>
        <w:tabs>
          <w:tab w:val="right" w:leader="dot" w:pos="3014"/>
        </w:tabs>
        <w:rPr>
          <w:b w:val="0"/>
          <w:bCs w:val="0"/>
          <w:noProof/>
        </w:rPr>
      </w:pPr>
      <w:r>
        <w:rPr>
          <w:noProof/>
        </w:rPr>
        <w:t>8</w:t>
      </w:r>
    </w:p>
    <w:p w14:paraId="3DFEB0B7" w14:textId="77777777" w:rsidR="007E3004" w:rsidRDefault="007E3004">
      <w:pPr>
        <w:pStyle w:val="Index1"/>
        <w:tabs>
          <w:tab w:val="right" w:leader="dot" w:pos="3014"/>
        </w:tabs>
        <w:rPr>
          <w:noProof/>
        </w:rPr>
      </w:pPr>
      <w:r w:rsidRPr="00C94C92">
        <w:rPr>
          <w:rFonts w:cs="Times New Roman"/>
          <w:noProof/>
        </w:rPr>
        <w:t>80/20</w:t>
      </w:r>
      <w:r>
        <w:rPr>
          <w:noProof/>
        </w:rPr>
        <w:t>, 19, 34</w:t>
      </w:r>
    </w:p>
    <w:p w14:paraId="6ECE28FB" w14:textId="77777777" w:rsidR="007E3004" w:rsidRDefault="007E3004">
      <w:pPr>
        <w:pStyle w:val="IndexHeading"/>
        <w:keepNext/>
        <w:tabs>
          <w:tab w:val="right" w:leader="dot" w:pos="3014"/>
        </w:tabs>
        <w:rPr>
          <w:b w:val="0"/>
          <w:bCs w:val="0"/>
          <w:noProof/>
        </w:rPr>
      </w:pPr>
      <w:r>
        <w:rPr>
          <w:noProof/>
        </w:rPr>
        <w:t>A</w:t>
      </w:r>
    </w:p>
    <w:p w14:paraId="7607107A" w14:textId="77777777" w:rsidR="007E3004" w:rsidRDefault="007E3004">
      <w:pPr>
        <w:pStyle w:val="Index1"/>
        <w:tabs>
          <w:tab w:val="right" w:leader="dot" w:pos="3014"/>
        </w:tabs>
        <w:rPr>
          <w:noProof/>
        </w:rPr>
      </w:pPr>
      <w:r w:rsidRPr="00C94C92">
        <w:rPr>
          <w:rFonts w:cs="Times New Roman"/>
          <w:noProof/>
        </w:rPr>
        <w:t>ABS</w:t>
      </w:r>
      <w:r>
        <w:rPr>
          <w:noProof/>
        </w:rPr>
        <w:t xml:space="preserve">, 58, </w:t>
      </w:r>
      <w:r w:rsidRPr="00C94C92">
        <w:rPr>
          <w:i/>
          <w:noProof/>
        </w:rPr>
        <w:t>See</w:t>
      </w:r>
      <w:r>
        <w:rPr>
          <w:noProof/>
        </w:rPr>
        <w:t xml:space="preserve"> asset-backed securities</w:t>
      </w:r>
    </w:p>
    <w:p w14:paraId="08101CB9" w14:textId="77777777" w:rsidR="007E3004" w:rsidRDefault="007E3004">
      <w:pPr>
        <w:pStyle w:val="Index1"/>
        <w:tabs>
          <w:tab w:val="right" w:leader="dot" w:pos="3014"/>
        </w:tabs>
        <w:rPr>
          <w:noProof/>
        </w:rPr>
      </w:pPr>
      <w:r w:rsidRPr="00C94C92">
        <w:rPr>
          <w:rFonts w:cs="Times New Roman"/>
          <w:noProof/>
        </w:rPr>
        <w:t>Adjustable Rate Mortgage Reset Chart</w:t>
      </w:r>
      <w:r>
        <w:rPr>
          <w:noProof/>
        </w:rPr>
        <w:t>, 93</w:t>
      </w:r>
    </w:p>
    <w:p w14:paraId="6D2A972F" w14:textId="77777777" w:rsidR="007E3004" w:rsidRDefault="007E3004">
      <w:pPr>
        <w:pStyle w:val="Index1"/>
        <w:tabs>
          <w:tab w:val="right" w:leader="dot" w:pos="3014"/>
        </w:tabs>
        <w:rPr>
          <w:noProof/>
        </w:rPr>
      </w:pPr>
      <w:r w:rsidRPr="00C94C92">
        <w:rPr>
          <w:rFonts w:cs="Times New Roman"/>
          <w:noProof/>
        </w:rPr>
        <w:t>adjustable rate mortgages</w:t>
      </w:r>
      <w:r>
        <w:rPr>
          <w:noProof/>
        </w:rPr>
        <w:t xml:space="preserve">. </w:t>
      </w:r>
      <w:r w:rsidRPr="00C94C92">
        <w:rPr>
          <w:i/>
          <w:noProof/>
        </w:rPr>
        <w:t>See</w:t>
      </w:r>
      <w:r>
        <w:rPr>
          <w:noProof/>
        </w:rPr>
        <w:t xml:space="preserve"> ARMs</w:t>
      </w:r>
    </w:p>
    <w:p w14:paraId="15F6C5D6" w14:textId="77777777" w:rsidR="007E3004" w:rsidRDefault="007E3004">
      <w:pPr>
        <w:pStyle w:val="Index1"/>
        <w:tabs>
          <w:tab w:val="right" w:leader="dot" w:pos="3014"/>
        </w:tabs>
        <w:rPr>
          <w:noProof/>
        </w:rPr>
      </w:pPr>
      <w:r w:rsidRPr="00C94C92">
        <w:rPr>
          <w:rFonts w:cs="Times New Roman"/>
          <w:noProof/>
        </w:rPr>
        <w:t>affordability</w:t>
      </w:r>
      <w:r>
        <w:rPr>
          <w:noProof/>
        </w:rPr>
        <w:t>, 4, 5, 9, 14, 68, 75, 77, 83, 85, 86, 89, 90, 99, 101, 117, 131, 158, 186, 193</w:t>
      </w:r>
    </w:p>
    <w:p w14:paraId="37105B77" w14:textId="77777777" w:rsidR="007E3004" w:rsidRDefault="007E3004">
      <w:pPr>
        <w:pStyle w:val="Index1"/>
        <w:tabs>
          <w:tab w:val="right" w:leader="dot" w:pos="3014"/>
        </w:tabs>
        <w:rPr>
          <w:noProof/>
        </w:rPr>
      </w:pPr>
      <w:r w:rsidRPr="00C94C92">
        <w:rPr>
          <w:rFonts w:cs="Times New Roman"/>
          <w:noProof/>
        </w:rPr>
        <w:t>Aggregate home equity</w:t>
      </w:r>
      <w:r>
        <w:rPr>
          <w:noProof/>
        </w:rPr>
        <w:t>, 96</w:t>
      </w:r>
    </w:p>
    <w:p w14:paraId="0991AAF7" w14:textId="77777777" w:rsidR="007E3004" w:rsidRDefault="007E3004">
      <w:pPr>
        <w:pStyle w:val="Index1"/>
        <w:tabs>
          <w:tab w:val="right" w:leader="dot" w:pos="3014"/>
        </w:tabs>
        <w:rPr>
          <w:noProof/>
        </w:rPr>
      </w:pPr>
      <w:r w:rsidRPr="00C94C92">
        <w:rPr>
          <w:rFonts w:cs="Times New Roman"/>
          <w:noProof/>
        </w:rPr>
        <w:t>Alan Greenspan</w:t>
      </w:r>
      <w:r>
        <w:rPr>
          <w:noProof/>
        </w:rPr>
        <w:t>, 6, 26, 72, 73</w:t>
      </w:r>
    </w:p>
    <w:p w14:paraId="34588B31" w14:textId="77777777" w:rsidR="007E3004" w:rsidRDefault="007E3004">
      <w:pPr>
        <w:pStyle w:val="Index1"/>
        <w:tabs>
          <w:tab w:val="right" w:leader="dot" w:pos="3014"/>
        </w:tabs>
        <w:rPr>
          <w:noProof/>
        </w:rPr>
      </w:pPr>
      <w:r w:rsidRPr="00C94C92">
        <w:rPr>
          <w:rFonts w:cs="Times New Roman"/>
          <w:noProof/>
        </w:rPr>
        <w:t>Alt-A</w:t>
      </w:r>
      <w:r>
        <w:rPr>
          <w:noProof/>
        </w:rPr>
        <w:t>, 12, 18, 92, 97</w:t>
      </w:r>
    </w:p>
    <w:p w14:paraId="43E098E3" w14:textId="77777777" w:rsidR="007E3004" w:rsidRDefault="007E3004">
      <w:pPr>
        <w:pStyle w:val="Index1"/>
        <w:tabs>
          <w:tab w:val="right" w:leader="dot" w:pos="3014"/>
        </w:tabs>
        <w:rPr>
          <w:noProof/>
        </w:rPr>
      </w:pPr>
      <w:r w:rsidRPr="00C94C92">
        <w:rPr>
          <w:rFonts w:cs="Times New Roman"/>
          <w:noProof/>
        </w:rPr>
        <w:t>American Dream</w:t>
      </w:r>
      <w:r>
        <w:rPr>
          <w:noProof/>
        </w:rPr>
        <w:t>, 182</w:t>
      </w:r>
    </w:p>
    <w:p w14:paraId="1A561E40" w14:textId="77777777" w:rsidR="007E3004" w:rsidRDefault="007E3004">
      <w:pPr>
        <w:pStyle w:val="Index1"/>
        <w:tabs>
          <w:tab w:val="right" w:leader="dot" w:pos="3014"/>
        </w:tabs>
        <w:rPr>
          <w:noProof/>
        </w:rPr>
      </w:pPr>
      <w:r w:rsidRPr="00C94C92">
        <w:rPr>
          <w:rFonts w:cs="Times New Roman"/>
          <w:noProof/>
        </w:rPr>
        <w:t>Ameriquest</w:t>
      </w:r>
      <w:r>
        <w:rPr>
          <w:noProof/>
        </w:rPr>
        <w:t>, xviii, xix</w:t>
      </w:r>
    </w:p>
    <w:p w14:paraId="74D3324C" w14:textId="77777777" w:rsidR="007E3004" w:rsidRDefault="007E3004">
      <w:pPr>
        <w:pStyle w:val="Index1"/>
        <w:tabs>
          <w:tab w:val="right" w:leader="dot" w:pos="3014"/>
        </w:tabs>
        <w:rPr>
          <w:noProof/>
        </w:rPr>
      </w:pPr>
      <w:r w:rsidRPr="00C94C92">
        <w:rPr>
          <w:rFonts w:cs="Times New Roman"/>
          <w:noProof/>
        </w:rPr>
        <w:t>amortization schedule</w:t>
      </w:r>
      <w:r>
        <w:rPr>
          <w:noProof/>
        </w:rPr>
        <w:t>, 11, 12, 15, 37</w:t>
      </w:r>
    </w:p>
    <w:p w14:paraId="653D7E86" w14:textId="77777777" w:rsidR="007E3004" w:rsidRDefault="007E3004">
      <w:pPr>
        <w:pStyle w:val="Index1"/>
        <w:tabs>
          <w:tab w:val="right" w:leader="dot" w:pos="3014"/>
        </w:tabs>
        <w:rPr>
          <w:noProof/>
        </w:rPr>
      </w:pPr>
      <w:r w:rsidRPr="00C94C92">
        <w:rPr>
          <w:rFonts w:cs="Times New Roman"/>
          <w:noProof/>
        </w:rPr>
        <w:t>appraisal fees</w:t>
      </w:r>
      <w:r>
        <w:rPr>
          <w:noProof/>
        </w:rPr>
        <w:t>, 42</w:t>
      </w:r>
    </w:p>
    <w:p w14:paraId="032BD0B2" w14:textId="77777777" w:rsidR="007E3004" w:rsidRDefault="007E3004">
      <w:pPr>
        <w:pStyle w:val="Index1"/>
        <w:tabs>
          <w:tab w:val="right" w:leader="dot" w:pos="3014"/>
        </w:tabs>
        <w:rPr>
          <w:noProof/>
        </w:rPr>
      </w:pPr>
      <w:r w:rsidRPr="00C94C92">
        <w:rPr>
          <w:rFonts w:cs="Times New Roman"/>
          <w:noProof/>
        </w:rPr>
        <w:t>appreciation</w:t>
      </w:r>
      <w:r>
        <w:rPr>
          <w:noProof/>
        </w:rPr>
        <w:t>, xv, 5, 7, 20, 22, 33, 39, 40, 41, 42, 43, 45, 47, 48, 67, 71, 81, 84, 91, 99, 104, 106, 107, 108, 111, 121, 122, 123, 125, 126, 129, 131, 138, 139, 140, 141, 150, 152, 153, 154, 158, 160, 162, 165, 166, 167, 192, 194</w:t>
      </w:r>
    </w:p>
    <w:p w14:paraId="42F1F35D" w14:textId="77777777" w:rsidR="007E3004" w:rsidRDefault="007E3004">
      <w:pPr>
        <w:pStyle w:val="Index1"/>
        <w:tabs>
          <w:tab w:val="right" w:leader="dot" w:pos="3014"/>
        </w:tabs>
        <w:rPr>
          <w:noProof/>
        </w:rPr>
      </w:pPr>
      <w:r w:rsidRPr="00C94C92">
        <w:rPr>
          <w:rFonts w:cs="Times New Roman"/>
          <w:noProof/>
        </w:rPr>
        <w:t>asset bubbles</w:t>
      </w:r>
      <w:r>
        <w:rPr>
          <w:noProof/>
        </w:rPr>
        <w:t>, 7</w:t>
      </w:r>
    </w:p>
    <w:p w14:paraId="57120131" w14:textId="77777777" w:rsidR="007E3004" w:rsidRDefault="007E3004">
      <w:pPr>
        <w:pStyle w:val="Index1"/>
        <w:tabs>
          <w:tab w:val="right" w:leader="dot" w:pos="3014"/>
        </w:tabs>
        <w:rPr>
          <w:noProof/>
        </w:rPr>
      </w:pPr>
      <w:r w:rsidRPr="00C94C92">
        <w:rPr>
          <w:rFonts w:cs="Times New Roman"/>
          <w:noProof/>
        </w:rPr>
        <w:t>asset-backed securities</w:t>
      </w:r>
      <w:r>
        <w:rPr>
          <w:noProof/>
        </w:rPr>
        <w:t>, 58, 60, 61, 187</w:t>
      </w:r>
    </w:p>
    <w:p w14:paraId="68C48D70" w14:textId="77777777" w:rsidR="007E3004" w:rsidRDefault="007E3004">
      <w:pPr>
        <w:pStyle w:val="Index1"/>
        <w:tabs>
          <w:tab w:val="right" w:leader="dot" w:pos="3014"/>
        </w:tabs>
        <w:rPr>
          <w:noProof/>
        </w:rPr>
      </w:pPr>
      <w:r w:rsidRPr="00C94C92">
        <w:rPr>
          <w:rFonts w:cs="Times New Roman"/>
          <w:noProof/>
        </w:rPr>
        <w:t>asset-backed security</w:t>
      </w:r>
      <w:r>
        <w:rPr>
          <w:noProof/>
        </w:rPr>
        <w:t>, 60</w:t>
      </w:r>
    </w:p>
    <w:p w14:paraId="5772FD51" w14:textId="77777777" w:rsidR="007E3004" w:rsidRDefault="007E3004">
      <w:pPr>
        <w:pStyle w:val="Index1"/>
        <w:tabs>
          <w:tab w:val="right" w:leader="dot" w:pos="3014"/>
        </w:tabs>
        <w:rPr>
          <w:noProof/>
        </w:rPr>
      </w:pPr>
      <w:r w:rsidRPr="00C94C92">
        <w:rPr>
          <w:rFonts w:cs="Times New Roman"/>
          <w:noProof/>
        </w:rPr>
        <w:t>average cost per-square-foot</w:t>
      </w:r>
      <w:r>
        <w:rPr>
          <w:noProof/>
        </w:rPr>
        <w:t>, 77</w:t>
      </w:r>
    </w:p>
    <w:p w14:paraId="716D0163" w14:textId="77777777" w:rsidR="007E3004" w:rsidRDefault="007E3004">
      <w:pPr>
        <w:pStyle w:val="IndexHeading"/>
        <w:keepNext/>
        <w:tabs>
          <w:tab w:val="right" w:leader="dot" w:pos="3014"/>
        </w:tabs>
        <w:rPr>
          <w:b w:val="0"/>
          <w:bCs w:val="0"/>
          <w:noProof/>
        </w:rPr>
      </w:pPr>
      <w:r>
        <w:rPr>
          <w:noProof/>
        </w:rPr>
        <w:t>B</w:t>
      </w:r>
    </w:p>
    <w:p w14:paraId="7DDB218E" w14:textId="77777777" w:rsidR="007E3004" w:rsidRDefault="007E3004">
      <w:pPr>
        <w:pStyle w:val="Index1"/>
        <w:tabs>
          <w:tab w:val="right" w:leader="dot" w:pos="3014"/>
        </w:tabs>
        <w:rPr>
          <w:noProof/>
        </w:rPr>
      </w:pPr>
      <w:r w:rsidRPr="00C94C92">
        <w:rPr>
          <w:rFonts w:cs="Times New Roman"/>
          <w:noProof/>
        </w:rPr>
        <w:t>bailouts</w:t>
      </w:r>
      <w:r>
        <w:rPr>
          <w:noProof/>
        </w:rPr>
        <w:t>, 103, 126</w:t>
      </w:r>
    </w:p>
    <w:p w14:paraId="5AA348AF" w14:textId="77777777" w:rsidR="007E3004" w:rsidRDefault="007E3004">
      <w:pPr>
        <w:pStyle w:val="Index1"/>
        <w:tabs>
          <w:tab w:val="right" w:leader="dot" w:pos="3014"/>
        </w:tabs>
        <w:rPr>
          <w:noProof/>
        </w:rPr>
      </w:pPr>
      <w:r w:rsidRPr="00C94C92">
        <w:rPr>
          <w:rFonts w:cs="Times New Roman"/>
          <w:noProof/>
        </w:rPr>
        <w:t>bankruptcy</w:t>
      </w:r>
      <w:r>
        <w:rPr>
          <w:noProof/>
        </w:rPr>
        <w:t>, 6, 7, 13, 70, 97, 119, 121, 123, 133, 172, 175, 181</w:t>
      </w:r>
    </w:p>
    <w:p w14:paraId="45284468" w14:textId="77777777" w:rsidR="007E3004" w:rsidRDefault="007E3004">
      <w:pPr>
        <w:pStyle w:val="Index1"/>
        <w:tabs>
          <w:tab w:val="right" w:leader="dot" w:pos="3014"/>
        </w:tabs>
        <w:rPr>
          <w:noProof/>
        </w:rPr>
      </w:pPr>
      <w:r w:rsidRPr="00C94C92">
        <w:rPr>
          <w:rFonts w:cs="Times New Roman"/>
          <w:noProof/>
        </w:rPr>
        <w:t>bear market</w:t>
      </w:r>
      <w:r>
        <w:rPr>
          <w:noProof/>
        </w:rPr>
        <w:t>, 41, 113, 118</w:t>
      </w:r>
    </w:p>
    <w:p w14:paraId="34D513A9" w14:textId="77777777" w:rsidR="007E3004" w:rsidRDefault="007E3004">
      <w:pPr>
        <w:pStyle w:val="Index1"/>
        <w:tabs>
          <w:tab w:val="right" w:leader="dot" w:pos="3014"/>
        </w:tabs>
        <w:rPr>
          <w:noProof/>
        </w:rPr>
      </w:pPr>
      <w:r w:rsidRPr="00C94C92">
        <w:rPr>
          <w:rFonts w:cs="Times New Roman"/>
          <w:noProof/>
        </w:rPr>
        <w:t>bear rally</w:t>
      </w:r>
      <w:r>
        <w:rPr>
          <w:noProof/>
        </w:rPr>
        <w:t>, 118</w:t>
      </w:r>
    </w:p>
    <w:p w14:paraId="6D6017FA" w14:textId="77777777" w:rsidR="007E3004" w:rsidRDefault="007E3004">
      <w:pPr>
        <w:pStyle w:val="Index1"/>
        <w:tabs>
          <w:tab w:val="right" w:leader="dot" w:pos="3014"/>
        </w:tabs>
        <w:rPr>
          <w:noProof/>
        </w:rPr>
      </w:pPr>
      <w:r w:rsidRPr="00C94C92">
        <w:rPr>
          <w:rFonts w:cs="Times New Roman"/>
          <w:noProof/>
        </w:rPr>
        <w:t>Behavioral finance theory</w:t>
      </w:r>
      <w:r>
        <w:rPr>
          <w:noProof/>
        </w:rPr>
        <w:t>, 103, 133</w:t>
      </w:r>
    </w:p>
    <w:p w14:paraId="1A84CD01" w14:textId="77777777" w:rsidR="007E3004" w:rsidRDefault="007E3004">
      <w:pPr>
        <w:pStyle w:val="Index1"/>
        <w:tabs>
          <w:tab w:val="right" w:leader="dot" w:pos="3014"/>
        </w:tabs>
        <w:rPr>
          <w:noProof/>
        </w:rPr>
      </w:pPr>
      <w:r w:rsidRPr="00C94C92">
        <w:rPr>
          <w:rFonts w:cs="Times New Roman"/>
          <w:noProof/>
        </w:rPr>
        <w:t>Ben Bernanke</w:t>
      </w:r>
      <w:r>
        <w:rPr>
          <w:noProof/>
        </w:rPr>
        <w:t>, 128, 148</w:t>
      </w:r>
    </w:p>
    <w:p w14:paraId="73B96A83" w14:textId="77777777" w:rsidR="007E3004" w:rsidRDefault="007E3004">
      <w:pPr>
        <w:pStyle w:val="Index1"/>
        <w:tabs>
          <w:tab w:val="right" w:leader="dot" w:pos="3014"/>
        </w:tabs>
        <w:rPr>
          <w:noProof/>
        </w:rPr>
      </w:pPr>
      <w:r w:rsidRPr="00C94C92">
        <w:rPr>
          <w:rFonts w:cs="Times New Roman"/>
          <w:noProof/>
        </w:rPr>
        <w:t>Bill Clinton</w:t>
      </w:r>
      <w:r>
        <w:rPr>
          <w:noProof/>
        </w:rPr>
        <w:t>, 167</w:t>
      </w:r>
    </w:p>
    <w:p w14:paraId="2B382AE9" w14:textId="77777777" w:rsidR="007E3004" w:rsidRDefault="007E3004">
      <w:pPr>
        <w:pStyle w:val="Index1"/>
        <w:tabs>
          <w:tab w:val="right" w:leader="dot" w:pos="3014"/>
        </w:tabs>
        <w:rPr>
          <w:noProof/>
        </w:rPr>
      </w:pPr>
      <w:r w:rsidRPr="00C94C92">
        <w:rPr>
          <w:rFonts w:cs="Times New Roman"/>
          <w:noProof/>
        </w:rPr>
        <w:t>brokerage commissions</w:t>
      </w:r>
      <w:r>
        <w:rPr>
          <w:noProof/>
        </w:rPr>
        <w:t>, 42</w:t>
      </w:r>
    </w:p>
    <w:p w14:paraId="24D30822" w14:textId="77777777" w:rsidR="007E3004" w:rsidRDefault="007E3004">
      <w:pPr>
        <w:pStyle w:val="Index1"/>
        <w:tabs>
          <w:tab w:val="right" w:leader="dot" w:pos="3014"/>
        </w:tabs>
        <w:rPr>
          <w:noProof/>
        </w:rPr>
      </w:pPr>
      <w:r w:rsidRPr="00C94C92">
        <w:rPr>
          <w:rFonts w:cs="Times New Roman"/>
          <w:noProof/>
        </w:rPr>
        <w:t>Bureau of Labor Statistics</w:t>
      </w:r>
      <w:r>
        <w:rPr>
          <w:noProof/>
        </w:rPr>
        <w:t>, 39, 189</w:t>
      </w:r>
    </w:p>
    <w:p w14:paraId="4EEBD1DF" w14:textId="77777777" w:rsidR="007E3004" w:rsidRDefault="007E3004">
      <w:pPr>
        <w:pStyle w:val="Index1"/>
        <w:tabs>
          <w:tab w:val="right" w:leader="dot" w:pos="3014"/>
        </w:tabs>
        <w:rPr>
          <w:noProof/>
        </w:rPr>
      </w:pPr>
      <w:r w:rsidRPr="00C94C92">
        <w:rPr>
          <w:rFonts w:cs="Times New Roman"/>
          <w:noProof/>
        </w:rPr>
        <w:t>burn rate valuation</w:t>
      </w:r>
      <w:r>
        <w:rPr>
          <w:noProof/>
        </w:rPr>
        <w:t>, 4</w:t>
      </w:r>
    </w:p>
    <w:p w14:paraId="47DF49D4" w14:textId="77777777" w:rsidR="007E3004" w:rsidRDefault="007E3004">
      <w:pPr>
        <w:pStyle w:val="Index1"/>
        <w:tabs>
          <w:tab w:val="right" w:leader="dot" w:pos="3014"/>
        </w:tabs>
        <w:rPr>
          <w:noProof/>
        </w:rPr>
      </w:pPr>
      <w:r w:rsidRPr="00C94C92">
        <w:rPr>
          <w:rFonts w:cs="Times New Roman"/>
          <w:noProof/>
        </w:rPr>
        <w:t>buy and hold</w:t>
      </w:r>
      <w:r>
        <w:rPr>
          <w:noProof/>
        </w:rPr>
        <w:t>, 108, 115</w:t>
      </w:r>
    </w:p>
    <w:p w14:paraId="5C20207B" w14:textId="77777777" w:rsidR="007E3004" w:rsidRDefault="007E3004">
      <w:pPr>
        <w:pStyle w:val="Index1"/>
        <w:tabs>
          <w:tab w:val="right" w:leader="dot" w:pos="3014"/>
        </w:tabs>
        <w:rPr>
          <w:noProof/>
        </w:rPr>
      </w:pPr>
      <w:r w:rsidRPr="00C94C92">
        <w:rPr>
          <w:rFonts w:cs="Times New Roman"/>
          <w:noProof/>
        </w:rPr>
        <w:t>buy and hope</w:t>
      </w:r>
      <w:r>
        <w:rPr>
          <w:noProof/>
        </w:rPr>
        <w:t>, 108</w:t>
      </w:r>
    </w:p>
    <w:p w14:paraId="578B000D" w14:textId="77777777" w:rsidR="007E3004" w:rsidRDefault="007E3004">
      <w:pPr>
        <w:pStyle w:val="Index1"/>
        <w:tabs>
          <w:tab w:val="right" w:leader="dot" w:pos="3014"/>
        </w:tabs>
        <w:rPr>
          <w:noProof/>
        </w:rPr>
      </w:pPr>
      <w:r w:rsidRPr="00C94C92">
        <w:rPr>
          <w:rFonts w:cs="Times New Roman"/>
          <w:noProof/>
        </w:rPr>
        <w:t>buyer exhaustion</w:t>
      </w:r>
      <w:r>
        <w:rPr>
          <w:noProof/>
        </w:rPr>
        <w:t>, 89</w:t>
      </w:r>
    </w:p>
    <w:p w14:paraId="0A8DC5BF" w14:textId="77777777" w:rsidR="007E3004" w:rsidRDefault="007E3004">
      <w:pPr>
        <w:pStyle w:val="IndexHeading"/>
        <w:keepNext/>
        <w:tabs>
          <w:tab w:val="right" w:leader="dot" w:pos="3014"/>
        </w:tabs>
        <w:rPr>
          <w:b w:val="0"/>
          <w:bCs w:val="0"/>
          <w:noProof/>
        </w:rPr>
      </w:pPr>
      <w:r>
        <w:rPr>
          <w:noProof/>
        </w:rPr>
        <w:lastRenderedPageBreak/>
        <w:t>C</w:t>
      </w:r>
    </w:p>
    <w:p w14:paraId="7BE7EDC0" w14:textId="77777777" w:rsidR="007E3004" w:rsidRDefault="007E3004">
      <w:pPr>
        <w:pStyle w:val="Index1"/>
        <w:tabs>
          <w:tab w:val="right" w:leader="dot" w:pos="3014"/>
        </w:tabs>
        <w:rPr>
          <w:noProof/>
        </w:rPr>
      </w:pPr>
      <w:r w:rsidRPr="00C94C92">
        <w:rPr>
          <w:rFonts w:cs="Times New Roman"/>
          <w:noProof/>
        </w:rPr>
        <w:t>call option</w:t>
      </w:r>
      <w:r>
        <w:rPr>
          <w:noProof/>
        </w:rPr>
        <w:t>, 111</w:t>
      </w:r>
    </w:p>
    <w:p w14:paraId="0B98D5E4" w14:textId="77777777" w:rsidR="007E3004" w:rsidRDefault="007E3004">
      <w:pPr>
        <w:pStyle w:val="Index1"/>
        <w:tabs>
          <w:tab w:val="right" w:leader="dot" w:pos="3014"/>
        </w:tabs>
        <w:rPr>
          <w:noProof/>
        </w:rPr>
      </w:pPr>
      <w:r w:rsidRPr="00C94C92">
        <w:rPr>
          <w:rFonts w:cs="Times New Roman"/>
          <w:noProof/>
        </w:rPr>
        <w:t>capitulation stage</w:t>
      </w:r>
      <w:r>
        <w:rPr>
          <w:noProof/>
        </w:rPr>
        <w:t>, 120, 121</w:t>
      </w:r>
    </w:p>
    <w:p w14:paraId="015237F7" w14:textId="77777777" w:rsidR="007E3004" w:rsidRDefault="007E3004">
      <w:pPr>
        <w:pStyle w:val="Index1"/>
        <w:tabs>
          <w:tab w:val="right" w:leader="dot" w:pos="3014"/>
        </w:tabs>
        <w:rPr>
          <w:noProof/>
        </w:rPr>
      </w:pPr>
      <w:r w:rsidRPr="00C94C92">
        <w:rPr>
          <w:rFonts w:cs="Times New Roman"/>
          <w:noProof/>
        </w:rPr>
        <w:t>Case-Shiller index</w:t>
      </w:r>
      <w:r>
        <w:rPr>
          <w:noProof/>
        </w:rPr>
        <w:t xml:space="preserve">, 78, 141, </w:t>
      </w:r>
      <w:r w:rsidRPr="00C94C92">
        <w:rPr>
          <w:i/>
          <w:noProof/>
        </w:rPr>
        <w:t>See</w:t>
      </w:r>
      <w:r>
        <w:rPr>
          <w:noProof/>
        </w:rPr>
        <w:t xml:space="preserve"> S&amp;P/Case-Shiller</w:t>
      </w:r>
    </w:p>
    <w:p w14:paraId="4A39B1AE" w14:textId="77777777" w:rsidR="007E3004" w:rsidRDefault="007E3004">
      <w:pPr>
        <w:pStyle w:val="Index1"/>
        <w:tabs>
          <w:tab w:val="right" w:leader="dot" w:pos="3014"/>
        </w:tabs>
        <w:rPr>
          <w:noProof/>
        </w:rPr>
      </w:pPr>
      <w:r w:rsidRPr="00C94C92">
        <w:rPr>
          <w:rFonts w:cs="Times New Roman"/>
          <w:noProof/>
        </w:rPr>
        <w:t>Cashflow investors</w:t>
      </w:r>
      <w:r>
        <w:rPr>
          <w:noProof/>
        </w:rPr>
        <w:t>, 41</w:t>
      </w:r>
    </w:p>
    <w:p w14:paraId="22624DD6" w14:textId="77777777" w:rsidR="007E3004" w:rsidRDefault="007E3004">
      <w:pPr>
        <w:pStyle w:val="Index1"/>
        <w:tabs>
          <w:tab w:val="right" w:leader="dot" w:pos="3014"/>
        </w:tabs>
        <w:rPr>
          <w:noProof/>
        </w:rPr>
      </w:pPr>
      <w:r w:rsidRPr="00C94C92">
        <w:rPr>
          <w:rFonts w:cs="Times New Roman"/>
          <w:noProof/>
        </w:rPr>
        <w:t>Cashflow Investors</w:t>
      </w:r>
      <w:r>
        <w:rPr>
          <w:noProof/>
        </w:rPr>
        <w:t>, 106, 107, 162</w:t>
      </w:r>
    </w:p>
    <w:p w14:paraId="3050BFB8" w14:textId="77777777" w:rsidR="007E3004" w:rsidRDefault="007E3004">
      <w:pPr>
        <w:pStyle w:val="Index1"/>
        <w:tabs>
          <w:tab w:val="right" w:leader="dot" w:pos="3014"/>
        </w:tabs>
        <w:rPr>
          <w:noProof/>
        </w:rPr>
      </w:pPr>
      <w:r w:rsidRPr="00C94C92">
        <w:rPr>
          <w:rFonts w:cs="Times New Roman"/>
          <w:noProof/>
        </w:rPr>
        <w:t>CDO</w:t>
      </w:r>
      <w:r>
        <w:rPr>
          <w:noProof/>
        </w:rPr>
        <w:t>, 60, 61, 62, 64, 67, 68, 69, 70, 188</w:t>
      </w:r>
    </w:p>
    <w:p w14:paraId="24D7B96E" w14:textId="77777777" w:rsidR="007E3004" w:rsidRDefault="007E3004">
      <w:pPr>
        <w:pStyle w:val="Index1"/>
        <w:tabs>
          <w:tab w:val="right" w:leader="dot" w:pos="3014"/>
        </w:tabs>
        <w:rPr>
          <w:noProof/>
        </w:rPr>
      </w:pPr>
      <w:r w:rsidRPr="00C94C92">
        <w:rPr>
          <w:rFonts w:cs="Times New Roman"/>
          <w:noProof/>
        </w:rPr>
        <w:t>Charles Ponzi</w:t>
      </w:r>
      <w:r>
        <w:rPr>
          <w:noProof/>
        </w:rPr>
        <w:t xml:space="preserve">, 124, </w:t>
      </w:r>
      <w:r w:rsidRPr="00C94C92">
        <w:rPr>
          <w:i/>
          <w:noProof/>
        </w:rPr>
        <w:t>See</w:t>
      </w:r>
      <w:r>
        <w:rPr>
          <w:noProof/>
        </w:rPr>
        <w:t xml:space="preserve"> Ponzi Scheme</w:t>
      </w:r>
    </w:p>
    <w:p w14:paraId="02F184A9" w14:textId="77777777" w:rsidR="007E3004" w:rsidRDefault="007E3004">
      <w:pPr>
        <w:pStyle w:val="Index1"/>
        <w:tabs>
          <w:tab w:val="right" w:leader="dot" w:pos="3014"/>
        </w:tabs>
        <w:rPr>
          <w:noProof/>
        </w:rPr>
      </w:pPr>
      <w:r w:rsidRPr="00C94C92">
        <w:rPr>
          <w:rFonts w:cs="Times New Roman"/>
          <w:noProof/>
        </w:rPr>
        <w:t>CLTV</w:t>
      </w:r>
      <w:r>
        <w:rPr>
          <w:noProof/>
        </w:rPr>
        <w:t>, 66, 111, 186</w:t>
      </w:r>
    </w:p>
    <w:p w14:paraId="067AF6C1" w14:textId="77777777" w:rsidR="007E3004" w:rsidRDefault="007E3004">
      <w:pPr>
        <w:pStyle w:val="Index1"/>
        <w:tabs>
          <w:tab w:val="right" w:leader="dot" w:pos="3014"/>
        </w:tabs>
        <w:rPr>
          <w:noProof/>
        </w:rPr>
      </w:pPr>
      <w:r w:rsidRPr="00C94C92">
        <w:rPr>
          <w:rFonts w:cs="Times New Roman"/>
          <w:noProof/>
        </w:rPr>
        <w:t>collateral</w:t>
      </w:r>
      <w:r>
        <w:rPr>
          <w:noProof/>
        </w:rPr>
        <w:t>, 24, 33, 63, 64, 68, 91, 98, 100, 148, 187, 188</w:t>
      </w:r>
    </w:p>
    <w:p w14:paraId="3658F5CD" w14:textId="77777777" w:rsidR="007E3004" w:rsidRDefault="007E3004">
      <w:pPr>
        <w:pStyle w:val="Index1"/>
        <w:tabs>
          <w:tab w:val="right" w:leader="dot" w:pos="3014"/>
        </w:tabs>
        <w:rPr>
          <w:noProof/>
        </w:rPr>
      </w:pPr>
      <w:r w:rsidRPr="00C94C92">
        <w:rPr>
          <w:rFonts w:cs="Times New Roman"/>
          <w:noProof/>
        </w:rPr>
        <w:t>collateralized debt obligation</w:t>
      </w:r>
      <w:r>
        <w:rPr>
          <w:noProof/>
        </w:rPr>
        <w:t xml:space="preserve">. </w:t>
      </w:r>
      <w:r w:rsidRPr="00C94C92">
        <w:rPr>
          <w:i/>
          <w:noProof/>
        </w:rPr>
        <w:t>See</w:t>
      </w:r>
      <w:r>
        <w:rPr>
          <w:noProof/>
        </w:rPr>
        <w:t xml:space="preserve"> CDO</w:t>
      </w:r>
    </w:p>
    <w:p w14:paraId="0DDA7FFB" w14:textId="77777777" w:rsidR="007E3004" w:rsidRDefault="007E3004">
      <w:pPr>
        <w:pStyle w:val="Index1"/>
        <w:tabs>
          <w:tab w:val="right" w:leader="dot" w:pos="3014"/>
        </w:tabs>
        <w:rPr>
          <w:noProof/>
        </w:rPr>
      </w:pPr>
      <w:r w:rsidRPr="00C94C92">
        <w:rPr>
          <w:rFonts w:cs="Times New Roman"/>
          <w:noProof/>
        </w:rPr>
        <w:t>combined-loan-to-value</w:t>
      </w:r>
      <w:r>
        <w:rPr>
          <w:noProof/>
        </w:rPr>
        <w:t xml:space="preserve">, 65, 66, 185, 186, 190, 192, 193, 194, </w:t>
      </w:r>
      <w:r w:rsidRPr="00C94C92">
        <w:rPr>
          <w:i/>
          <w:noProof/>
        </w:rPr>
        <w:t>See</w:t>
      </w:r>
      <w:r>
        <w:rPr>
          <w:noProof/>
        </w:rPr>
        <w:t xml:space="preserve"> CLTV</w:t>
      </w:r>
    </w:p>
    <w:p w14:paraId="126C6919" w14:textId="77777777" w:rsidR="007E3004" w:rsidRDefault="007E3004">
      <w:pPr>
        <w:pStyle w:val="Index1"/>
        <w:tabs>
          <w:tab w:val="right" w:leader="dot" w:pos="3014"/>
        </w:tabs>
        <w:rPr>
          <w:noProof/>
        </w:rPr>
      </w:pPr>
      <w:r w:rsidRPr="00C94C92">
        <w:rPr>
          <w:rFonts w:cs="Times New Roman"/>
          <w:noProof/>
        </w:rPr>
        <w:t>commodities</w:t>
      </w:r>
      <w:r>
        <w:rPr>
          <w:noProof/>
        </w:rPr>
        <w:t>, 41, 57, 103, 110, 111, 133</w:t>
      </w:r>
    </w:p>
    <w:p w14:paraId="64089E4D" w14:textId="77777777" w:rsidR="007E3004" w:rsidRDefault="007E3004">
      <w:pPr>
        <w:pStyle w:val="Index1"/>
        <w:tabs>
          <w:tab w:val="right" w:leader="dot" w:pos="3014"/>
        </w:tabs>
        <w:rPr>
          <w:noProof/>
        </w:rPr>
      </w:pPr>
      <w:r w:rsidRPr="00C94C92">
        <w:rPr>
          <w:rFonts w:cs="Times New Roman"/>
          <w:noProof/>
        </w:rPr>
        <w:t>commodities exchange</w:t>
      </w:r>
      <w:r>
        <w:rPr>
          <w:noProof/>
        </w:rPr>
        <w:t>, 110</w:t>
      </w:r>
    </w:p>
    <w:p w14:paraId="39ADCEFC" w14:textId="77777777" w:rsidR="007E3004" w:rsidRDefault="007E3004">
      <w:pPr>
        <w:pStyle w:val="Index1"/>
        <w:tabs>
          <w:tab w:val="right" w:leader="dot" w:pos="3014"/>
        </w:tabs>
        <w:rPr>
          <w:noProof/>
        </w:rPr>
      </w:pPr>
      <w:r w:rsidRPr="00C94C92">
        <w:rPr>
          <w:rFonts w:cs="Times New Roman"/>
          <w:noProof/>
        </w:rPr>
        <w:t>Community Facilities District</w:t>
      </w:r>
      <w:r>
        <w:rPr>
          <w:noProof/>
        </w:rPr>
        <w:t>, 34</w:t>
      </w:r>
    </w:p>
    <w:p w14:paraId="5BEA594F" w14:textId="77777777" w:rsidR="007E3004" w:rsidRDefault="007E3004">
      <w:pPr>
        <w:pStyle w:val="Index1"/>
        <w:tabs>
          <w:tab w:val="right" w:leader="dot" w:pos="3014"/>
        </w:tabs>
        <w:rPr>
          <w:noProof/>
        </w:rPr>
      </w:pPr>
      <w:r w:rsidRPr="00C94C92">
        <w:rPr>
          <w:rFonts w:cs="Times New Roman"/>
          <w:noProof/>
        </w:rPr>
        <w:t>comparative-sales approach</w:t>
      </w:r>
      <w:r>
        <w:rPr>
          <w:noProof/>
        </w:rPr>
        <w:t>, 68, 69, 70, 187, 188, 189</w:t>
      </w:r>
    </w:p>
    <w:p w14:paraId="48711BA4" w14:textId="77777777" w:rsidR="007E3004" w:rsidRDefault="007E3004">
      <w:pPr>
        <w:pStyle w:val="Index1"/>
        <w:tabs>
          <w:tab w:val="right" w:leader="dot" w:pos="3014"/>
        </w:tabs>
        <w:rPr>
          <w:noProof/>
        </w:rPr>
      </w:pPr>
      <w:r w:rsidRPr="00C94C92">
        <w:rPr>
          <w:rFonts w:cs="Times New Roman"/>
          <w:noProof/>
        </w:rPr>
        <w:t>conspicuous consumption</w:t>
      </w:r>
      <w:r>
        <w:rPr>
          <w:noProof/>
        </w:rPr>
        <w:t>, 96, 123</w:t>
      </w:r>
    </w:p>
    <w:p w14:paraId="363E4AA8" w14:textId="77777777" w:rsidR="007E3004" w:rsidRDefault="007E3004">
      <w:pPr>
        <w:pStyle w:val="Index1"/>
        <w:tabs>
          <w:tab w:val="right" w:leader="dot" w:pos="3014"/>
        </w:tabs>
        <w:rPr>
          <w:noProof/>
        </w:rPr>
      </w:pPr>
      <w:r w:rsidRPr="00C94C92">
        <w:rPr>
          <w:rFonts w:cs="Times New Roman"/>
          <w:noProof/>
        </w:rPr>
        <w:t>Consumer Price Index</w:t>
      </w:r>
      <w:r>
        <w:rPr>
          <w:noProof/>
        </w:rPr>
        <w:t xml:space="preserve">. </w:t>
      </w:r>
      <w:r w:rsidRPr="00C94C92">
        <w:rPr>
          <w:i/>
          <w:noProof/>
        </w:rPr>
        <w:t>See</w:t>
      </w:r>
      <w:r>
        <w:rPr>
          <w:noProof/>
        </w:rPr>
        <w:t xml:space="preserve"> CPI</w:t>
      </w:r>
    </w:p>
    <w:p w14:paraId="0EC2CDF9" w14:textId="77777777" w:rsidR="007E3004" w:rsidRDefault="007E3004">
      <w:pPr>
        <w:pStyle w:val="Index1"/>
        <w:tabs>
          <w:tab w:val="right" w:leader="dot" w:pos="3014"/>
        </w:tabs>
        <w:rPr>
          <w:noProof/>
        </w:rPr>
      </w:pPr>
      <w:r w:rsidRPr="00C94C92">
        <w:rPr>
          <w:rFonts w:cs="Times New Roman"/>
          <w:noProof/>
        </w:rPr>
        <w:t>consumptive value</w:t>
      </w:r>
      <w:r>
        <w:rPr>
          <w:noProof/>
        </w:rPr>
        <w:t>, 26, 32, 39</w:t>
      </w:r>
    </w:p>
    <w:p w14:paraId="6264931C" w14:textId="77777777" w:rsidR="007E3004" w:rsidRDefault="007E3004">
      <w:pPr>
        <w:pStyle w:val="Index1"/>
        <w:tabs>
          <w:tab w:val="right" w:leader="dot" w:pos="3014"/>
        </w:tabs>
        <w:rPr>
          <w:noProof/>
        </w:rPr>
      </w:pPr>
      <w:r w:rsidRPr="00C94C92">
        <w:rPr>
          <w:rFonts w:cs="Times New Roman"/>
          <w:noProof/>
        </w:rPr>
        <w:t>Conventional mortgage</w:t>
      </w:r>
      <w:r>
        <w:rPr>
          <w:noProof/>
        </w:rPr>
        <w:t>, 12, 13, 87</w:t>
      </w:r>
    </w:p>
    <w:p w14:paraId="476C8837" w14:textId="77777777" w:rsidR="007E3004" w:rsidRDefault="007E3004">
      <w:pPr>
        <w:pStyle w:val="Index1"/>
        <w:tabs>
          <w:tab w:val="right" w:leader="dot" w:pos="3014"/>
        </w:tabs>
        <w:rPr>
          <w:noProof/>
        </w:rPr>
      </w:pPr>
      <w:r w:rsidRPr="00C94C92">
        <w:rPr>
          <w:rFonts w:cs="Times New Roman"/>
          <w:noProof/>
        </w:rPr>
        <w:t>cost approach</w:t>
      </w:r>
      <w:r>
        <w:rPr>
          <w:noProof/>
        </w:rPr>
        <w:t>, 68</w:t>
      </w:r>
    </w:p>
    <w:p w14:paraId="29B2872A" w14:textId="77777777" w:rsidR="007E3004" w:rsidRDefault="007E3004">
      <w:pPr>
        <w:pStyle w:val="Index1"/>
        <w:tabs>
          <w:tab w:val="right" w:leader="dot" w:pos="3014"/>
        </w:tabs>
        <w:rPr>
          <w:noProof/>
        </w:rPr>
      </w:pPr>
      <w:r w:rsidRPr="00C94C92">
        <w:rPr>
          <w:rFonts w:cs="Times New Roman"/>
          <w:noProof/>
        </w:rPr>
        <w:t>cost of ownership</w:t>
      </w:r>
      <w:r>
        <w:rPr>
          <w:noProof/>
        </w:rPr>
        <w:t>, 4, 21, 23, 31, 32, 34, 35, 36, 37, 38, 39, 42, 46, 48, 49, 84, 107, 108, 109, 142, 144, 145, 167</w:t>
      </w:r>
    </w:p>
    <w:p w14:paraId="40F8204A" w14:textId="77777777" w:rsidR="007E3004" w:rsidRDefault="007E3004">
      <w:pPr>
        <w:pStyle w:val="Index1"/>
        <w:tabs>
          <w:tab w:val="right" w:leader="dot" w:pos="3014"/>
        </w:tabs>
        <w:rPr>
          <w:noProof/>
        </w:rPr>
      </w:pPr>
      <w:r w:rsidRPr="00C94C92">
        <w:rPr>
          <w:rFonts w:cs="Times New Roman"/>
          <w:noProof/>
        </w:rPr>
        <w:t>counter-offer</w:t>
      </w:r>
      <w:r>
        <w:rPr>
          <w:noProof/>
        </w:rPr>
        <w:t>, 177</w:t>
      </w:r>
    </w:p>
    <w:p w14:paraId="09FB7C0C" w14:textId="77777777" w:rsidR="007E3004" w:rsidRDefault="007E3004">
      <w:pPr>
        <w:pStyle w:val="Index1"/>
        <w:tabs>
          <w:tab w:val="right" w:leader="dot" w:pos="3014"/>
        </w:tabs>
        <w:rPr>
          <w:noProof/>
        </w:rPr>
      </w:pPr>
      <w:r w:rsidRPr="00C94C92">
        <w:rPr>
          <w:rFonts w:cs="Times New Roman"/>
          <w:noProof/>
        </w:rPr>
        <w:t>covenants, conditions, and restrictions</w:t>
      </w:r>
      <w:r>
        <w:rPr>
          <w:noProof/>
        </w:rPr>
        <w:t>, 34</w:t>
      </w:r>
    </w:p>
    <w:p w14:paraId="0FD27E93" w14:textId="77777777" w:rsidR="007E3004" w:rsidRDefault="007E3004">
      <w:pPr>
        <w:pStyle w:val="Index1"/>
        <w:tabs>
          <w:tab w:val="right" w:leader="dot" w:pos="3014"/>
        </w:tabs>
        <w:rPr>
          <w:noProof/>
        </w:rPr>
      </w:pPr>
      <w:r w:rsidRPr="00C94C92">
        <w:rPr>
          <w:rFonts w:cs="Times New Roman"/>
          <w:noProof/>
        </w:rPr>
        <w:t>CPI</w:t>
      </w:r>
      <w:r>
        <w:rPr>
          <w:noProof/>
        </w:rPr>
        <w:t>, 31, 148, 189</w:t>
      </w:r>
    </w:p>
    <w:p w14:paraId="194E994F" w14:textId="77777777" w:rsidR="007E3004" w:rsidRDefault="007E3004">
      <w:pPr>
        <w:pStyle w:val="Index1"/>
        <w:tabs>
          <w:tab w:val="right" w:leader="dot" w:pos="3014"/>
        </w:tabs>
        <w:rPr>
          <w:noProof/>
        </w:rPr>
      </w:pPr>
      <w:r w:rsidRPr="00C94C92">
        <w:rPr>
          <w:rFonts w:cs="Times New Roman"/>
          <w:noProof/>
        </w:rPr>
        <w:t>credit crunch</w:t>
      </w:r>
      <w:r>
        <w:rPr>
          <w:noProof/>
        </w:rPr>
        <w:t>, 19, 29, 37, 63, 75, 93, 97, 98, 118, 119, 185, 191</w:t>
      </w:r>
    </w:p>
    <w:p w14:paraId="775C1F3F" w14:textId="77777777" w:rsidR="007E3004" w:rsidRDefault="007E3004">
      <w:pPr>
        <w:pStyle w:val="Index1"/>
        <w:tabs>
          <w:tab w:val="right" w:leader="dot" w:pos="3014"/>
        </w:tabs>
        <w:rPr>
          <w:noProof/>
        </w:rPr>
      </w:pPr>
      <w:r w:rsidRPr="00C94C92">
        <w:rPr>
          <w:rFonts w:cs="Times New Roman"/>
          <w:noProof/>
        </w:rPr>
        <w:t>credit cycle</w:t>
      </w:r>
      <w:r>
        <w:rPr>
          <w:noProof/>
        </w:rPr>
        <w:t>, 29, 92, 102, 117</w:t>
      </w:r>
    </w:p>
    <w:p w14:paraId="2427B2E4" w14:textId="77777777" w:rsidR="007E3004" w:rsidRDefault="007E3004">
      <w:pPr>
        <w:pStyle w:val="Index1"/>
        <w:tabs>
          <w:tab w:val="right" w:leader="dot" w:pos="3014"/>
        </w:tabs>
        <w:rPr>
          <w:noProof/>
        </w:rPr>
      </w:pPr>
      <w:r w:rsidRPr="00C94C92">
        <w:rPr>
          <w:rFonts w:cs="Times New Roman"/>
          <w:noProof/>
        </w:rPr>
        <w:t>credit default swaps</w:t>
      </w:r>
      <w:r>
        <w:rPr>
          <w:noProof/>
        </w:rPr>
        <w:t>, 61</w:t>
      </w:r>
    </w:p>
    <w:p w14:paraId="2206AA2C" w14:textId="77777777" w:rsidR="007E3004" w:rsidRDefault="007E3004">
      <w:pPr>
        <w:pStyle w:val="Index1"/>
        <w:tabs>
          <w:tab w:val="right" w:leader="dot" w:pos="3014"/>
        </w:tabs>
        <w:rPr>
          <w:noProof/>
        </w:rPr>
      </w:pPr>
      <w:r w:rsidRPr="00C94C92">
        <w:rPr>
          <w:rFonts w:cs="Times New Roman"/>
          <w:noProof/>
        </w:rPr>
        <w:t>Credit ratings</w:t>
      </w:r>
      <w:r>
        <w:rPr>
          <w:noProof/>
        </w:rPr>
        <w:t>, 63</w:t>
      </w:r>
    </w:p>
    <w:p w14:paraId="74BB2F8D" w14:textId="77777777" w:rsidR="007E3004" w:rsidRDefault="007E3004">
      <w:pPr>
        <w:pStyle w:val="Index1"/>
        <w:tabs>
          <w:tab w:val="right" w:leader="dot" w:pos="3014"/>
        </w:tabs>
        <w:rPr>
          <w:noProof/>
        </w:rPr>
      </w:pPr>
      <w:r w:rsidRPr="00C94C92">
        <w:rPr>
          <w:rFonts w:cs="Times New Roman"/>
          <w:noProof/>
        </w:rPr>
        <w:t>Credit Suisse</w:t>
      </w:r>
      <w:r>
        <w:rPr>
          <w:noProof/>
        </w:rPr>
        <w:t>, 93</w:t>
      </w:r>
    </w:p>
    <w:p w14:paraId="4C1C1EB2" w14:textId="77777777" w:rsidR="007E3004" w:rsidRDefault="007E3004">
      <w:pPr>
        <w:pStyle w:val="Index1"/>
        <w:tabs>
          <w:tab w:val="right" w:leader="dot" w:pos="3014"/>
        </w:tabs>
        <w:rPr>
          <w:noProof/>
        </w:rPr>
      </w:pPr>
      <w:r w:rsidRPr="00C94C92">
        <w:rPr>
          <w:rFonts w:cs="Times New Roman"/>
          <w:noProof/>
        </w:rPr>
        <w:t>cultural pathology</w:t>
      </w:r>
      <w:r>
        <w:rPr>
          <w:noProof/>
        </w:rPr>
        <w:t>, 121, 123, 133</w:t>
      </w:r>
    </w:p>
    <w:p w14:paraId="6DD270D9" w14:textId="77777777" w:rsidR="007E3004" w:rsidRDefault="007E3004">
      <w:pPr>
        <w:pStyle w:val="IndexHeading"/>
        <w:keepNext/>
        <w:tabs>
          <w:tab w:val="right" w:leader="dot" w:pos="3014"/>
        </w:tabs>
        <w:rPr>
          <w:b w:val="0"/>
          <w:bCs w:val="0"/>
          <w:noProof/>
        </w:rPr>
      </w:pPr>
      <w:r>
        <w:rPr>
          <w:noProof/>
        </w:rPr>
        <w:t>D</w:t>
      </w:r>
    </w:p>
    <w:p w14:paraId="3D401B09" w14:textId="77777777" w:rsidR="007E3004" w:rsidRDefault="007E3004">
      <w:pPr>
        <w:pStyle w:val="Index1"/>
        <w:tabs>
          <w:tab w:val="right" w:leader="dot" w:pos="3014"/>
        </w:tabs>
        <w:rPr>
          <w:noProof/>
        </w:rPr>
      </w:pPr>
      <w:r w:rsidRPr="00C94C92">
        <w:rPr>
          <w:rFonts w:cs="Times New Roman"/>
          <w:noProof/>
        </w:rPr>
        <w:t>debtor’s prisons</w:t>
      </w:r>
      <w:r>
        <w:rPr>
          <w:noProof/>
        </w:rPr>
        <w:t>, 166</w:t>
      </w:r>
    </w:p>
    <w:p w14:paraId="5F59F8D1" w14:textId="77777777" w:rsidR="007E3004" w:rsidRDefault="007E3004">
      <w:pPr>
        <w:pStyle w:val="Index1"/>
        <w:tabs>
          <w:tab w:val="right" w:leader="dot" w:pos="3014"/>
        </w:tabs>
        <w:rPr>
          <w:noProof/>
        </w:rPr>
      </w:pPr>
      <w:r w:rsidRPr="00C94C92">
        <w:rPr>
          <w:rFonts w:cs="Times New Roman"/>
          <w:noProof/>
        </w:rPr>
        <w:t>debt-to-income</w:t>
      </w:r>
      <w:r>
        <w:rPr>
          <w:noProof/>
        </w:rPr>
        <w:t xml:space="preserve">, 9, 28, 65, 67, 73, 75, 82, 83, 84, 86, 87, 91, 92, 98, 135, 137, 140, 153, 154, 155, 158, 167, 181, 185, 186, 190, 192, 193, </w:t>
      </w:r>
      <w:r w:rsidRPr="00C94C92">
        <w:rPr>
          <w:i/>
          <w:noProof/>
        </w:rPr>
        <w:t>See</w:t>
      </w:r>
      <w:r>
        <w:rPr>
          <w:noProof/>
        </w:rPr>
        <w:t xml:space="preserve"> DTI</w:t>
      </w:r>
    </w:p>
    <w:p w14:paraId="19AB4DE2" w14:textId="77777777" w:rsidR="007E3004" w:rsidRDefault="007E3004">
      <w:pPr>
        <w:pStyle w:val="Index1"/>
        <w:tabs>
          <w:tab w:val="right" w:leader="dot" w:pos="3014"/>
        </w:tabs>
        <w:rPr>
          <w:noProof/>
        </w:rPr>
      </w:pPr>
      <w:r w:rsidRPr="00C94C92">
        <w:rPr>
          <w:rFonts w:cs="Times New Roman"/>
          <w:noProof/>
        </w:rPr>
        <w:t>debt-to-income ratio</w:t>
      </w:r>
      <w:r>
        <w:rPr>
          <w:noProof/>
        </w:rPr>
        <w:t>, 9, 65, 67, 75, 84, 135, 153, 154, 155, 158, 185, 190, 192</w:t>
      </w:r>
    </w:p>
    <w:p w14:paraId="5BD7966A" w14:textId="77777777" w:rsidR="007E3004" w:rsidRDefault="007E3004">
      <w:pPr>
        <w:pStyle w:val="Index1"/>
        <w:tabs>
          <w:tab w:val="right" w:leader="dot" w:pos="3014"/>
        </w:tabs>
        <w:rPr>
          <w:noProof/>
        </w:rPr>
      </w:pPr>
      <w:r w:rsidRPr="00C94C92">
        <w:rPr>
          <w:rFonts w:cs="Times New Roman"/>
          <w:noProof/>
        </w:rPr>
        <w:t>default rates</w:t>
      </w:r>
      <w:r>
        <w:rPr>
          <w:noProof/>
        </w:rPr>
        <w:t>, 9, 16, 17, 23, 27, 28, 64, 65, 66, 67, 75, 83, 92, 93, 95, 99, 101, 159, 181, 183, 186</w:t>
      </w:r>
    </w:p>
    <w:p w14:paraId="78B24D00" w14:textId="77777777" w:rsidR="007E3004" w:rsidRDefault="007E3004">
      <w:pPr>
        <w:pStyle w:val="Index1"/>
        <w:tabs>
          <w:tab w:val="right" w:leader="dot" w:pos="3014"/>
        </w:tabs>
        <w:rPr>
          <w:noProof/>
        </w:rPr>
      </w:pPr>
      <w:r w:rsidRPr="00C94C92">
        <w:rPr>
          <w:rFonts w:cs="Times New Roman"/>
          <w:noProof/>
        </w:rPr>
        <w:t>deflation</w:t>
      </w:r>
      <w:r>
        <w:rPr>
          <w:noProof/>
        </w:rPr>
        <w:t xml:space="preserve">, xix, 13, 25, 63, 98, 102, 133, 137, 148, 164, 167, 179, 180, 191, 192, 193, 194, </w:t>
      </w:r>
      <w:r w:rsidRPr="00C94C92">
        <w:rPr>
          <w:i/>
          <w:noProof/>
        </w:rPr>
        <w:t>See</w:t>
      </w:r>
      <w:r>
        <w:rPr>
          <w:noProof/>
        </w:rPr>
        <w:t xml:space="preserve"> Monetary Deflation</w:t>
      </w:r>
    </w:p>
    <w:p w14:paraId="6B40F9CD" w14:textId="77777777" w:rsidR="007E3004" w:rsidRDefault="007E3004">
      <w:pPr>
        <w:pStyle w:val="Index1"/>
        <w:tabs>
          <w:tab w:val="right" w:leader="dot" w:pos="3014"/>
        </w:tabs>
        <w:rPr>
          <w:noProof/>
        </w:rPr>
      </w:pPr>
      <w:r w:rsidRPr="00C94C92">
        <w:rPr>
          <w:rFonts w:cs="Times New Roman"/>
          <w:noProof/>
        </w:rPr>
        <w:t>demand curve</w:t>
      </w:r>
      <w:r>
        <w:rPr>
          <w:noProof/>
        </w:rPr>
        <w:t>, 85, 88</w:t>
      </w:r>
    </w:p>
    <w:p w14:paraId="36BC109B" w14:textId="77777777" w:rsidR="007E3004" w:rsidRDefault="007E3004">
      <w:pPr>
        <w:pStyle w:val="Index1"/>
        <w:tabs>
          <w:tab w:val="right" w:leader="dot" w:pos="3014"/>
        </w:tabs>
        <w:rPr>
          <w:noProof/>
        </w:rPr>
      </w:pPr>
      <w:r w:rsidRPr="00C94C92">
        <w:rPr>
          <w:rFonts w:cs="Times New Roman"/>
          <w:noProof/>
        </w:rPr>
        <w:t>denial stage</w:t>
      </w:r>
      <w:r>
        <w:rPr>
          <w:noProof/>
        </w:rPr>
        <w:t>, 117, 118, 119</w:t>
      </w:r>
    </w:p>
    <w:p w14:paraId="67D5C9C5" w14:textId="77777777" w:rsidR="007E3004" w:rsidRDefault="007E3004">
      <w:pPr>
        <w:pStyle w:val="Index1"/>
        <w:tabs>
          <w:tab w:val="right" w:leader="dot" w:pos="3014"/>
        </w:tabs>
        <w:rPr>
          <w:noProof/>
        </w:rPr>
      </w:pPr>
      <w:r w:rsidRPr="00C94C92">
        <w:rPr>
          <w:rFonts w:cs="Times New Roman"/>
          <w:noProof/>
        </w:rPr>
        <w:t>Department of Labor</w:t>
      </w:r>
      <w:r>
        <w:rPr>
          <w:noProof/>
        </w:rPr>
        <w:t>, 31, 39, 189</w:t>
      </w:r>
    </w:p>
    <w:p w14:paraId="0FAA8501" w14:textId="77777777" w:rsidR="007E3004" w:rsidRDefault="007E3004">
      <w:pPr>
        <w:pStyle w:val="Index1"/>
        <w:tabs>
          <w:tab w:val="right" w:leader="dot" w:pos="3014"/>
        </w:tabs>
        <w:rPr>
          <w:noProof/>
        </w:rPr>
      </w:pPr>
      <w:r w:rsidRPr="00C94C92">
        <w:rPr>
          <w:rFonts w:cs="Times New Roman"/>
          <w:noProof/>
        </w:rPr>
        <w:t>Department of Treasury</w:t>
      </w:r>
      <w:r>
        <w:rPr>
          <w:noProof/>
        </w:rPr>
        <w:t>, 129</w:t>
      </w:r>
    </w:p>
    <w:p w14:paraId="1BBD2333" w14:textId="77777777" w:rsidR="007E3004" w:rsidRDefault="007E3004">
      <w:pPr>
        <w:pStyle w:val="Index1"/>
        <w:tabs>
          <w:tab w:val="right" w:leader="dot" w:pos="3014"/>
        </w:tabs>
        <w:rPr>
          <w:noProof/>
        </w:rPr>
      </w:pPr>
      <w:r w:rsidRPr="00C94C92">
        <w:rPr>
          <w:rFonts w:cs="Times New Roman"/>
          <w:noProof/>
        </w:rPr>
        <w:t>despair stage</w:t>
      </w:r>
      <w:r>
        <w:rPr>
          <w:noProof/>
        </w:rPr>
        <w:t>, 120, 121</w:t>
      </w:r>
    </w:p>
    <w:p w14:paraId="41FC18F8" w14:textId="77777777" w:rsidR="007E3004" w:rsidRDefault="007E3004">
      <w:pPr>
        <w:pStyle w:val="Index1"/>
        <w:tabs>
          <w:tab w:val="right" w:leader="dot" w:pos="3014"/>
        </w:tabs>
        <w:rPr>
          <w:noProof/>
        </w:rPr>
      </w:pPr>
      <w:r w:rsidRPr="00C94C92">
        <w:rPr>
          <w:rFonts w:cs="Times New Roman"/>
          <w:noProof/>
        </w:rPr>
        <w:t>Developers</w:t>
      </w:r>
      <w:r>
        <w:rPr>
          <w:noProof/>
        </w:rPr>
        <w:t>, 54</w:t>
      </w:r>
    </w:p>
    <w:p w14:paraId="7F56B9D5" w14:textId="77777777" w:rsidR="007E3004" w:rsidRDefault="007E3004">
      <w:pPr>
        <w:pStyle w:val="Index1"/>
        <w:tabs>
          <w:tab w:val="right" w:leader="dot" w:pos="3014"/>
        </w:tabs>
        <w:rPr>
          <w:noProof/>
        </w:rPr>
      </w:pPr>
      <w:r w:rsidRPr="00C94C92">
        <w:rPr>
          <w:rFonts w:cs="Times New Roman"/>
          <w:noProof/>
        </w:rPr>
        <w:t>discount rate</w:t>
      </w:r>
      <w:r>
        <w:rPr>
          <w:noProof/>
        </w:rPr>
        <w:t>, 40, 41, 42, 43, 47</w:t>
      </w:r>
    </w:p>
    <w:p w14:paraId="3D24151E" w14:textId="77777777" w:rsidR="007E3004" w:rsidRDefault="007E3004">
      <w:pPr>
        <w:pStyle w:val="Index1"/>
        <w:tabs>
          <w:tab w:val="right" w:leader="dot" w:pos="3014"/>
        </w:tabs>
        <w:rPr>
          <w:noProof/>
        </w:rPr>
      </w:pPr>
      <w:r w:rsidRPr="00C94C92">
        <w:rPr>
          <w:rFonts w:cs="Times New Roman"/>
          <w:noProof/>
        </w:rPr>
        <w:t>discounted cashflow analysis</w:t>
      </w:r>
      <w:r>
        <w:rPr>
          <w:noProof/>
        </w:rPr>
        <w:t>, 40, 46, 104</w:t>
      </w:r>
    </w:p>
    <w:p w14:paraId="2C4AF997" w14:textId="77777777" w:rsidR="007E3004" w:rsidRDefault="007E3004">
      <w:pPr>
        <w:pStyle w:val="Index1"/>
        <w:tabs>
          <w:tab w:val="right" w:leader="dot" w:pos="3014"/>
        </w:tabs>
        <w:rPr>
          <w:noProof/>
        </w:rPr>
      </w:pPr>
      <w:r w:rsidRPr="00C94C92">
        <w:rPr>
          <w:rFonts w:cs="Times New Roman"/>
          <w:noProof/>
        </w:rPr>
        <w:t>document stamps and taxes</w:t>
      </w:r>
      <w:r>
        <w:rPr>
          <w:noProof/>
        </w:rPr>
        <w:t>, 42</w:t>
      </w:r>
    </w:p>
    <w:p w14:paraId="5355D997" w14:textId="77777777" w:rsidR="007E3004" w:rsidRDefault="007E3004">
      <w:pPr>
        <w:pStyle w:val="Index1"/>
        <w:tabs>
          <w:tab w:val="right" w:leader="dot" w:pos="3014"/>
        </w:tabs>
        <w:rPr>
          <w:noProof/>
        </w:rPr>
      </w:pPr>
      <w:r w:rsidRPr="00C94C92">
        <w:rPr>
          <w:rFonts w:cs="Times New Roman"/>
          <w:noProof/>
        </w:rPr>
        <w:t>DOL</w:t>
      </w:r>
      <w:r>
        <w:rPr>
          <w:noProof/>
        </w:rPr>
        <w:t xml:space="preserve">, 189, </w:t>
      </w:r>
      <w:r w:rsidRPr="00C94C92">
        <w:rPr>
          <w:i/>
          <w:noProof/>
        </w:rPr>
        <w:t>See</w:t>
      </w:r>
      <w:r>
        <w:rPr>
          <w:noProof/>
        </w:rPr>
        <w:t xml:space="preserve"> Department of Labor</w:t>
      </w:r>
    </w:p>
    <w:p w14:paraId="1F89577D" w14:textId="77777777" w:rsidR="007E3004" w:rsidRDefault="007E3004">
      <w:pPr>
        <w:pStyle w:val="Index1"/>
        <w:tabs>
          <w:tab w:val="right" w:leader="dot" w:pos="3014"/>
        </w:tabs>
        <w:rPr>
          <w:noProof/>
        </w:rPr>
      </w:pPr>
      <w:r w:rsidRPr="00C94C92">
        <w:rPr>
          <w:rFonts w:cs="Times New Roman"/>
          <w:noProof/>
        </w:rPr>
        <w:t>downpayments</w:t>
      </w:r>
      <w:r>
        <w:rPr>
          <w:noProof/>
        </w:rPr>
        <w:t>, 19, 29, 66, 91, 96, 99, 111, 112, 120, 186</w:t>
      </w:r>
    </w:p>
    <w:p w14:paraId="72EE23E2" w14:textId="77777777" w:rsidR="007E3004" w:rsidRDefault="007E3004">
      <w:pPr>
        <w:pStyle w:val="Index1"/>
        <w:tabs>
          <w:tab w:val="right" w:leader="dot" w:pos="3014"/>
        </w:tabs>
        <w:rPr>
          <w:noProof/>
        </w:rPr>
      </w:pPr>
      <w:r w:rsidRPr="00C94C92">
        <w:rPr>
          <w:rFonts w:cs="Times New Roman"/>
          <w:noProof/>
        </w:rPr>
        <w:t>downward spiral</w:t>
      </w:r>
      <w:r>
        <w:rPr>
          <w:noProof/>
        </w:rPr>
        <w:t>, 91, 107, 120</w:t>
      </w:r>
    </w:p>
    <w:p w14:paraId="34E38E43" w14:textId="77777777" w:rsidR="007E3004" w:rsidRDefault="007E3004">
      <w:pPr>
        <w:pStyle w:val="Index1"/>
        <w:tabs>
          <w:tab w:val="right" w:leader="dot" w:pos="3014"/>
        </w:tabs>
        <w:rPr>
          <w:noProof/>
        </w:rPr>
      </w:pPr>
      <w:r w:rsidRPr="00C94C92">
        <w:rPr>
          <w:rFonts w:cs="Times New Roman"/>
          <w:noProof/>
        </w:rPr>
        <w:t>DTI</w:t>
      </w:r>
      <w:r>
        <w:rPr>
          <w:noProof/>
        </w:rPr>
        <w:t>, 67, 84, 87, 154, 155, 158</w:t>
      </w:r>
    </w:p>
    <w:p w14:paraId="18D56F3E" w14:textId="77777777" w:rsidR="007E3004" w:rsidRDefault="007E3004">
      <w:pPr>
        <w:pStyle w:val="IndexHeading"/>
        <w:keepNext/>
        <w:tabs>
          <w:tab w:val="right" w:leader="dot" w:pos="3014"/>
        </w:tabs>
        <w:rPr>
          <w:b w:val="0"/>
          <w:bCs w:val="0"/>
          <w:noProof/>
        </w:rPr>
      </w:pPr>
      <w:r>
        <w:rPr>
          <w:noProof/>
        </w:rPr>
        <w:t>E</w:t>
      </w:r>
    </w:p>
    <w:p w14:paraId="4F195B44" w14:textId="77777777" w:rsidR="007E3004" w:rsidRDefault="007E3004">
      <w:pPr>
        <w:pStyle w:val="Index1"/>
        <w:tabs>
          <w:tab w:val="right" w:leader="dot" w:pos="3014"/>
        </w:tabs>
        <w:rPr>
          <w:noProof/>
        </w:rPr>
      </w:pPr>
      <w:r w:rsidRPr="00C94C92">
        <w:rPr>
          <w:rFonts w:cs="Times New Roman"/>
          <w:noProof/>
        </w:rPr>
        <w:t>Economic Stimulus Act of 2008</w:t>
      </w:r>
      <w:r>
        <w:rPr>
          <w:noProof/>
        </w:rPr>
        <w:t>, 128</w:t>
      </w:r>
    </w:p>
    <w:p w14:paraId="1ACF0CF5" w14:textId="77777777" w:rsidR="007E3004" w:rsidRDefault="007E3004">
      <w:pPr>
        <w:pStyle w:val="Index1"/>
        <w:tabs>
          <w:tab w:val="right" w:leader="dot" w:pos="3014"/>
        </w:tabs>
        <w:rPr>
          <w:noProof/>
        </w:rPr>
      </w:pPr>
      <w:r w:rsidRPr="00C94C92">
        <w:rPr>
          <w:rFonts w:cs="Times New Roman"/>
          <w:noProof/>
        </w:rPr>
        <w:t>efficient markets theory</w:t>
      </w:r>
      <w:r>
        <w:rPr>
          <w:noProof/>
        </w:rPr>
        <w:t>, 113, 114, 115, 136</w:t>
      </w:r>
    </w:p>
    <w:p w14:paraId="1430D0E6" w14:textId="77777777" w:rsidR="007E3004" w:rsidRDefault="007E3004">
      <w:pPr>
        <w:pStyle w:val="Index1"/>
        <w:tabs>
          <w:tab w:val="right" w:leader="dot" w:pos="3014"/>
        </w:tabs>
        <w:rPr>
          <w:noProof/>
        </w:rPr>
      </w:pPr>
      <w:r w:rsidRPr="00C94C92">
        <w:rPr>
          <w:rFonts w:cs="Times New Roman"/>
          <w:noProof/>
        </w:rPr>
        <w:t>Emergency Economic Stabilization Act of 2008</w:t>
      </w:r>
      <w:r>
        <w:rPr>
          <w:noProof/>
        </w:rPr>
        <w:t>, 129</w:t>
      </w:r>
    </w:p>
    <w:p w14:paraId="2FCABC61" w14:textId="77777777" w:rsidR="007E3004" w:rsidRDefault="007E3004">
      <w:pPr>
        <w:pStyle w:val="Index1"/>
        <w:tabs>
          <w:tab w:val="right" w:leader="dot" w:pos="3014"/>
        </w:tabs>
        <w:rPr>
          <w:noProof/>
        </w:rPr>
      </w:pPr>
      <w:r w:rsidRPr="00C94C92">
        <w:rPr>
          <w:rFonts w:cs="Times New Roman"/>
          <w:noProof/>
        </w:rPr>
        <w:t>emotional cycle</w:t>
      </w:r>
      <w:r>
        <w:rPr>
          <w:noProof/>
        </w:rPr>
        <w:t>, 133</w:t>
      </w:r>
    </w:p>
    <w:p w14:paraId="0FA9B141" w14:textId="77777777" w:rsidR="007E3004" w:rsidRDefault="007E3004">
      <w:pPr>
        <w:pStyle w:val="Index1"/>
        <w:tabs>
          <w:tab w:val="right" w:leader="dot" w:pos="3014"/>
        </w:tabs>
        <w:rPr>
          <w:noProof/>
        </w:rPr>
      </w:pPr>
      <w:r w:rsidRPr="00C94C92">
        <w:rPr>
          <w:rFonts w:cs="Times New Roman"/>
          <w:noProof/>
        </w:rPr>
        <w:t>enthusiasm stage</w:t>
      </w:r>
      <w:r>
        <w:rPr>
          <w:noProof/>
        </w:rPr>
        <w:t>, 116, 117, 118, 119</w:t>
      </w:r>
    </w:p>
    <w:p w14:paraId="7C01C02F" w14:textId="77777777" w:rsidR="007E3004" w:rsidRDefault="007E3004">
      <w:pPr>
        <w:pStyle w:val="Index1"/>
        <w:tabs>
          <w:tab w:val="right" w:leader="dot" w:pos="3014"/>
        </w:tabs>
        <w:rPr>
          <w:noProof/>
        </w:rPr>
      </w:pPr>
      <w:r w:rsidRPr="00C94C92">
        <w:rPr>
          <w:rFonts w:cs="Times New Roman"/>
          <w:noProof/>
        </w:rPr>
        <w:t>entitlement process</w:t>
      </w:r>
      <w:r>
        <w:rPr>
          <w:noProof/>
        </w:rPr>
        <w:t>, 3, 88</w:t>
      </w:r>
    </w:p>
    <w:p w14:paraId="6A36C667" w14:textId="77777777" w:rsidR="007E3004" w:rsidRDefault="007E3004">
      <w:pPr>
        <w:pStyle w:val="Index1"/>
        <w:tabs>
          <w:tab w:val="right" w:leader="dot" w:pos="3014"/>
        </w:tabs>
        <w:rPr>
          <w:noProof/>
        </w:rPr>
      </w:pPr>
      <w:r w:rsidRPr="00C94C92">
        <w:rPr>
          <w:rFonts w:cs="Times New Roman"/>
          <w:noProof/>
        </w:rPr>
        <w:t>entry-level buyers</w:t>
      </w:r>
      <w:r>
        <w:rPr>
          <w:noProof/>
        </w:rPr>
        <w:t>, 89, 90, 99</w:t>
      </w:r>
    </w:p>
    <w:p w14:paraId="52665CDF" w14:textId="77777777" w:rsidR="007E3004" w:rsidRDefault="007E3004">
      <w:pPr>
        <w:pStyle w:val="Index1"/>
        <w:tabs>
          <w:tab w:val="right" w:leader="dot" w:pos="3014"/>
        </w:tabs>
        <w:rPr>
          <w:noProof/>
        </w:rPr>
      </w:pPr>
      <w:r w:rsidRPr="00C94C92">
        <w:rPr>
          <w:rFonts w:cs="Times New Roman"/>
          <w:noProof/>
        </w:rPr>
        <w:t>Equifax</w:t>
      </w:r>
      <w:r>
        <w:rPr>
          <w:noProof/>
        </w:rPr>
        <w:t>, 12</w:t>
      </w:r>
    </w:p>
    <w:p w14:paraId="3C05AFBA" w14:textId="77777777" w:rsidR="007E3004" w:rsidRDefault="007E3004">
      <w:pPr>
        <w:pStyle w:val="Index1"/>
        <w:tabs>
          <w:tab w:val="right" w:leader="dot" w:pos="3014"/>
        </w:tabs>
        <w:rPr>
          <w:noProof/>
        </w:rPr>
      </w:pPr>
      <w:r w:rsidRPr="00C94C92">
        <w:rPr>
          <w:rFonts w:cs="Times New Roman"/>
          <w:noProof/>
        </w:rPr>
        <w:t>equity</w:t>
      </w:r>
      <w:r>
        <w:rPr>
          <w:noProof/>
        </w:rPr>
        <w:t>, 5, 6, 20, 21, 23, 24, 25, 26, 27, 29, 35, 60, 61, 62, 67, 72, 89, 91, 96, 105, 107, 111, 119, 122, 123, 125, 131, 160, 161, 165, 167, 171, 173, 181, 184, 186, 187, 193, 194</w:t>
      </w:r>
    </w:p>
    <w:p w14:paraId="41334ECF" w14:textId="77777777" w:rsidR="007E3004" w:rsidRDefault="007E3004">
      <w:pPr>
        <w:pStyle w:val="Index1"/>
        <w:tabs>
          <w:tab w:val="right" w:leader="dot" w:pos="3014"/>
        </w:tabs>
        <w:rPr>
          <w:noProof/>
        </w:rPr>
      </w:pPr>
      <w:r w:rsidRPr="00C94C92">
        <w:rPr>
          <w:rFonts w:cs="Times New Roman"/>
          <w:noProof/>
        </w:rPr>
        <w:t>equity tranche</w:t>
      </w:r>
      <w:r>
        <w:rPr>
          <w:noProof/>
        </w:rPr>
        <w:t>, 61, 62</w:t>
      </w:r>
    </w:p>
    <w:p w14:paraId="686325AD" w14:textId="77777777" w:rsidR="007E3004" w:rsidRDefault="007E3004">
      <w:pPr>
        <w:pStyle w:val="Index1"/>
        <w:tabs>
          <w:tab w:val="right" w:leader="dot" w:pos="3014"/>
        </w:tabs>
        <w:rPr>
          <w:noProof/>
        </w:rPr>
      </w:pPr>
      <w:r w:rsidRPr="00C94C92">
        <w:rPr>
          <w:rFonts w:cs="Times New Roman"/>
          <w:noProof/>
        </w:rPr>
        <w:t>equivalent rents</w:t>
      </w:r>
      <w:r>
        <w:rPr>
          <w:noProof/>
        </w:rPr>
        <w:t>, 31, 49</w:t>
      </w:r>
    </w:p>
    <w:p w14:paraId="3EA94CD1" w14:textId="77777777" w:rsidR="007E3004" w:rsidRDefault="007E3004">
      <w:pPr>
        <w:pStyle w:val="Index1"/>
        <w:tabs>
          <w:tab w:val="right" w:leader="dot" w:pos="3014"/>
        </w:tabs>
        <w:rPr>
          <w:noProof/>
        </w:rPr>
      </w:pPr>
      <w:r w:rsidRPr="00C94C92">
        <w:rPr>
          <w:rFonts w:cs="Times New Roman"/>
          <w:noProof/>
        </w:rPr>
        <w:t>exotic financing</w:t>
      </w:r>
      <w:r>
        <w:rPr>
          <w:noProof/>
        </w:rPr>
        <w:t>, 5, 9, 75, 80, 81, 87, 101, 124, 132, 144, 145, 146, 159, 160, 167, 170</w:t>
      </w:r>
    </w:p>
    <w:p w14:paraId="7FF4C823" w14:textId="77777777" w:rsidR="007E3004" w:rsidRDefault="007E3004">
      <w:pPr>
        <w:pStyle w:val="Index1"/>
        <w:tabs>
          <w:tab w:val="right" w:leader="dot" w:pos="3014"/>
        </w:tabs>
        <w:rPr>
          <w:noProof/>
        </w:rPr>
      </w:pPr>
      <w:r w:rsidRPr="00C94C92">
        <w:rPr>
          <w:rFonts w:cs="Times New Roman"/>
          <w:noProof/>
        </w:rPr>
        <w:t>Experian</w:t>
      </w:r>
      <w:r>
        <w:rPr>
          <w:noProof/>
        </w:rPr>
        <w:t>, 12</w:t>
      </w:r>
    </w:p>
    <w:p w14:paraId="6CAEDB3A" w14:textId="77777777" w:rsidR="007E3004" w:rsidRDefault="007E3004">
      <w:pPr>
        <w:pStyle w:val="IndexHeading"/>
        <w:keepNext/>
        <w:tabs>
          <w:tab w:val="right" w:leader="dot" w:pos="3014"/>
        </w:tabs>
        <w:rPr>
          <w:b w:val="0"/>
          <w:bCs w:val="0"/>
          <w:noProof/>
        </w:rPr>
      </w:pPr>
      <w:r>
        <w:rPr>
          <w:noProof/>
        </w:rPr>
        <w:lastRenderedPageBreak/>
        <w:t>F</w:t>
      </w:r>
    </w:p>
    <w:p w14:paraId="0B1D2B4C" w14:textId="77777777" w:rsidR="007E3004" w:rsidRDefault="007E3004">
      <w:pPr>
        <w:pStyle w:val="Index1"/>
        <w:tabs>
          <w:tab w:val="right" w:leader="dot" w:pos="3014"/>
        </w:tabs>
        <w:rPr>
          <w:noProof/>
        </w:rPr>
      </w:pPr>
      <w:r w:rsidRPr="00C94C92">
        <w:rPr>
          <w:rFonts w:cs="Times New Roman"/>
          <w:noProof/>
        </w:rPr>
        <w:t>Fair Isaac Corporation</w:t>
      </w:r>
      <w:r>
        <w:rPr>
          <w:noProof/>
        </w:rPr>
        <w:t xml:space="preserve">, 11, 63, </w:t>
      </w:r>
      <w:r w:rsidRPr="00C94C92">
        <w:rPr>
          <w:i/>
          <w:noProof/>
        </w:rPr>
        <w:t>See</w:t>
      </w:r>
      <w:r>
        <w:rPr>
          <w:noProof/>
        </w:rPr>
        <w:t xml:space="preserve"> FICO</w:t>
      </w:r>
    </w:p>
    <w:p w14:paraId="7912B362" w14:textId="77777777" w:rsidR="007E3004" w:rsidRDefault="007E3004">
      <w:pPr>
        <w:pStyle w:val="Index1"/>
        <w:tabs>
          <w:tab w:val="right" w:leader="dot" w:pos="3014"/>
        </w:tabs>
        <w:rPr>
          <w:noProof/>
        </w:rPr>
      </w:pPr>
      <w:r w:rsidRPr="00C94C92">
        <w:rPr>
          <w:rFonts w:cs="Times New Roman"/>
          <w:noProof/>
        </w:rPr>
        <w:t>false hopes</w:t>
      </w:r>
      <w:r>
        <w:rPr>
          <w:noProof/>
        </w:rPr>
        <w:t>, 103, 133, 170</w:t>
      </w:r>
    </w:p>
    <w:p w14:paraId="5D78C051" w14:textId="77777777" w:rsidR="007E3004" w:rsidRDefault="007E3004">
      <w:pPr>
        <w:pStyle w:val="Index1"/>
        <w:tabs>
          <w:tab w:val="right" w:leader="dot" w:pos="3014"/>
        </w:tabs>
        <w:rPr>
          <w:noProof/>
        </w:rPr>
      </w:pPr>
      <w:r w:rsidRPr="00C94C92">
        <w:rPr>
          <w:rFonts w:cs="Times New Roman"/>
          <w:noProof/>
        </w:rPr>
        <w:t>Fannie Mae</w:t>
      </w:r>
      <w:r>
        <w:rPr>
          <w:noProof/>
        </w:rPr>
        <w:t>, 57, 58, 128, 187</w:t>
      </w:r>
    </w:p>
    <w:p w14:paraId="7C76DE14" w14:textId="77777777" w:rsidR="007E3004" w:rsidRDefault="007E3004">
      <w:pPr>
        <w:pStyle w:val="Index1"/>
        <w:tabs>
          <w:tab w:val="right" w:leader="dot" w:pos="3014"/>
        </w:tabs>
        <w:rPr>
          <w:noProof/>
        </w:rPr>
      </w:pPr>
      <w:r>
        <w:rPr>
          <w:noProof/>
        </w:rPr>
        <w:t>FDIC, 180</w:t>
      </w:r>
    </w:p>
    <w:p w14:paraId="7732B2BA" w14:textId="77777777" w:rsidR="007E3004" w:rsidRDefault="007E3004">
      <w:pPr>
        <w:pStyle w:val="Index1"/>
        <w:tabs>
          <w:tab w:val="right" w:leader="dot" w:pos="3014"/>
        </w:tabs>
        <w:rPr>
          <w:noProof/>
        </w:rPr>
      </w:pPr>
      <w:r w:rsidRPr="00C94C92">
        <w:rPr>
          <w:rFonts w:cs="Times New Roman"/>
          <w:noProof/>
        </w:rPr>
        <w:t>fear and greed</w:t>
      </w:r>
      <w:r>
        <w:rPr>
          <w:noProof/>
        </w:rPr>
        <w:t>, 103, 154</w:t>
      </w:r>
    </w:p>
    <w:p w14:paraId="6EFF875F" w14:textId="77777777" w:rsidR="007E3004" w:rsidRDefault="007E3004">
      <w:pPr>
        <w:pStyle w:val="Index1"/>
        <w:tabs>
          <w:tab w:val="right" w:leader="dot" w:pos="3014"/>
        </w:tabs>
        <w:rPr>
          <w:noProof/>
        </w:rPr>
      </w:pPr>
      <w:r w:rsidRPr="00C94C92">
        <w:rPr>
          <w:rFonts w:cs="Times New Roman"/>
          <w:noProof/>
        </w:rPr>
        <w:t>fear stage</w:t>
      </w:r>
      <w:r>
        <w:rPr>
          <w:noProof/>
        </w:rPr>
        <w:t>, 118, 119, 120</w:t>
      </w:r>
    </w:p>
    <w:p w14:paraId="5BF946D0" w14:textId="77777777" w:rsidR="007E3004" w:rsidRDefault="007E3004">
      <w:pPr>
        <w:pStyle w:val="Index1"/>
        <w:tabs>
          <w:tab w:val="right" w:leader="dot" w:pos="3014"/>
        </w:tabs>
        <w:rPr>
          <w:noProof/>
        </w:rPr>
      </w:pPr>
      <w:r w:rsidRPr="00C94C92">
        <w:rPr>
          <w:rFonts w:cs="Times New Roman"/>
          <w:noProof/>
        </w:rPr>
        <w:t>FED</w:t>
      </w:r>
      <w:r>
        <w:rPr>
          <w:noProof/>
        </w:rPr>
        <w:t xml:space="preserve">, 2, 6, 26, 57, 72, 128, 149, 156, 157, </w:t>
      </w:r>
      <w:r w:rsidRPr="00C94C92">
        <w:rPr>
          <w:i/>
          <w:noProof/>
        </w:rPr>
        <w:t>See</w:t>
      </w:r>
      <w:r>
        <w:rPr>
          <w:noProof/>
        </w:rPr>
        <w:t xml:space="preserve"> Federal Reserve</w:t>
      </w:r>
    </w:p>
    <w:p w14:paraId="051E8AC8" w14:textId="77777777" w:rsidR="007E3004" w:rsidRDefault="007E3004">
      <w:pPr>
        <w:pStyle w:val="Index1"/>
        <w:tabs>
          <w:tab w:val="right" w:leader="dot" w:pos="3014"/>
        </w:tabs>
        <w:rPr>
          <w:noProof/>
        </w:rPr>
      </w:pPr>
      <w:r>
        <w:rPr>
          <w:noProof/>
        </w:rPr>
        <w:t>Federal Deposit Insurance Corporation. See FDIC</w:t>
      </w:r>
    </w:p>
    <w:p w14:paraId="7FBEDFBD" w14:textId="77777777" w:rsidR="007E3004" w:rsidRDefault="007E3004">
      <w:pPr>
        <w:pStyle w:val="Index1"/>
        <w:tabs>
          <w:tab w:val="right" w:leader="dot" w:pos="3014"/>
        </w:tabs>
        <w:rPr>
          <w:noProof/>
        </w:rPr>
      </w:pPr>
      <w:r w:rsidRPr="00C94C92">
        <w:rPr>
          <w:rFonts w:cs="Times New Roman"/>
          <w:noProof/>
        </w:rPr>
        <w:t>Federal Funds Rate</w:t>
      </w:r>
      <w:r>
        <w:rPr>
          <w:noProof/>
        </w:rPr>
        <w:t>, 10</w:t>
      </w:r>
    </w:p>
    <w:p w14:paraId="589A41A1" w14:textId="77777777" w:rsidR="007E3004" w:rsidRDefault="007E3004">
      <w:pPr>
        <w:pStyle w:val="Index1"/>
        <w:tabs>
          <w:tab w:val="right" w:leader="dot" w:pos="3014"/>
        </w:tabs>
        <w:rPr>
          <w:noProof/>
        </w:rPr>
      </w:pPr>
      <w:r w:rsidRPr="00C94C92">
        <w:rPr>
          <w:rFonts w:cs="Times New Roman"/>
          <w:noProof/>
        </w:rPr>
        <w:t>Federal Government</w:t>
      </w:r>
      <w:r>
        <w:rPr>
          <w:noProof/>
        </w:rPr>
        <w:t>, 26, 57</w:t>
      </w:r>
    </w:p>
    <w:p w14:paraId="30D4B3F3" w14:textId="77777777" w:rsidR="007E3004" w:rsidRDefault="007E3004">
      <w:pPr>
        <w:pStyle w:val="Index1"/>
        <w:tabs>
          <w:tab w:val="right" w:leader="dot" w:pos="3014"/>
        </w:tabs>
        <w:rPr>
          <w:noProof/>
        </w:rPr>
      </w:pPr>
      <w:r w:rsidRPr="00C94C92">
        <w:rPr>
          <w:rFonts w:cs="Times New Roman"/>
          <w:noProof/>
        </w:rPr>
        <w:t>Federal Home Loan Mortgage Corporation</w:t>
      </w:r>
      <w:r>
        <w:rPr>
          <w:noProof/>
        </w:rPr>
        <w:t xml:space="preserve">. </w:t>
      </w:r>
      <w:r w:rsidRPr="00C94C92">
        <w:rPr>
          <w:i/>
          <w:noProof/>
        </w:rPr>
        <w:t>See</w:t>
      </w:r>
      <w:r>
        <w:rPr>
          <w:noProof/>
        </w:rPr>
        <w:t xml:space="preserve"> Freddie Mac</w:t>
      </w:r>
    </w:p>
    <w:p w14:paraId="6B0851C8" w14:textId="77777777" w:rsidR="007E3004" w:rsidRDefault="007E3004">
      <w:pPr>
        <w:pStyle w:val="Index1"/>
        <w:tabs>
          <w:tab w:val="right" w:leader="dot" w:pos="3014"/>
        </w:tabs>
        <w:rPr>
          <w:noProof/>
        </w:rPr>
      </w:pPr>
      <w:r w:rsidRPr="00C94C92">
        <w:rPr>
          <w:rFonts w:cs="Times New Roman"/>
          <w:noProof/>
        </w:rPr>
        <w:t>Federal Housing Authority</w:t>
      </w:r>
      <w:r>
        <w:rPr>
          <w:noProof/>
        </w:rPr>
        <w:t xml:space="preserve">. </w:t>
      </w:r>
      <w:r w:rsidRPr="00C94C92">
        <w:rPr>
          <w:i/>
          <w:noProof/>
        </w:rPr>
        <w:t>See</w:t>
      </w:r>
      <w:r>
        <w:rPr>
          <w:noProof/>
        </w:rPr>
        <w:t xml:space="preserve"> FHA</w:t>
      </w:r>
    </w:p>
    <w:p w14:paraId="39366410" w14:textId="77777777" w:rsidR="007E3004" w:rsidRDefault="007E3004">
      <w:pPr>
        <w:pStyle w:val="Index1"/>
        <w:tabs>
          <w:tab w:val="right" w:leader="dot" w:pos="3014"/>
        </w:tabs>
        <w:rPr>
          <w:noProof/>
        </w:rPr>
      </w:pPr>
      <w:r w:rsidRPr="00C94C92">
        <w:rPr>
          <w:rFonts w:cs="Times New Roman"/>
          <w:noProof/>
        </w:rPr>
        <w:t>Federal Housing Finance Regulatory Reform Act of 2008</w:t>
      </w:r>
      <w:r>
        <w:rPr>
          <w:noProof/>
        </w:rPr>
        <w:t>, 128, 129</w:t>
      </w:r>
    </w:p>
    <w:p w14:paraId="76A97DC5" w14:textId="77777777" w:rsidR="007E3004" w:rsidRDefault="007E3004">
      <w:pPr>
        <w:pStyle w:val="Index1"/>
        <w:tabs>
          <w:tab w:val="right" w:leader="dot" w:pos="3014"/>
        </w:tabs>
        <w:rPr>
          <w:noProof/>
        </w:rPr>
      </w:pPr>
      <w:r w:rsidRPr="00C94C92">
        <w:rPr>
          <w:rFonts w:cs="Times New Roman"/>
          <w:noProof/>
        </w:rPr>
        <w:t>Federal National Mortgage Corporation</w:t>
      </w:r>
      <w:r>
        <w:rPr>
          <w:noProof/>
        </w:rPr>
        <w:t xml:space="preserve">. </w:t>
      </w:r>
      <w:r w:rsidRPr="00C94C92">
        <w:rPr>
          <w:i/>
          <w:noProof/>
        </w:rPr>
        <w:t>See</w:t>
      </w:r>
      <w:r>
        <w:rPr>
          <w:noProof/>
        </w:rPr>
        <w:t xml:space="preserve"> Fannie Mae</w:t>
      </w:r>
    </w:p>
    <w:p w14:paraId="5F4AE51A" w14:textId="77777777" w:rsidR="007E3004" w:rsidRDefault="007E3004">
      <w:pPr>
        <w:pStyle w:val="Index1"/>
        <w:tabs>
          <w:tab w:val="right" w:leader="dot" w:pos="3014"/>
        </w:tabs>
        <w:rPr>
          <w:noProof/>
        </w:rPr>
      </w:pPr>
      <w:r w:rsidRPr="00C94C92">
        <w:rPr>
          <w:rFonts w:cs="Times New Roman"/>
          <w:noProof/>
        </w:rPr>
        <w:t>Federal Reserve</w:t>
      </w:r>
      <w:r>
        <w:rPr>
          <w:noProof/>
        </w:rPr>
        <w:t>, 10, 26, 59, 63, 70, 72, 73, 98, 148, 149, 150, 154, 167, 180, 183</w:t>
      </w:r>
    </w:p>
    <w:p w14:paraId="5743FDEC" w14:textId="77777777" w:rsidR="007E3004" w:rsidRDefault="007E3004">
      <w:pPr>
        <w:pStyle w:val="Index1"/>
        <w:tabs>
          <w:tab w:val="right" w:leader="dot" w:pos="3014"/>
        </w:tabs>
        <w:rPr>
          <w:noProof/>
        </w:rPr>
      </w:pPr>
      <w:r w:rsidRPr="00C94C92">
        <w:rPr>
          <w:rFonts w:cs="Times New Roman"/>
          <w:noProof/>
        </w:rPr>
        <w:t>FHA</w:t>
      </w:r>
      <w:r>
        <w:rPr>
          <w:noProof/>
        </w:rPr>
        <w:t>, 57, 129, 194</w:t>
      </w:r>
    </w:p>
    <w:p w14:paraId="66711AA7" w14:textId="77777777" w:rsidR="007E3004" w:rsidRDefault="007E3004">
      <w:pPr>
        <w:pStyle w:val="Index1"/>
        <w:tabs>
          <w:tab w:val="right" w:leader="dot" w:pos="3014"/>
        </w:tabs>
        <w:rPr>
          <w:noProof/>
        </w:rPr>
      </w:pPr>
      <w:r w:rsidRPr="00C94C92">
        <w:rPr>
          <w:rFonts w:cs="Times New Roman"/>
          <w:noProof/>
        </w:rPr>
        <w:t>FICO</w:t>
      </w:r>
      <w:r>
        <w:rPr>
          <w:noProof/>
        </w:rPr>
        <w:t>, 11, 59, 63, 66, 70, 172, 185, 186</w:t>
      </w:r>
    </w:p>
    <w:p w14:paraId="1C18634B" w14:textId="77777777" w:rsidR="007E3004" w:rsidRDefault="007E3004">
      <w:pPr>
        <w:pStyle w:val="Index1"/>
        <w:tabs>
          <w:tab w:val="right" w:leader="dot" w:pos="3014"/>
        </w:tabs>
        <w:rPr>
          <w:noProof/>
        </w:rPr>
      </w:pPr>
      <w:r w:rsidRPr="00C94C92">
        <w:rPr>
          <w:rFonts w:cs="Times New Roman"/>
          <w:noProof/>
        </w:rPr>
        <w:t>financial bubble</w:t>
      </w:r>
      <w:r>
        <w:rPr>
          <w:noProof/>
        </w:rPr>
        <w:t>, 1, 28, 73, 136, 161, 181</w:t>
      </w:r>
    </w:p>
    <w:p w14:paraId="6EA5F9ED" w14:textId="77777777" w:rsidR="007E3004" w:rsidRDefault="007E3004">
      <w:pPr>
        <w:pStyle w:val="Index1"/>
        <w:tabs>
          <w:tab w:val="right" w:leader="dot" w:pos="3014"/>
        </w:tabs>
        <w:rPr>
          <w:noProof/>
        </w:rPr>
      </w:pPr>
      <w:r w:rsidRPr="00C94C92">
        <w:rPr>
          <w:rFonts w:cs="Times New Roman"/>
          <w:noProof/>
        </w:rPr>
        <w:t>financial innovation</w:t>
      </w:r>
      <w:r>
        <w:rPr>
          <w:noProof/>
        </w:rPr>
        <w:t>, 6</w:t>
      </w:r>
    </w:p>
    <w:p w14:paraId="7071F673" w14:textId="77777777" w:rsidR="007E3004" w:rsidRDefault="007E3004">
      <w:pPr>
        <w:pStyle w:val="Index1"/>
        <w:tabs>
          <w:tab w:val="right" w:leader="dot" w:pos="3014"/>
        </w:tabs>
        <w:rPr>
          <w:noProof/>
        </w:rPr>
      </w:pPr>
      <w:r w:rsidRPr="00C94C92">
        <w:rPr>
          <w:rFonts w:cs="Times New Roman"/>
          <w:noProof/>
        </w:rPr>
        <w:t>Fitch Ratings</w:t>
      </w:r>
      <w:r>
        <w:rPr>
          <w:noProof/>
        </w:rPr>
        <w:t>, 63</w:t>
      </w:r>
    </w:p>
    <w:p w14:paraId="5F0895A2" w14:textId="77777777" w:rsidR="007E3004" w:rsidRDefault="007E3004">
      <w:pPr>
        <w:pStyle w:val="Index1"/>
        <w:tabs>
          <w:tab w:val="right" w:leader="dot" w:pos="3014"/>
        </w:tabs>
        <w:rPr>
          <w:noProof/>
        </w:rPr>
      </w:pPr>
      <w:r w:rsidRPr="00C94C92">
        <w:rPr>
          <w:rFonts w:cs="Times New Roman"/>
          <w:noProof/>
        </w:rPr>
        <w:t>fixed-rate conventionally-amortized mortgage</w:t>
      </w:r>
      <w:r>
        <w:rPr>
          <w:noProof/>
        </w:rPr>
        <w:t>, 13, 29</w:t>
      </w:r>
    </w:p>
    <w:p w14:paraId="67614B6E" w14:textId="77777777" w:rsidR="007E3004" w:rsidRDefault="007E3004">
      <w:pPr>
        <w:pStyle w:val="Index1"/>
        <w:tabs>
          <w:tab w:val="right" w:leader="dot" w:pos="3014"/>
        </w:tabs>
        <w:rPr>
          <w:noProof/>
        </w:rPr>
      </w:pPr>
      <w:r w:rsidRPr="00C94C92">
        <w:rPr>
          <w:rFonts w:cs="Times New Roman"/>
          <w:noProof/>
        </w:rPr>
        <w:t>floplords</w:t>
      </w:r>
      <w:r>
        <w:rPr>
          <w:noProof/>
        </w:rPr>
        <w:t>, 109, 110</w:t>
      </w:r>
    </w:p>
    <w:p w14:paraId="1A97A42A" w14:textId="77777777" w:rsidR="007E3004" w:rsidRDefault="007E3004">
      <w:pPr>
        <w:pStyle w:val="Index1"/>
        <w:tabs>
          <w:tab w:val="right" w:leader="dot" w:pos="3014"/>
        </w:tabs>
        <w:rPr>
          <w:noProof/>
        </w:rPr>
      </w:pPr>
      <w:r w:rsidRPr="00C94C92">
        <w:rPr>
          <w:rFonts w:cs="Times New Roman"/>
          <w:noProof/>
        </w:rPr>
        <w:t>foreclosure</w:t>
      </w:r>
      <w:r>
        <w:rPr>
          <w:noProof/>
        </w:rPr>
        <w:t>, 6, 14, 28, 34, 56, 60, 64, 65, 67, 68, 71, 92, 93, 95, 109, 110, 113, 119, 120, 121, 129, 131, 132, 137, 158, 160, 161, 162, 163, 165, 166, 171, 172, 173, 174, 178, 180, 181, 183, 192, 193, 194</w:t>
      </w:r>
    </w:p>
    <w:p w14:paraId="468193A2" w14:textId="77777777" w:rsidR="007E3004" w:rsidRDefault="007E3004">
      <w:pPr>
        <w:pStyle w:val="Index1"/>
        <w:tabs>
          <w:tab w:val="right" w:leader="dot" w:pos="3014"/>
        </w:tabs>
        <w:rPr>
          <w:noProof/>
        </w:rPr>
      </w:pPr>
      <w:r w:rsidRPr="00C94C92">
        <w:rPr>
          <w:rFonts w:cs="Times New Roman"/>
          <w:noProof/>
        </w:rPr>
        <w:t>Foreclosure Prevention Act of 2008</w:t>
      </w:r>
      <w:r>
        <w:rPr>
          <w:noProof/>
        </w:rPr>
        <w:t>, 128, 129</w:t>
      </w:r>
    </w:p>
    <w:p w14:paraId="7409866A" w14:textId="77777777" w:rsidR="007E3004" w:rsidRDefault="007E3004">
      <w:pPr>
        <w:pStyle w:val="Index1"/>
        <w:tabs>
          <w:tab w:val="right" w:leader="dot" w:pos="3014"/>
        </w:tabs>
        <w:rPr>
          <w:noProof/>
        </w:rPr>
      </w:pPr>
      <w:r w:rsidRPr="00C94C92">
        <w:rPr>
          <w:rFonts w:cs="Times New Roman"/>
          <w:noProof/>
        </w:rPr>
        <w:t>fractional reserve banking system</w:t>
      </w:r>
      <w:r>
        <w:rPr>
          <w:noProof/>
        </w:rPr>
        <w:t>, 62</w:t>
      </w:r>
    </w:p>
    <w:p w14:paraId="2C76852C" w14:textId="77777777" w:rsidR="007E3004" w:rsidRDefault="007E3004">
      <w:pPr>
        <w:pStyle w:val="Index1"/>
        <w:tabs>
          <w:tab w:val="right" w:leader="dot" w:pos="3014"/>
        </w:tabs>
        <w:rPr>
          <w:noProof/>
        </w:rPr>
      </w:pPr>
      <w:r w:rsidRPr="00C94C92">
        <w:rPr>
          <w:rFonts w:cs="Times New Roman"/>
          <w:noProof/>
        </w:rPr>
        <w:t>Freddie Mac</w:t>
      </w:r>
      <w:r>
        <w:rPr>
          <w:noProof/>
        </w:rPr>
        <w:t>, 57, 58, 128, 187</w:t>
      </w:r>
    </w:p>
    <w:p w14:paraId="59DFBBC7" w14:textId="77777777" w:rsidR="007E3004" w:rsidRDefault="007E3004">
      <w:pPr>
        <w:pStyle w:val="Index1"/>
        <w:tabs>
          <w:tab w:val="right" w:leader="dot" w:pos="3014"/>
        </w:tabs>
        <w:rPr>
          <w:noProof/>
        </w:rPr>
      </w:pPr>
      <w:r w:rsidRPr="00C94C92">
        <w:rPr>
          <w:rFonts w:cs="Times New Roman"/>
          <w:noProof/>
        </w:rPr>
        <w:t>fundamental value</w:t>
      </w:r>
      <w:r>
        <w:rPr>
          <w:noProof/>
        </w:rPr>
        <w:t>, 31, 38, 39, 42, 48, 49, 114, 120, 136, 138, 142, 155, 188, 189</w:t>
      </w:r>
    </w:p>
    <w:p w14:paraId="7733B67A" w14:textId="77777777" w:rsidR="007E3004" w:rsidRDefault="007E3004">
      <w:pPr>
        <w:pStyle w:val="IndexHeading"/>
        <w:keepNext/>
        <w:tabs>
          <w:tab w:val="right" w:leader="dot" w:pos="3014"/>
        </w:tabs>
        <w:rPr>
          <w:b w:val="0"/>
          <w:bCs w:val="0"/>
          <w:noProof/>
        </w:rPr>
      </w:pPr>
      <w:r>
        <w:rPr>
          <w:noProof/>
        </w:rPr>
        <w:t>G</w:t>
      </w:r>
    </w:p>
    <w:p w14:paraId="15EC69D3" w14:textId="77777777" w:rsidR="007E3004" w:rsidRDefault="007E3004">
      <w:pPr>
        <w:pStyle w:val="Index1"/>
        <w:tabs>
          <w:tab w:val="right" w:leader="dot" w:pos="3014"/>
        </w:tabs>
        <w:rPr>
          <w:noProof/>
        </w:rPr>
      </w:pPr>
      <w:r w:rsidRPr="00C94C92">
        <w:rPr>
          <w:rFonts w:cs="Times New Roman"/>
          <w:noProof/>
        </w:rPr>
        <w:t>Generally Accepted Accounting Principles</w:t>
      </w:r>
      <w:r>
        <w:rPr>
          <w:noProof/>
        </w:rPr>
        <w:t>, 16</w:t>
      </w:r>
    </w:p>
    <w:p w14:paraId="29A46EBD" w14:textId="77777777" w:rsidR="007E3004" w:rsidRDefault="007E3004">
      <w:pPr>
        <w:pStyle w:val="Index1"/>
        <w:tabs>
          <w:tab w:val="right" w:leader="dot" w:pos="3014"/>
        </w:tabs>
        <w:rPr>
          <w:noProof/>
        </w:rPr>
      </w:pPr>
      <w:r w:rsidRPr="00C94C92">
        <w:rPr>
          <w:rFonts w:cs="Times New Roman"/>
          <w:noProof/>
        </w:rPr>
        <w:t>George Orwell</w:t>
      </w:r>
      <w:r>
        <w:rPr>
          <w:noProof/>
        </w:rPr>
        <w:t>, 121</w:t>
      </w:r>
    </w:p>
    <w:p w14:paraId="24390D26" w14:textId="77777777" w:rsidR="007E3004" w:rsidRDefault="007E3004">
      <w:pPr>
        <w:pStyle w:val="Index1"/>
        <w:tabs>
          <w:tab w:val="right" w:leader="dot" w:pos="3014"/>
        </w:tabs>
        <w:rPr>
          <w:noProof/>
        </w:rPr>
      </w:pPr>
      <w:r w:rsidRPr="00C94C92">
        <w:rPr>
          <w:rFonts w:cs="Times New Roman"/>
          <w:noProof/>
        </w:rPr>
        <w:t>George Soros</w:t>
      </w:r>
      <w:r>
        <w:rPr>
          <w:noProof/>
        </w:rPr>
        <w:t>, 61</w:t>
      </w:r>
    </w:p>
    <w:p w14:paraId="3BBA1F08" w14:textId="77777777" w:rsidR="007E3004" w:rsidRDefault="007E3004">
      <w:pPr>
        <w:pStyle w:val="Index1"/>
        <w:tabs>
          <w:tab w:val="right" w:leader="dot" w:pos="3014"/>
        </w:tabs>
        <w:rPr>
          <w:noProof/>
        </w:rPr>
      </w:pPr>
      <w:r w:rsidRPr="00C94C92">
        <w:rPr>
          <w:rFonts w:cs="Times New Roman"/>
          <w:noProof/>
        </w:rPr>
        <w:t>Ginnie Mae</w:t>
      </w:r>
      <w:r>
        <w:rPr>
          <w:noProof/>
        </w:rPr>
        <w:t>, 57, 187</w:t>
      </w:r>
    </w:p>
    <w:p w14:paraId="6E454088" w14:textId="77777777" w:rsidR="007E3004" w:rsidRDefault="007E3004">
      <w:pPr>
        <w:pStyle w:val="Index1"/>
        <w:tabs>
          <w:tab w:val="right" w:leader="dot" w:pos="3014"/>
        </w:tabs>
        <w:rPr>
          <w:noProof/>
        </w:rPr>
      </w:pPr>
      <w:r w:rsidRPr="00C94C92">
        <w:rPr>
          <w:rFonts w:cs="Times New Roman"/>
          <w:noProof/>
        </w:rPr>
        <w:t>Government National Mortgage Association</w:t>
      </w:r>
      <w:r>
        <w:rPr>
          <w:noProof/>
        </w:rPr>
        <w:t xml:space="preserve">. </w:t>
      </w:r>
      <w:r w:rsidRPr="00C94C92">
        <w:rPr>
          <w:i/>
          <w:noProof/>
        </w:rPr>
        <w:t>See</w:t>
      </w:r>
      <w:r>
        <w:rPr>
          <w:noProof/>
        </w:rPr>
        <w:t xml:space="preserve"> Ginnie Mae</w:t>
      </w:r>
    </w:p>
    <w:p w14:paraId="71C99E4F" w14:textId="77777777" w:rsidR="007E3004" w:rsidRDefault="007E3004">
      <w:pPr>
        <w:pStyle w:val="Index1"/>
        <w:tabs>
          <w:tab w:val="right" w:leader="dot" w:pos="3014"/>
        </w:tabs>
        <w:rPr>
          <w:noProof/>
        </w:rPr>
      </w:pPr>
      <w:r w:rsidRPr="00C94C92">
        <w:rPr>
          <w:rFonts w:cs="Times New Roman"/>
          <w:noProof/>
        </w:rPr>
        <w:t>Government Sponsored Entities</w:t>
      </w:r>
      <w:r>
        <w:rPr>
          <w:noProof/>
        </w:rPr>
        <w:t xml:space="preserve">. </w:t>
      </w:r>
      <w:r w:rsidRPr="00C94C92">
        <w:rPr>
          <w:i/>
          <w:noProof/>
        </w:rPr>
        <w:t>See</w:t>
      </w:r>
      <w:r>
        <w:rPr>
          <w:noProof/>
        </w:rPr>
        <w:t xml:space="preserve"> GSEs</w:t>
      </w:r>
    </w:p>
    <w:p w14:paraId="5ECB351C" w14:textId="77777777" w:rsidR="007E3004" w:rsidRDefault="007E3004">
      <w:pPr>
        <w:pStyle w:val="Index1"/>
        <w:tabs>
          <w:tab w:val="right" w:leader="dot" w:pos="3014"/>
        </w:tabs>
        <w:rPr>
          <w:noProof/>
        </w:rPr>
      </w:pPr>
      <w:r w:rsidRPr="00C94C92">
        <w:rPr>
          <w:rFonts w:cs="Times New Roman"/>
          <w:noProof/>
        </w:rPr>
        <w:t>Great American Dream</w:t>
      </w:r>
      <w:r>
        <w:rPr>
          <w:noProof/>
        </w:rPr>
        <w:t>, 68</w:t>
      </w:r>
    </w:p>
    <w:p w14:paraId="34C1491E" w14:textId="77777777" w:rsidR="007E3004" w:rsidRDefault="007E3004">
      <w:pPr>
        <w:pStyle w:val="Index1"/>
        <w:tabs>
          <w:tab w:val="right" w:leader="dot" w:pos="3014"/>
        </w:tabs>
        <w:rPr>
          <w:noProof/>
        </w:rPr>
      </w:pPr>
      <w:r w:rsidRPr="00C94C92">
        <w:rPr>
          <w:rFonts w:cs="Times New Roman"/>
          <w:noProof/>
        </w:rPr>
        <w:t>Great Depression</w:t>
      </w:r>
      <w:r>
        <w:rPr>
          <w:noProof/>
        </w:rPr>
        <w:t>, xvii, 2, 27, 148, 179, 193, 194</w:t>
      </w:r>
    </w:p>
    <w:p w14:paraId="761EC47C" w14:textId="77777777" w:rsidR="007E3004" w:rsidRDefault="007E3004">
      <w:pPr>
        <w:pStyle w:val="Index1"/>
        <w:tabs>
          <w:tab w:val="right" w:leader="dot" w:pos="3014"/>
        </w:tabs>
        <w:rPr>
          <w:noProof/>
        </w:rPr>
      </w:pPr>
      <w:r w:rsidRPr="00C94C92">
        <w:rPr>
          <w:rFonts w:cs="Times New Roman"/>
          <w:noProof/>
        </w:rPr>
        <w:t>greed stage</w:t>
      </w:r>
      <w:r>
        <w:rPr>
          <w:noProof/>
        </w:rPr>
        <w:t>, 117, 119, 120</w:t>
      </w:r>
    </w:p>
    <w:p w14:paraId="1564B8EB" w14:textId="77777777" w:rsidR="007E3004" w:rsidRDefault="007E3004">
      <w:pPr>
        <w:pStyle w:val="Index1"/>
        <w:tabs>
          <w:tab w:val="right" w:leader="dot" w:pos="3014"/>
        </w:tabs>
        <w:rPr>
          <w:noProof/>
        </w:rPr>
      </w:pPr>
      <w:r w:rsidRPr="00C94C92">
        <w:rPr>
          <w:rFonts w:cs="Times New Roman"/>
          <w:noProof/>
        </w:rPr>
        <w:t>grieving process</w:t>
      </w:r>
      <w:r>
        <w:rPr>
          <w:noProof/>
        </w:rPr>
        <w:t>, 103, 112, 118</w:t>
      </w:r>
    </w:p>
    <w:p w14:paraId="5416CA30" w14:textId="77777777" w:rsidR="007E3004" w:rsidRDefault="007E3004">
      <w:pPr>
        <w:pStyle w:val="Index1"/>
        <w:tabs>
          <w:tab w:val="right" w:leader="dot" w:pos="3014"/>
        </w:tabs>
        <w:rPr>
          <w:noProof/>
        </w:rPr>
      </w:pPr>
      <w:r w:rsidRPr="00C94C92">
        <w:rPr>
          <w:rFonts w:cs="Times New Roman"/>
          <w:noProof/>
        </w:rPr>
        <w:t>GRM</w:t>
      </w:r>
      <w:r>
        <w:rPr>
          <w:noProof/>
        </w:rPr>
        <w:t>, 38</w:t>
      </w:r>
    </w:p>
    <w:p w14:paraId="095783D5" w14:textId="77777777" w:rsidR="007E3004" w:rsidRDefault="007E3004">
      <w:pPr>
        <w:pStyle w:val="Index1"/>
        <w:tabs>
          <w:tab w:val="right" w:leader="dot" w:pos="3014"/>
        </w:tabs>
        <w:rPr>
          <w:noProof/>
        </w:rPr>
      </w:pPr>
      <w:r w:rsidRPr="00C94C92">
        <w:rPr>
          <w:rFonts w:cs="Times New Roman"/>
          <w:noProof/>
        </w:rPr>
        <w:t>Gross Rent Multiplier</w:t>
      </w:r>
      <w:r>
        <w:rPr>
          <w:noProof/>
        </w:rPr>
        <w:t xml:space="preserve">. </w:t>
      </w:r>
      <w:r w:rsidRPr="00C94C92">
        <w:rPr>
          <w:i/>
          <w:noProof/>
        </w:rPr>
        <w:t>See</w:t>
      </w:r>
      <w:r>
        <w:rPr>
          <w:noProof/>
        </w:rPr>
        <w:t xml:space="preserve"> GRM</w:t>
      </w:r>
    </w:p>
    <w:p w14:paraId="7D694789" w14:textId="77777777" w:rsidR="007E3004" w:rsidRDefault="007E3004">
      <w:pPr>
        <w:pStyle w:val="Index1"/>
        <w:tabs>
          <w:tab w:val="right" w:leader="dot" w:pos="3014"/>
        </w:tabs>
        <w:rPr>
          <w:noProof/>
        </w:rPr>
      </w:pPr>
      <w:r w:rsidRPr="00C94C92">
        <w:rPr>
          <w:rFonts w:cs="Times New Roman"/>
          <w:noProof/>
        </w:rPr>
        <w:t>GSEs</w:t>
      </w:r>
      <w:r>
        <w:rPr>
          <w:noProof/>
        </w:rPr>
        <w:t>, 58, 70, 128, 129</w:t>
      </w:r>
    </w:p>
    <w:p w14:paraId="4AEA45B6" w14:textId="77777777" w:rsidR="007E3004" w:rsidRDefault="007E3004">
      <w:pPr>
        <w:pStyle w:val="Index1"/>
        <w:tabs>
          <w:tab w:val="right" w:leader="dot" w:pos="3014"/>
        </w:tabs>
        <w:rPr>
          <w:noProof/>
        </w:rPr>
      </w:pPr>
      <w:r w:rsidRPr="00C94C92">
        <w:rPr>
          <w:rFonts w:cs="Times New Roman"/>
          <w:noProof/>
        </w:rPr>
        <w:t>guarantee fee</w:t>
      </w:r>
      <w:r>
        <w:rPr>
          <w:noProof/>
        </w:rPr>
        <w:t>, 58</w:t>
      </w:r>
    </w:p>
    <w:p w14:paraId="18812306" w14:textId="77777777" w:rsidR="007E3004" w:rsidRDefault="007E3004">
      <w:pPr>
        <w:pStyle w:val="IndexHeading"/>
        <w:keepNext/>
        <w:tabs>
          <w:tab w:val="right" w:leader="dot" w:pos="3014"/>
        </w:tabs>
        <w:rPr>
          <w:b w:val="0"/>
          <w:bCs w:val="0"/>
          <w:noProof/>
        </w:rPr>
      </w:pPr>
      <w:r>
        <w:rPr>
          <w:noProof/>
        </w:rPr>
        <w:t>H</w:t>
      </w:r>
    </w:p>
    <w:p w14:paraId="2D2950BB" w14:textId="77777777" w:rsidR="007E3004" w:rsidRDefault="007E3004">
      <w:pPr>
        <w:pStyle w:val="Index1"/>
        <w:tabs>
          <w:tab w:val="right" w:leader="dot" w:pos="3014"/>
        </w:tabs>
        <w:rPr>
          <w:noProof/>
        </w:rPr>
      </w:pPr>
      <w:r w:rsidRPr="00C94C92">
        <w:rPr>
          <w:rFonts w:cs="Times New Roman"/>
          <w:noProof/>
        </w:rPr>
        <w:t>HELOC</w:t>
      </w:r>
      <w:r>
        <w:rPr>
          <w:noProof/>
        </w:rPr>
        <w:t>, 35, 185</w:t>
      </w:r>
    </w:p>
    <w:p w14:paraId="250AEE93" w14:textId="77777777" w:rsidR="007E3004" w:rsidRDefault="007E3004">
      <w:pPr>
        <w:pStyle w:val="Index1"/>
        <w:tabs>
          <w:tab w:val="right" w:leader="dot" w:pos="3014"/>
        </w:tabs>
        <w:rPr>
          <w:noProof/>
        </w:rPr>
      </w:pPr>
      <w:r w:rsidRPr="00C94C92">
        <w:rPr>
          <w:rFonts w:cs="Times New Roman"/>
          <w:noProof/>
        </w:rPr>
        <w:t>herd mentality</w:t>
      </w:r>
      <w:r>
        <w:rPr>
          <w:noProof/>
        </w:rPr>
        <w:t>, 115</w:t>
      </w:r>
    </w:p>
    <w:p w14:paraId="2F6F52AC" w14:textId="77777777" w:rsidR="007E3004" w:rsidRDefault="007E3004">
      <w:pPr>
        <w:pStyle w:val="Index1"/>
        <w:tabs>
          <w:tab w:val="right" w:leader="dot" w:pos="3014"/>
        </w:tabs>
        <w:rPr>
          <w:noProof/>
        </w:rPr>
      </w:pPr>
      <w:r w:rsidRPr="00C94C92">
        <w:rPr>
          <w:rFonts w:cs="Times New Roman"/>
          <w:noProof/>
        </w:rPr>
        <w:t>HMID</w:t>
      </w:r>
      <w:r>
        <w:rPr>
          <w:noProof/>
        </w:rPr>
        <w:t>, 35</w:t>
      </w:r>
    </w:p>
    <w:p w14:paraId="5CC35F15" w14:textId="77777777" w:rsidR="007E3004" w:rsidRDefault="007E3004">
      <w:pPr>
        <w:pStyle w:val="Index1"/>
        <w:tabs>
          <w:tab w:val="right" w:leader="dot" w:pos="3014"/>
        </w:tabs>
        <w:rPr>
          <w:noProof/>
        </w:rPr>
      </w:pPr>
      <w:r w:rsidRPr="00C94C92">
        <w:rPr>
          <w:rFonts w:cs="Times New Roman"/>
          <w:noProof/>
        </w:rPr>
        <w:t>HOA</w:t>
      </w:r>
      <w:r>
        <w:rPr>
          <w:noProof/>
        </w:rPr>
        <w:t>, 37</w:t>
      </w:r>
    </w:p>
    <w:p w14:paraId="4E239739" w14:textId="77777777" w:rsidR="007E3004" w:rsidRDefault="007E3004">
      <w:pPr>
        <w:pStyle w:val="Index1"/>
        <w:tabs>
          <w:tab w:val="right" w:leader="dot" w:pos="3014"/>
        </w:tabs>
        <w:rPr>
          <w:noProof/>
        </w:rPr>
      </w:pPr>
      <w:r w:rsidRPr="00C94C92">
        <w:rPr>
          <w:rFonts w:cs="Times New Roman"/>
          <w:noProof/>
        </w:rPr>
        <w:t>home equity lines of credit</w:t>
      </w:r>
      <w:r>
        <w:rPr>
          <w:noProof/>
        </w:rPr>
        <w:t>, 24, 25, 67, 72, 91, 125, 173</w:t>
      </w:r>
    </w:p>
    <w:p w14:paraId="466D4371" w14:textId="77777777" w:rsidR="007E3004" w:rsidRDefault="007E3004">
      <w:pPr>
        <w:pStyle w:val="Index1"/>
        <w:tabs>
          <w:tab w:val="right" w:leader="dot" w:pos="3014"/>
        </w:tabs>
        <w:rPr>
          <w:noProof/>
        </w:rPr>
      </w:pPr>
      <w:r w:rsidRPr="00C94C92">
        <w:rPr>
          <w:rFonts w:cs="Times New Roman"/>
          <w:noProof/>
        </w:rPr>
        <w:t>Home Mortgage Interest Deduction</w:t>
      </w:r>
      <w:r>
        <w:rPr>
          <w:noProof/>
        </w:rPr>
        <w:t xml:space="preserve">. </w:t>
      </w:r>
      <w:r w:rsidRPr="00C94C92">
        <w:rPr>
          <w:i/>
          <w:noProof/>
        </w:rPr>
        <w:t>See</w:t>
      </w:r>
      <w:r>
        <w:rPr>
          <w:noProof/>
        </w:rPr>
        <w:t xml:space="preserve"> HMID</w:t>
      </w:r>
    </w:p>
    <w:p w14:paraId="68C128CE" w14:textId="77777777" w:rsidR="007E3004" w:rsidRDefault="007E3004">
      <w:pPr>
        <w:pStyle w:val="Index1"/>
        <w:tabs>
          <w:tab w:val="right" w:leader="dot" w:pos="3014"/>
        </w:tabs>
        <w:rPr>
          <w:noProof/>
        </w:rPr>
      </w:pPr>
      <w:r w:rsidRPr="00C94C92">
        <w:rPr>
          <w:rFonts w:cs="Times New Roman"/>
          <w:noProof/>
        </w:rPr>
        <w:t>home ownership rates</w:t>
      </w:r>
      <w:r>
        <w:rPr>
          <w:noProof/>
        </w:rPr>
        <w:t>, 64, 137, 163, 183</w:t>
      </w:r>
    </w:p>
    <w:p w14:paraId="5547501C" w14:textId="77777777" w:rsidR="007E3004" w:rsidRDefault="007E3004">
      <w:pPr>
        <w:pStyle w:val="Index1"/>
        <w:tabs>
          <w:tab w:val="right" w:leader="dot" w:pos="3014"/>
        </w:tabs>
        <w:rPr>
          <w:noProof/>
        </w:rPr>
      </w:pPr>
      <w:r w:rsidRPr="00C94C92">
        <w:rPr>
          <w:rFonts w:cs="Times New Roman"/>
          <w:noProof/>
        </w:rPr>
        <w:t>homeowners associations</w:t>
      </w:r>
      <w:r>
        <w:rPr>
          <w:noProof/>
        </w:rPr>
        <w:t xml:space="preserve">. </w:t>
      </w:r>
      <w:r w:rsidRPr="00C94C92">
        <w:rPr>
          <w:i/>
          <w:noProof/>
        </w:rPr>
        <w:t>See</w:t>
      </w:r>
      <w:r>
        <w:rPr>
          <w:noProof/>
        </w:rPr>
        <w:t xml:space="preserve"> HOA</w:t>
      </w:r>
    </w:p>
    <w:p w14:paraId="2BD923E1" w14:textId="77777777" w:rsidR="007E3004" w:rsidRDefault="007E3004">
      <w:pPr>
        <w:pStyle w:val="Index1"/>
        <w:tabs>
          <w:tab w:val="right" w:leader="dot" w:pos="3014"/>
        </w:tabs>
        <w:rPr>
          <w:noProof/>
        </w:rPr>
      </w:pPr>
      <w:r w:rsidRPr="00C94C92">
        <w:rPr>
          <w:rFonts w:cs="Times New Roman"/>
          <w:noProof/>
        </w:rPr>
        <w:t>Homeowners insurance</w:t>
      </w:r>
      <w:r>
        <w:rPr>
          <w:noProof/>
        </w:rPr>
        <w:t>, 33</w:t>
      </w:r>
    </w:p>
    <w:p w14:paraId="4442432F" w14:textId="77777777" w:rsidR="007E3004" w:rsidRDefault="007E3004">
      <w:pPr>
        <w:pStyle w:val="Index1"/>
        <w:tabs>
          <w:tab w:val="right" w:leader="dot" w:pos="3014"/>
        </w:tabs>
        <w:rPr>
          <w:noProof/>
        </w:rPr>
      </w:pPr>
      <w:r w:rsidRPr="00C94C92">
        <w:rPr>
          <w:rFonts w:cs="Times New Roman"/>
          <w:noProof/>
        </w:rPr>
        <w:t>HOPE for Homeowners Act of 2008</w:t>
      </w:r>
      <w:r>
        <w:rPr>
          <w:noProof/>
        </w:rPr>
        <w:t>, 128, 129</w:t>
      </w:r>
    </w:p>
    <w:p w14:paraId="3D1830C0" w14:textId="77777777" w:rsidR="007E3004" w:rsidRDefault="007E3004">
      <w:pPr>
        <w:pStyle w:val="Index1"/>
        <w:tabs>
          <w:tab w:val="right" w:leader="dot" w:pos="3014"/>
        </w:tabs>
        <w:rPr>
          <w:noProof/>
        </w:rPr>
      </w:pPr>
      <w:r w:rsidRPr="00C94C92">
        <w:rPr>
          <w:rFonts w:cs="Times New Roman"/>
          <w:noProof/>
        </w:rPr>
        <w:t>Hope Now</w:t>
      </w:r>
      <w:r>
        <w:rPr>
          <w:noProof/>
        </w:rPr>
        <w:t>, 127, 128</w:t>
      </w:r>
    </w:p>
    <w:p w14:paraId="641304F3" w14:textId="77777777" w:rsidR="007E3004" w:rsidRDefault="007E3004">
      <w:pPr>
        <w:pStyle w:val="Index1"/>
        <w:tabs>
          <w:tab w:val="right" w:leader="dot" w:pos="3014"/>
        </w:tabs>
        <w:rPr>
          <w:noProof/>
        </w:rPr>
      </w:pPr>
      <w:r w:rsidRPr="00C94C92">
        <w:rPr>
          <w:rFonts w:cs="Times New Roman"/>
          <w:noProof/>
        </w:rPr>
        <w:t>Housing and Economic Recovery Act of 2008</w:t>
      </w:r>
      <w:r>
        <w:rPr>
          <w:noProof/>
        </w:rPr>
        <w:t>, 128</w:t>
      </w:r>
    </w:p>
    <w:p w14:paraId="48B1B7E4" w14:textId="77777777" w:rsidR="007E3004" w:rsidRDefault="007E3004">
      <w:pPr>
        <w:pStyle w:val="Index1"/>
        <w:tabs>
          <w:tab w:val="right" w:leader="dot" w:pos="3014"/>
        </w:tabs>
        <w:rPr>
          <w:noProof/>
        </w:rPr>
      </w:pPr>
      <w:r w:rsidRPr="00C94C92">
        <w:rPr>
          <w:rFonts w:cs="Times New Roman"/>
          <w:noProof/>
        </w:rPr>
        <w:t>Hyman Minsky</w:t>
      </w:r>
      <w:r>
        <w:rPr>
          <w:noProof/>
        </w:rPr>
        <w:t>, 124</w:t>
      </w:r>
    </w:p>
    <w:p w14:paraId="64E888F5" w14:textId="77777777" w:rsidR="007E3004" w:rsidRDefault="007E3004">
      <w:pPr>
        <w:pStyle w:val="IndexHeading"/>
        <w:keepNext/>
        <w:tabs>
          <w:tab w:val="right" w:leader="dot" w:pos="3014"/>
        </w:tabs>
        <w:rPr>
          <w:b w:val="0"/>
          <w:bCs w:val="0"/>
          <w:noProof/>
        </w:rPr>
      </w:pPr>
      <w:r>
        <w:rPr>
          <w:noProof/>
        </w:rPr>
        <w:t>I</w:t>
      </w:r>
    </w:p>
    <w:p w14:paraId="47DB04C2" w14:textId="77777777" w:rsidR="007E3004" w:rsidRDefault="007E3004">
      <w:pPr>
        <w:pStyle w:val="Index1"/>
        <w:tabs>
          <w:tab w:val="right" w:leader="dot" w:pos="3014"/>
        </w:tabs>
        <w:rPr>
          <w:noProof/>
        </w:rPr>
      </w:pPr>
      <w:r w:rsidRPr="00C94C92">
        <w:rPr>
          <w:rFonts w:cs="Times New Roman"/>
          <w:noProof/>
        </w:rPr>
        <w:t>income approach</w:t>
      </w:r>
      <w:r>
        <w:rPr>
          <w:noProof/>
        </w:rPr>
        <w:t>, 68, 69, 70, 187, 188, 189, 194</w:t>
      </w:r>
    </w:p>
    <w:p w14:paraId="38525394" w14:textId="77777777" w:rsidR="007E3004" w:rsidRDefault="007E3004">
      <w:pPr>
        <w:pStyle w:val="Index1"/>
        <w:tabs>
          <w:tab w:val="right" w:leader="dot" w:pos="3014"/>
        </w:tabs>
        <w:rPr>
          <w:noProof/>
        </w:rPr>
      </w:pPr>
      <w:r w:rsidRPr="00C94C92">
        <w:rPr>
          <w:rFonts w:cs="Times New Roman"/>
          <w:noProof/>
        </w:rPr>
        <w:t>Inflation</w:t>
      </w:r>
      <w:r>
        <w:rPr>
          <w:noProof/>
        </w:rPr>
        <w:t>, 11, 20, 22, 23, 40, 46, 47, 104, 149, 150, 151, 152</w:t>
      </w:r>
    </w:p>
    <w:p w14:paraId="495D2B15" w14:textId="77777777" w:rsidR="007E3004" w:rsidRDefault="007E3004">
      <w:pPr>
        <w:pStyle w:val="Index1"/>
        <w:tabs>
          <w:tab w:val="right" w:leader="dot" w:pos="3014"/>
        </w:tabs>
        <w:rPr>
          <w:noProof/>
        </w:rPr>
      </w:pPr>
      <w:r w:rsidRPr="00C94C92">
        <w:rPr>
          <w:rFonts w:cs="Times New Roman"/>
          <w:noProof/>
        </w:rPr>
        <w:t>inflation hedge</w:t>
      </w:r>
      <w:r>
        <w:rPr>
          <w:noProof/>
        </w:rPr>
        <w:t>, 21</w:t>
      </w:r>
    </w:p>
    <w:p w14:paraId="164AA810" w14:textId="77777777" w:rsidR="007E3004" w:rsidRDefault="007E3004">
      <w:pPr>
        <w:pStyle w:val="Index1"/>
        <w:tabs>
          <w:tab w:val="right" w:leader="dot" w:pos="3014"/>
        </w:tabs>
        <w:rPr>
          <w:noProof/>
        </w:rPr>
      </w:pPr>
      <w:r w:rsidRPr="00C94C92">
        <w:rPr>
          <w:rFonts w:cs="Times New Roman"/>
          <w:noProof/>
        </w:rPr>
        <w:t>inflation premium</w:t>
      </w:r>
      <w:r>
        <w:rPr>
          <w:noProof/>
        </w:rPr>
        <w:t>, 10, 11, 47</w:t>
      </w:r>
    </w:p>
    <w:p w14:paraId="491E22B6" w14:textId="77777777" w:rsidR="007E3004" w:rsidRDefault="007E3004">
      <w:pPr>
        <w:pStyle w:val="Index1"/>
        <w:tabs>
          <w:tab w:val="right" w:leader="dot" w:pos="3014"/>
        </w:tabs>
        <w:rPr>
          <w:noProof/>
        </w:rPr>
      </w:pPr>
      <w:r w:rsidRPr="00C94C92">
        <w:rPr>
          <w:rFonts w:cs="Times New Roman"/>
          <w:noProof/>
        </w:rPr>
        <w:t>Initial Equity</w:t>
      </w:r>
      <w:r>
        <w:rPr>
          <w:noProof/>
        </w:rPr>
        <w:t>, 20, 21, 23</w:t>
      </w:r>
    </w:p>
    <w:p w14:paraId="24268319" w14:textId="77777777" w:rsidR="007E3004" w:rsidRDefault="007E3004">
      <w:pPr>
        <w:pStyle w:val="Index1"/>
        <w:tabs>
          <w:tab w:val="right" w:leader="dot" w:pos="3014"/>
        </w:tabs>
        <w:rPr>
          <w:noProof/>
        </w:rPr>
      </w:pPr>
      <w:r w:rsidRPr="00C94C92">
        <w:rPr>
          <w:rFonts w:cs="Times New Roman"/>
          <w:noProof/>
        </w:rPr>
        <w:t>inspection fees</w:t>
      </w:r>
      <w:r>
        <w:rPr>
          <w:noProof/>
        </w:rPr>
        <w:t>, 42</w:t>
      </w:r>
    </w:p>
    <w:p w14:paraId="74802DE5" w14:textId="77777777" w:rsidR="007E3004" w:rsidRDefault="007E3004">
      <w:pPr>
        <w:pStyle w:val="Index1"/>
        <w:tabs>
          <w:tab w:val="right" w:leader="dot" w:pos="3014"/>
        </w:tabs>
        <w:rPr>
          <w:noProof/>
        </w:rPr>
      </w:pPr>
      <w:r w:rsidRPr="00C94C92">
        <w:rPr>
          <w:rFonts w:cs="Times New Roman"/>
          <w:noProof/>
        </w:rPr>
        <w:t>interest rate reset</w:t>
      </w:r>
      <w:r>
        <w:rPr>
          <w:noProof/>
        </w:rPr>
        <w:t>, 12</w:t>
      </w:r>
    </w:p>
    <w:p w14:paraId="746DA5E5" w14:textId="77777777" w:rsidR="007E3004" w:rsidRDefault="007E3004">
      <w:pPr>
        <w:pStyle w:val="Index1"/>
        <w:tabs>
          <w:tab w:val="right" w:leader="dot" w:pos="3014"/>
        </w:tabs>
        <w:rPr>
          <w:noProof/>
        </w:rPr>
      </w:pPr>
      <w:r w:rsidRPr="00C94C92">
        <w:rPr>
          <w:rFonts w:cs="Times New Roman"/>
          <w:noProof/>
        </w:rPr>
        <w:t>Interest-Only loan</w:t>
      </w:r>
      <w:r>
        <w:rPr>
          <w:noProof/>
        </w:rPr>
        <w:t>, 12</w:t>
      </w:r>
    </w:p>
    <w:p w14:paraId="2D823E33" w14:textId="77777777" w:rsidR="007E3004" w:rsidRDefault="007E3004">
      <w:pPr>
        <w:pStyle w:val="Index1"/>
        <w:tabs>
          <w:tab w:val="right" w:leader="dot" w:pos="3014"/>
        </w:tabs>
        <w:rPr>
          <w:noProof/>
        </w:rPr>
      </w:pPr>
      <w:r w:rsidRPr="00C94C92">
        <w:rPr>
          <w:rFonts w:cs="Times New Roman"/>
          <w:noProof/>
        </w:rPr>
        <w:lastRenderedPageBreak/>
        <w:t>interest-only, adjustable-rate mortgage</w:t>
      </w:r>
      <w:r>
        <w:rPr>
          <w:noProof/>
        </w:rPr>
        <w:t xml:space="preserve">. </w:t>
      </w:r>
      <w:r w:rsidRPr="00C94C92">
        <w:rPr>
          <w:i/>
          <w:noProof/>
        </w:rPr>
        <w:t>See</w:t>
      </w:r>
      <w:r>
        <w:rPr>
          <w:noProof/>
        </w:rPr>
        <w:t xml:space="preserve"> IO ARM</w:t>
      </w:r>
    </w:p>
    <w:p w14:paraId="7898F5AD" w14:textId="77777777" w:rsidR="007E3004" w:rsidRDefault="007E3004">
      <w:pPr>
        <w:pStyle w:val="Index1"/>
        <w:tabs>
          <w:tab w:val="right" w:leader="dot" w:pos="3014"/>
        </w:tabs>
        <w:rPr>
          <w:noProof/>
        </w:rPr>
      </w:pPr>
      <w:r w:rsidRPr="00C94C92">
        <w:rPr>
          <w:rFonts w:cs="Times New Roman"/>
          <w:noProof/>
        </w:rPr>
        <w:t>investment premium</w:t>
      </w:r>
      <w:r>
        <w:rPr>
          <w:noProof/>
        </w:rPr>
        <w:t>, 39, 40, 41, 42, 43</w:t>
      </w:r>
    </w:p>
    <w:p w14:paraId="1F15F52C" w14:textId="77777777" w:rsidR="007E3004" w:rsidRDefault="007E3004">
      <w:pPr>
        <w:pStyle w:val="Index1"/>
        <w:tabs>
          <w:tab w:val="right" w:leader="dot" w:pos="3014"/>
        </w:tabs>
        <w:rPr>
          <w:noProof/>
        </w:rPr>
      </w:pPr>
      <w:r w:rsidRPr="00C94C92">
        <w:rPr>
          <w:rFonts w:cs="Times New Roman"/>
          <w:noProof/>
        </w:rPr>
        <w:t>investment value</w:t>
      </w:r>
      <w:r>
        <w:rPr>
          <w:noProof/>
        </w:rPr>
        <w:t>, 39, 40, 42, 43, 45, 48, 91, 108, 132</w:t>
      </w:r>
    </w:p>
    <w:p w14:paraId="286B4E1C" w14:textId="77777777" w:rsidR="007E3004" w:rsidRDefault="007E3004">
      <w:pPr>
        <w:pStyle w:val="Index1"/>
        <w:tabs>
          <w:tab w:val="right" w:leader="dot" w:pos="3014"/>
        </w:tabs>
        <w:rPr>
          <w:noProof/>
        </w:rPr>
      </w:pPr>
      <w:r w:rsidRPr="00C94C92">
        <w:rPr>
          <w:rFonts w:cs="Times New Roman"/>
          <w:noProof/>
        </w:rPr>
        <w:t>IO ARM</w:t>
      </w:r>
      <w:r>
        <w:rPr>
          <w:noProof/>
        </w:rPr>
        <w:t>, 13, 14</w:t>
      </w:r>
    </w:p>
    <w:p w14:paraId="37A059B2" w14:textId="77777777" w:rsidR="007E3004" w:rsidRDefault="007E3004">
      <w:pPr>
        <w:pStyle w:val="Index1"/>
        <w:tabs>
          <w:tab w:val="right" w:leader="dot" w:pos="3014"/>
        </w:tabs>
        <w:rPr>
          <w:noProof/>
        </w:rPr>
      </w:pPr>
      <w:r w:rsidRPr="00C94C92">
        <w:rPr>
          <w:rFonts w:cs="Times New Roman"/>
          <w:noProof/>
        </w:rPr>
        <w:t>irrational exuberance</w:t>
      </w:r>
      <w:r>
        <w:rPr>
          <w:noProof/>
        </w:rPr>
        <w:t>, 23, 32, 49, 68, 70, 73, 80, 87, 101, 103, 104, 137, 144, 145, 182, 185, 187, 189, 193</w:t>
      </w:r>
    </w:p>
    <w:p w14:paraId="1D9DCD1F" w14:textId="77777777" w:rsidR="007E3004" w:rsidRDefault="007E3004">
      <w:pPr>
        <w:pStyle w:val="Index1"/>
        <w:tabs>
          <w:tab w:val="right" w:leader="dot" w:pos="3014"/>
        </w:tabs>
        <w:rPr>
          <w:noProof/>
        </w:rPr>
      </w:pPr>
      <w:r w:rsidRPr="00C94C92">
        <w:rPr>
          <w:rFonts w:cs="Times New Roman"/>
          <w:noProof/>
        </w:rPr>
        <w:t>Irvine Housing Blog</w:t>
      </w:r>
      <w:r>
        <w:rPr>
          <w:noProof/>
        </w:rPr>
        <w:t>, ii, v, xiv, 213</w:t>
      </w:r>
    </w:p>
    <w:p w14:paraId="49D2CE5E" w14:textId="77777777" w:rsidR="007E3004" w:rsidRDefault="007E3004">
      <w:pPr>
        <w:pStyle w:val="Index1"/>
        <w:tabs>
          <w:tab w:val="right" w:leader="dot" w:pos="3014"/>
        </w:tabs>
        <w:rPr>
          <w:noProof/>
        </w:rPr>
      </w:pPr>
      <w:r w:rsidRPr="00C94C92">
        <w:rPr>
          <w:rFonts w:cs="Times New Roman"/>
          <w:noProof/>
        </w:rPr>
        <w:t>Irving Fisher</w:t>
      </w:r>
      <w:r>
        <w:rPr>
          <w:noProof/>
        </w:rPr>
        <w:t>, 2</w:t>
      </w:r>
    </w:p>
    <w:p w14:paraId="3743B727" w14:textId="77777777" w:rsidR="007E3004" w:rsidRDefault="007E3004">
      <w:pPr>
        <w:pStyle w:val="Index1"/>
        <w:tabs>
          <w:tab w:val="right" w:leader="dot" w:pos="3014"/>
        </w:tabs>
        <w:rPr>
          <w:noProof/>
        </w:rPr>
      </w:pPr>
      <w:r w:rsidRPr="00C94C92">
        <w:rPr>
          <w:rFonts w:cs="Times New Roman"/>
          <w:noProof/>
        </w:rPr>
        <w:t>It’s a Wonderful Life</w:t>
      </w:r>
      <w:r>
        <w:rPr>
          <w:noProof/>
        </w:rPr>
        <w:t>, 131</w:t>
      </w:r>
    </w:p>
    <w:p w14:paraId="3BD62630" w14:textId="77777777" w:rsidR="007E3004" w:rsidRDefault="007E3004">
      <w:pPr>
        <w:pStyle w:val="IndexHeading"/>
        <w:keepNext/>
        <w:tabs>
          <w:tab w:val="right" w:leader="dot" w:pos="3014"/>
        </w:tabs>
        <w:rPr>
          <w:b w:val="0"/>
          <w:bCs w:val="0"/>
          <w:noProof/>
        </w:rPr>
      </w:pPr>
      <w:r>
        <w:rPr>
          <w:noProof/>
        </w:rPr>
        <w:t>J</w:t>
      </w:r>
    </w:p>
    <w:p w14:paraId="2183E32B" w14:textId="77777777" w:rsidR="007E3004" w:rsidRDefault="007E3004">
      <w:pPr>
        <w:pStyle w:val="Index1"/>
        <w:tabs>
          <w:tab w:val="right" w:leader="dot" w:pos="3014"/>
        </w:tabs>
        <w:rPr>
          <w:noProof/>
        </w:rPr>
      </w:pPr>
      <w:r w:rsidRPr="00C94C92">
        <w:rPr>
          <w:rFonts w:cs="Times New Roman"/>
          <w:noProof/>
        </w:rPr>
        <w:t>James Carville</w:t>
      </w:r>
      <w:r>
        <w:rPr>
          <w:noProof/>
        </w:rPr>
        <w:t>, 167</w:t>
      </w:r>
    </w:p>
    <w:p w14:paraId="5BAEB964" w14:textId="77777777" w:rsidR="007E3004" w:rsidRDefault="007E3004">
      <w:pPr>
        <w:pStyle w:val="Index1"/>
        <w:tabs>
          <w:tab w:val="right" w:leader="dot" w:pos="3014"/>
        </w:tabs>
        <w:rPr>
          <w:noProof/>
        </w:rPr>
      </w:pPr>
      <w:r w:rsidRPr="00C94C92">
        <w:rPr>
          <w:rFonts w:cs="Times New Roman"/>
          <w:noProof/>
        </w:rPr>
        <w:t>judicial foreclosure</w:t>
      </w:r>
      <w:r>
        <w:rPr>
          <w:noProof/>
        </w:rPr>
        <w:t>, 174</w:t>
      </w:r>
    </w:p>
    <w:p w14:paraId="590B2A30" w14:textId="77777777" w:rsidR="007E3004" w:rsidRDefault="007E3004">
      <w:pPr>
        <w:pStyle w:val="IndexHeading"/>
        <w:keepNext/>
        <w:tabs>
          <w:tab w:val="right" w:leader="dot" w:pos="3014"/>
        </w:tabs>
        <w:rPr>
          <w:b w:val="0"/>
          <w:bCs w:val="0"/>
          <w:noProof/>
        </w:rPr>
      </w:pPr>
      <w:r>
        <w:rPr>
          <w:noProof/>
        </w:rPr>
        <w:t>K</w:t>
      </w:r>
    </w:p>
    <w:p w14:paraId="1C5E4CC1" w14:textId="77777777" w:rsidR="007E3004" w:rsidRDefault="007E3004">
      <w:pPr>
        <w:pStyle w:val="Index1"/>
        <w:tabs>
          <w:tab w:val="right" w:leader="dot" w:pos="3014"/>
        </w:tabs>
        <w:rPr>
          <w:noProof/>
        </w:rPr>
      </w:pPr>
      <w:r w:rsidRPr="00C94C92">
        <w:rPr>
          <w:rFonts w:cs="Times New Roman"/>
          <w:noProof/>
        </w:rPr>
        <w:t>Karl Case</w:t>
      </w:r>
      <w:r>
        <w:rPr>
          <w:noProof/>
        </w:rPr>
        <w:t>, 77</w:t>
      </w:r>
    </w:p>
    <w:p w14:paraId="68B34F5E" w14:textId="77777777" w:rsidR="007E3004" w:rsidRDefault="007E3004">
      <w:pPr>
        <w:pStyle w:val="Index1"/>
        <w:tabs>
          <w:tab w:val="right" w:leader="dot" w:pos="3014"/>
        </w:tabs>
        <w:rPr>
          <w:noProof/>
        </w:rPr>
      </w:pPr>
      <w:r w:rsidRPr="00C94C92">
        <w:rPr>
          <w:rFonts w:cs="Times New Roman"/>
          <w:noProof/>
        </w:rPr>
        <w:t>kool aid</w:t>
      </w:r>
      <w:r>
        <w:rPr>
          <w:noProof/>
        </w:rPr>
        <w:t>, xv</w:t>
      </w:r>
    </w:p>
    <w:p w14:paraId="41F8BF63" w14:textId="77777777" w:rsidR="007E3004" w:rsidRDefault="007E3004">
      <w:pPr>
        <w:pStyle w:val="IndexHeading"/>
        <w:keepNext/>
        <w:tabs>
          <w:tab w:val="right" w:leader="dot" w:pos="3014"/>
        </w:tabs>
        <w:rPr>
          <w:b w:val="0"/>
          <w:bCs w:val="0"/>
          <w:noProof/>
        </w:rPr>
      </w:pPr>
      <w:r>
        <w:rPr>
          <w:noProof/>
        </w:rPr>
        <w:t>L</w:t>
      </w:r>
    </w:p>
    <w:p w14:paraId="7ED30490" w14:textId="77777777" w:rsidR="007E3004" w:rsidRDefault="007E3004">
      <w:pPr>
        <w:pStyle w:val="Index1"/>
        <w:tabs>
          <w:tab w:val="right" w:leader="dot" w:pos="3014"/>
        </w:tabs>
        <w:rPr>
          <w:noProof/>
        </w:rPr>
      </w:pPr>
      <w:r w:rsidRPr="00C94C92">
        <w:rPr>
          <w:rFonts w:cs="Times New Roman"/>
          <w:noProof/>
        </w:rPr>
        <w:t>Lake Wobegon effect</w:t>
      </w:r>
      <w:r>
        <w:rPr>
          <w:noProof/>
        </w:rPr>
        <w:t>, 28</w:t>
      </w:r>
    </w:p>
    <w:p w14:paraId="00631315" w14:textId="77777777" w:rsidR="007E3004" w:rsidRDefault="007E3004">
      <w:pPr>
        <w:pStyle w:val="Index1"/>
        <w:tabs>
          <w:tab w:val="right" w:leader="dot" w:pos="3014"/>
        </w:tabs>
        <w:rPr>
          <w:noProof/>
        </w:rPr>
      </w:pPr>
      <w:r w:rsidRPr="00C94C92">
        <w:rPr>
          <w:rFonts w:cs="Times New Roman"/>
          <w:noProof/>
        </w:rPr>
        <w:t>land tsunami</w:t>
      </w:r>
      <w:r>
        <w:rPr>
          <w:noProof/>
        </w:rPr>
        <w:t>, 95</w:t>
      </w:r>
    </w:p>
    <w:p w14:paraId="73DFCF63" w14:textId="77777777" w:rsidR="007E3004" w:rsidRDefault="007E3004">
      <w:pPr>
        <w:pStyle w:val="Index1"/>
        <w:tabs>
          <w:tab w:val="right" w:leader="dot" w:pos="3014"/>
        </w:tabs>
        <w:rPr>
          <w:noProof/>
        </w:rPr>
      </w:pPr>
      <w:r w:rsidRPr="00C94C92">
        <w:rPr>
          <w:rFonts w:cs="Times New Roman"/>
          <w:noProof/>
        </w:rPr>
        <w:t>land value</w:t>
      </w:r>
      <w:r>
        <w:rPr>
          <w:noProof/>
        </w:rPr>
        <w:t>, 51, 54, 55</w:t>
      </w:r>
    </w:p>
    <w:p w14:paraId="6C240319" w14:textId="77777777" w:rsidR="007E3004" w:rsidRDefault="007E3004">
      <w:pPr>
        <w:pStyle w:val="Index1"/>
        <w:tabs>
          <w:tab w:val="right" w:leader="dot" w:pos="3014"/>
        </w:tabs>
        <w:rPr>
          <w:noProof/>
        </w:rPr>
      </w:pPr>
      <w:r w:rsidRPr="00C94C92">
        <w:rPr>
          <w:rFonts w:cs="Times New Roman"/>
          <w:noProof/>
        </w:rPr>
        <w:t>landlords</w:t>
      </w:r>
      <w:r>
        <w:rPr>
          <w:noProof/>
        </w:rPr>
        <w:t xml:space="preserve">. </w:t>
      </w:r>
      <w:r w:rsidRPr="00C94C92">
        <w:rPr>
          <w:i/>
          <w:noProof/>
        </w:rPr>
        <w:t>See</w:t>
      </w:r>
      <w:r>
        <w:rPr>
          <w:noProof/>
        </w:rPr>
        <w:t xml:space="preserve"> floplords</w:t>
      </w:r>
    </w:p>
    <w:p w14:paraId="3C97C128" w14:textId="77777777" w:rsidR="007E3004" w:rsidRDefault="007E3004">
      <w:pPr>
        <w:pStyle w:val="Index1"/>
        <w:tabs>
          <w:tab w:val="right" w:leader="dot" w:pos="3014"/>
        </w:tabs>
        <w:rPr>
          <w:noProof/>
        </w:rPr>
      </w:pPr>
      <w:r w:rsidRPr="00C94C92">
        <w:rPr>
          <w:rFonts w:cs="Times New Roman"/>
          <w:noProof/>
        </w:rPr>
        <w:t>leverage</w:t>
      </w:r>
      <w:r>
        <w:rPr>
          <w:noProof/>
        </w:rPr>
        <w:t>, 39, 43, 105, 110, 111, 135</w:t>
      </w:r>
    </w:p>
    <w:p w14:paraId="24D9E4BD" w14:textId="77777777" w:rsidR="007E3004" w:rsidRDefault="007E3004">
      <w:pPr>
        <w:pStyle w:val="Index1"/>
        <w:tabs>
          <w:tab w:val="right" w:leader="dot" w:pos="3014"/>
        </w:tabs>
        <w:rPr>
          <w:noProof/>
        </w:rPr>
      </w:pPr>
      <w:r w:rsidRPr="00C94C92">
        <w:rPr>
          <w:rFonts w:cs="Times New Roman"/>
          <w:noProof/>
        </w:rPr>
        <w:t>liar loans</w:t>
      </w:r>
      <w:r>
        <w:rPr>
          <w:noProof/>
        </w:rPr>
        <w:t xml:space="preserve">. </w:t>
      </w:r>
      <w:r w:rsidRPr="00C94C92">
        <w:rPr>
          <w:i/>
          <w:noProof/>
        </w:rPr>
        <w:t>See</w:t>
      </w:r>
      <w:r>
        <w:rPr>
          <w:noProof/>
        </w:rPr>
        <w:t xml:space="preserve"> stated-income</w:t>
      </w:r>
    </w:p>
    <w:p w14:paraId="5628EBE5" w14:textId="77777777" w:rsidR="007E3004" w:rsidRDefault="007E3004">
      <w:pPr>
        <w:pStyle w:val="Index1"/>
        <w:tabs>
          <w:tab w:val="right" w:leader="dot" w:pos="3014"/>
        </w:tabs>
        <w:rPr>
          <w:noProof/>
        </w:rPr>
      </w:pPr>
      <w:r w:rsidRPr="00C94C92">
        <w:rPr>
          <w:rFonts w:cs="Times New Roman"/>
          <w:noProof/>
        </w:rPr>
        <w:t>lien</w:t>
      </w:r>
      <w:r>
        <w:rPr>
          <w:noProof/>
        </w:rPr>
        <w:t>, 24, 34, 61, 173</w:t>
      </w:r>
    </w:p>
    <w:p w14:paraId="7AEE83BC" w14:textId="77777777" w:rsidR="007E3004" w:rsidRDefault="007E3004">
      <w:pPr>
        <w:pStyle w:val="Index1"/>
        <w:tabs>
          <w:tab w:val="right" w:leader="dot" w:pos="3014"/>
        </w:tabs>
        <w:rPr>
          <w:noProof/>
        </w:rPr>
      </w:pPr>
      <w:r w:rsidRPr="00C94C92">
        <w:rPr>
          <w:rFonts w:cs="Times New Roman"/>
          <w:noProof/>
        </w:rPr>
        <w:t>liquidity</w:t>
      </w:r>
      <w:r>
        <w:rPr>
          <w:noProof/>
        </w:rPr>
        <w:t>, 26, 40, 57, 60, 72, 89, 100, 110, 127, 148, 149</w:t>
      </w:r>
    </w:p>
    <w:p w14:paraId="2B40B171" w14:textId="77777777" w:rsidR="007E3004" w:rsidRDefault="007E3004">
      <w:pPr>
        <w:pStyle w:val="Index1"/>
        <w:tabs>
          <w:tab w:val="right" w:leader="dot" w:pos="3014"/>
        </w:tabs>
        <w:rPr>
          <w:noProof/>
        </w:rPr>
      </w:pPr>
      <w:r w:rsidRPr="00C94C92">
        <w:rPr>
          <w:rFonts w:cs="Times New Roman"/>
          <w:noProof/>
        </w:rPr>
        <w:t>Loan documentation</w:t>
      </w:r>
      <w:r>
        <w:rPr>
          <w:noProof/>
        </w:rPr>
        <w:t>, 18</w:t>
      </w:r>
    </w:p>
    <w:p w14:paraId="6BE41656" w14:textId="77777777" w:rsidR="007E3004" w:rsidRDefault="007E3004">
      <w:pPr>
        <w:pStyle w:val="Index1"/>
        <w:tabs>
          <w:tab w:val="right" w:leader="dot" w:pos="3014"/>
        </w:tabs>
        <w:rPr>
          <w:noProof/>
        </w:rPr>
      </w:pPr>
      <w:r w:rsidRPr="00C94C92">
        <w:rPr>
          <w:rFonts w:cs="Times New Roman"/>
          <w:noProof/>
        </w:rPr>
        <w:t>loan-to-value</w:t>
      </w:r>
      <w:r>
        <w:rPr>
          <w:noProof/>
        </w:rPr>
        <w:t xml:space="preserve">, 19, 68, 73, 97, 99, 112, 171, 192, 193, </w:t>
      </w:r>
      <w:r w:rsidRPr="00C94C92">
        <w:rPr>
          <w:i/>
          <w:noProof/>
        </w:rPr>
        <w:t>See</w:t>
      </w:r>
      <w:r>
        <w:rPr>
          <w:noProof/>
        </w:rPr>
        <w:t xml:space="preserve"> LTV</w:t>
      </w:r>
    </w:p>
    <w:p w14:paraId="2839DCBA" w14:textId="77777777" w:rsidR="007E3004" w:rsidRDefault="007E3004">
      <w:pPr>
        <w:pStyle w:val="Index1"/>
        <w:tabs>
          <w:tab w:val="right" w:leader="dot" w:pos="3014"/>
        </w:tabs>
        <w:rPr>
          <w:noProof/>
        </w:rPr>
      </w:pPr>
      <w:r w:rsidRPr="00C94C92">
        <w:rPr>
          <w:rFonts w:cs="Times New Roman"/>
          <w:noProof/>
        </w:rPr>
        <w:t>lowballing</w:t>
      </w:r>
      <w:r>
        <w:rPr>
          <w:noProof/>
        </w:rPr>
        <w:t>, 176</w:t>
      </w:r>
    </w:p>
    <w:p w14:paraId="4ED58C3C" w14:textId="77777777" w:rsidR="007E3004" w:rsidRDefault="007E3004">
      <w:pPr>
        <w:pStyle w:val="Index1"/>
        <w:tabs>
          <w:tab w:val="right" w:leader="dot" w:pos="3014"/>
        </w:tabs>
        <w:rPr>
          <w:noProof/>
        </w:rPr>
      </w:pPr>
      <w:r w:rsidRPr="00C94C92">
        <w:rPr>
          <w:rFonts w:cs="Times New Roman"/>
          <w:noProof/>
        </w:rPr>
        <w:t>LTV</w:t>
      </w:r>
      <w:r>
        <w:rPr>
          <w:noProof/>
        </w:rPr>
        <w:t>, 99</w:t>
      </w:r>
    </w:p>
    <w:p w14:paraId="7171AA44" w14:textId="77777777" w:rsidR="007E3004" w:rsidRDefault="007E3004">
      <w:pPr>
        <w:pStyle w:val="IndexHeading"/>
        <w:keepNext/>
        <w:tabs>
          <w:tab w:val="right" w:leader="dot" w:pos="3014"/>
        </w:tabs>
        <w:rPr>
          <w:b w:val="0"/>
          <w:bCs w:val="0"/>
          <w:noProof/>
        </w:rPr>
      </w:pPr>
      <w:r>
        <w:rPr>
          <w:noProof/>
        </w:rPr>
        <w:t>M</w:t>
      </w:r>
    </w:p>
    <w:p w14:paraId="309DF60E" w14:textId="77777777" w:rsidR="007E3004" w:rsidRDefault="007E3004">
      <w:pPr>
        <w:pStyle w:val="Index1"/>
        <w:tabs>
          <w:tab w:val="right" w:leader="dot" w:pos="3014"/>
        </w:tabs>
        <w:rPr>
          <w:noProof/>
        </w:rPr>
      </w:pPr>
      <w:r>
        <w:rPr>
          <w:noProof/>
        </w:rPr>
        <w:t>MBS, 155</w:t>
      </w:r>
    </w:p>
    <w:p w14:paraId="36F53A99" w14:textId="77777777" w:rsidR="007E3004" w:rsidRDefault="007E3004">
      <w:pPr>
        <w:pStyle w:val="Index1"/>
        <w:tabs>
          <w:tab w:val="right" w:leader="dot" w:pos="3014"/>
        </w:tabs>
        <w:rPr>
          <w:noProof/>
        </w:rPr>
      </w:pPr>
      <w:r>
        <w:rPr>
          <w:noProof/>
        </w:rPr>
        <w:t>McMansions, 180</w:t>
      </w:r>
    </w:p>
    <w:p w14:paraId="78D5CC4E" w14:textId="77777777" w:rsidR="007E3004" w:rsidRDefault="007E3004">
      <w:pPr>
        <w:pStyle w:val="Index1"/>
        <w:tabs>
          <w:tab w:val="right" w:leader="dot" w:pos="3014"/>
        </w:tabs>
        <w:rPr>
          <w:noProof/>
        </w:rPr>
      </w:pPr>
      <w:r w:rsidRPr="00C94C92">
        <w:rPr>
          <w:rFonts w:cs="Times New Roman"/>
          <w:noProof/>
        </w:rPr>
        <w:t>median</w:t>
      </w:r>
      <w:r>
        <w:rPr>
          <w:noProof/>
        </w:rPr>
        <w:t>, 25, 51, 54, 55, 75, 76, 77, 78, 83, 85, 87, 123, 141, 159, 161, 165</w:t>
      </w:r>
    </w:p>
    <w:p w14:paraId="3D0BCC8A" w14:textId="77777777" w:rsidR="007E3004" w:rsidRDefault="007E3004">
      <w:pPr>
        <w:pStyle w:val="Index1"/>
        <w:tabs>
          <w:tab w:val="right" w:leader="dot" w:pos="3014"/>
        </w:tabs>
        <w:rPr>
          <w:noProof/>
        </w:rPr>
      </w:pPr>
      <w:r w:rsidRPr="00C94C92">
        <w:rPr>
          <w:rFonts w:cs="Times New Roman"/>
          <w:noProof/>
        </w:rPr>
        <w:t>Mello Roos</w:t>
      </w:r>
      <w:r>
        <w:rPr>
          <w:noProof/>
        </w:rPr>
        <w:t>, 34, 37</w:t>
      </w:r>
    </w:p>
    <w:p w14:paraId="08B29BE2" w14:textId="77777777" w:rsidR="007E3004" w:rsidRDefault="007E3004">
      <w:pPr>
        <w:pStyle w:val="Index1"/>
        <w:tabs>
          <w:tab w:val="right" w:leader="dot" w:pos="3014"/>
        </w:tabs>
        <w:rPr>
          <w:noProof/>
        </w:rPr>
      </w:pPr>
      <w:r w:rsidRPr="00C94C92">
        <w:rPr>
          <w:rFonts w:cs="Times New Roman"/>
          <w:noProof/>
        </w:rPr>
        <w:t>MEW</w:t>
      </w:r>
      <w:r>
        <w:rPr>
          <w:noProof/>
        </w:rPr>
        <w:t>, 24</w:t>
      </w:r>
    </w:p>
    <w:p w14:paraId="4712E719" w14:textId="77777777" w:rsidR="007E3004" w:rsidRDefault="007E3004">
      <w:pPr>
        <w:pStyle w:val="Index1"/>
        <w:tabs>
          <w:tab w:val="right" w:leader="dot" w:pos="3014"/>
        </w:tabs>
        <w:rPr>
          <w:noProof/>
        </w:rPr>
      </w:pPr>
      <w:r w:rsidRPr="00C94C92">
        <w:rPr>
          <w:rFonts w:cs="Times New Roman"/>
          <w:noProof/>
        </w:rPr>
        <w:t>mezzanine tranche</w:t>
      </w:r>
      <w:r>
        <w:rPr>
          <w:noProof/>
        </w:rPr>
        <w:t>, 61, 62</w:t>
      </w:r>
    </w:p>
    <w:p w14:paraId="3B387430" w14:textId="77777777" w:rsidR="007E3004" w:rsidRDefault="007E3004">
      <w:pPr>
        <w:pStyle w:val="Index1"/>
        <w:tabs>
          <w:tab w:val="right" w:leader="dot" w:pos="3014"/>
        </w:tabs>
        <w:rPr>
          <w:noProof/>
        </w:rPr>
      </w:pPr>
      <w:r w:rsidRPr="00C94C92">
        <w:rPr>
          <w:rFonts w:cs="Times New Roman"/>
          <w:noProof/>
        </w:rPr>
        <w:t>Minnesota</w:t>
      </w:r>
      <w:r>
        <w:rPr>
          <w:noProof/>
        </w:rPr>
        <w:t>, 123, 186</w:t>
      </w:r>
    </w:p>
    <w:p w14:paraId="7FCE2190" w14:textId="77777777" w:rsidR="007E3004" w:rsidRDefault="007E3004">
      <w:pPr>
        <w:pStyle w:val="Index1"/>
        <w:tabs>
          <w:tab w:val="right" w:leader="dot" w:pos="3014"/>
        </w:tabs>
        <w:rPr>
          <w:noProof/>
        </w:rPr>
      </w:pPr>
      <w:r w:rsidRPr="00C94C92">
        <w:rPr>
          <w:rFonts w:cs="Times New Roman"/>
          <w:noProof/>
        </w:rPr>
        <w:t>Minnetonka, Minnesota</w:t>
      </w:r>
      <w:r>
        <w:rPr>
          <w:noProof/>
        </w:rPr>
        <w:t>, 123</w:t>
      </w:r>
    </w:p>
    <w:p w14:paraId="21EA8022" w14:textId="77777777" w:rsidR="007E3004" w:rsidRDefault="007E3004">
      <w:pPr>
        <w:pStyle w:val="Index1"/>
        <w:tabs>
          <w:tab w:val="right" w:leader="dot" w:pos="3014"/>
        </w:tabs>
        <w:rPr>
          <w:noProof/>
        </w:rPr>
      </w:pPr>
      <w:r w:rsidRPr="00C94C92">
        <w:rPr>
          <w:rFonts w:cs="Times New Roman"/>
          <w:noProof/>
        </w:rPr>
        <w:t>Minsky Moment</w:t>
      </w:r>
      <w:r>
        <w:rPr>
          <w:noProof/>
        </w:rPr>
        <w:t xml:space="preserve">, 124, </w:t>
      </w:r>
      <w:r w:rsidRPr="00C94C92">
        <w:rPr>
          <w:i/>
          <w:noProof/>
        </w:rPr>
        <w:t>See</w:t>
      </w:r>
      <w:r>
        <w:rPr>
          <w:noProof/>
        </w:rPr>
        <w:t xml:space="preserve"> Hyman Minsky</w:t>
      </w:r>
    </w:p>
    <w:p w14:paraId="3C4264B4" w14:textId="77777777" w:rsidR="007E3004" w:rsidRDefault="007E3004">
      <w:pPr>
        <w:pStyle w:val="Index1"/>
        <w:tabs>
          <w:tab w:val="right" w:leader="dot" w:pos="3014"/>
        </w:tabs>
        <w:rPr>
          <w:noProof/>
        </w:rPr>
      </w:pPr>
      <w:r w:rsidRPr="00C94C92">
        <w:rPr>
          <w:rFonts w:cs="Times New Roman"/>
          <w:noProof/>
        </w:rPr>
        <w:t>monetary deflation</w:t>
      </w:r>
      <w:r>
        <w:rPr>
          <w:noProof/>
        </w:rPr>
        <w:t>, 62</w:t>
      </w:r>
    </w:p>
    <w:p w14:paraId="5A1E2AC0" w14:textId="77777777" w:rsidR="007E3004" w:rsidRDefault="007E3004">
      <w:pPr>
        <w:pStyle w:val="Index1"/>
        <w:tabs>
          <w:tab w:val="right" w:leader="dot" w:pos="3014"/>
        </w:tabs>
        <w:rPr>
          <w:noProof/>
        </w:rPr>
      </w:pPr>
      <w:r w:rsidRPr="00C94C92">
        <w:rPr>
          <w:rFonts w:cs="Times New Roman"/>
          <w:noProof/>
        </w:rPr>
        <w:t>Moody’s</w:t>
      </w:r>
      <w:r>
        <w:rPr>
          <w:noProof/>
        </w:rPr>
        <w:t>, 63</w:t>
      </w:r>
    </w:p>
    <w:p w14:paraId="525AEE07" w14:textId="77777777" w:rsidR="007E3004" w:rsidRDefault="007E3004">
      <w:pPr>
        <w:pStyle w:val="Index1"/>
        <w:tabs>
          <w:tab w:val="right" w:leader="dot" w:pos="3014"/>
        </w:tabs>
        <w:rPr>
          <w:noProof/>
        </w:rPr>
      </w:pPr>
      <w:r w:rsidRPr="00C94C92">
        <w:rPr>
          <w:rFonts w:cs="Times New Roman"/>
          <w:noProof/>
        </w:rPr>
        <w:t>mortgage application fees</w:t>
      </w:r>
      <w:r>
        <w:rPr>
          <w:noProof/>
        </w:rPr>
        <w:t>, 42</w:t>
      </w:r>
    </w:p>
    <w:p w14:paraId="056A5A10" w14:textId="77777777" w:rsidR="007E3004" w:rsidRDefault="007E3004">
      <w:pPr>
        <w:pStyle w:val="Index1"/>
        <w:tabs>
          <w:tab w:val="right" w:leader="dot" w:pos="3014"/>
        </w:tabs>
        <w:rPr>
          <w:noProof/>
        </w:rPr>
      </w:pPr>
      <w:r>
        <w:rPr>
          <w:noProof/>
        </w:rPr>
        <w:t xml:space="preserve">Mortgage Backed Securities. </w:t>
      </w:r>
      <w:r w:rsidRPr="00C94C92">
        <w:rPr>
          <w:i/>
          <w:noProof/>
        </w:rPr>
        <w:t>See</w:t>
      </w:r>
      <w:r>
        <w:rPr>
          <w:noProof/>
        </w:rPr>
        <w:t xml:space="preserve"> MBS</w:t>
      </w:r>
    </w:p>
    <w:p w14:paraId="5C0DD148" w14:textId="77777777" w:rsidR="007E3004" w:rsidRDefault="007E3004">
      <w:pPr>
        <w:pStyle w:val="Index1"/>
        <w:tabs>
          <w:tab w:val="right" w:leader="dot" w:pos="3014"/>
        </w:tabs>
        <w:rPr>
          <w:noProof/>
        </w:rPr>
      </w:pPr>
      <w:r w:rsidRPr="00C94C92">
        <w:rPr>
          <w:rFonts w:cs="Times New Roman"/>
          <w:noProof/>
        </w:rPr>
        <w:t>mortgage default losses</w:t>
      </w:r>
      <w:r>
        <w:rPr>
          <w:noProof/>
        </w:rPr>
        <w:t>, 64</w:t>
      </w:r>
    </w:p>
    <w:p w14:paraId="19229D36" w14:textId="77777777" w:rsidR="007E3004" w:rsidRDefault="007E3004">
      <w:pPr>
        <w:pStyle w:val="Index1"/>
        <w:tabs>
          <w:tab w:val="right" w:leader="dot" w:pos="3014"/>
        </w:tabs>
        <w:rPr>
          <w:noProof/>
        </w:rPr>
      </w:pPr>
      <w:r w:rsidRPr="00C94C92">
        <w:rPr>
          <w:rFonts w:cs="Times New Roman"/>
          <w:noProof/>
        </w:rPr>
        <w:t>Mortgage Equity Withdrawal</w:t>
      </w:r>
      <w:r>
        <w:rPr>
          <w:noProof/>
        </w:rPr>
        <w:t xml:space="preserve">. </w:t>
      </w:r>
      <w:r w:rsidRPr="00C94C92">
        <w:rPr>
          <w:i/>
          <w:noProof/>
        </w:rPr>
        <w:t>See</w:t>
      </w:r>
      <w:r>
        <w:rPr>
          <w:noProof/>
        </w:rPr>
        <w:t xml:space="preserve"> MEW</w:t>
      </w:r>
    </w:p>
    <w:p w14:paraId="5FF5E33A" w14:textId="77777777" w:rsidR="007E3004" w:rsidRDefault="007E3004">
      <w:pPr>
        <w:pStyle w:val="Index1"/>
        <w:tabs>
          <w:tab w:val="right" w:leader="dot" w:pos="3014"/>
        </w:tabs>
        <w:rPr>
          <w:noProof/>
        </w:rPr>
      </w:pPr>
      <w:r w:rsidRPr="00C94C92">
        <w:rPr>
          <w:rFonts w:cs="Times New Roman"/>
          <w:noProof/>
        </w:rPr>
        <w:t>Mortgage Forgiveness Debt Relief Act of 2007</w:t>
      </w:r>
      <w:r>
        <w:rPr>
          <w:noProof/>
        </w:rPr>
        <w:t>, 174</w:t>
      </w:r>
    </w:p>
    <w:p w14:paraId="771B1444" w14:textId="77777777" w:rsidR="007E3004" w:rsidRDefault="007E3004">
      <w:pPr>
        <w:pStyle w:val="Index1"/>
        <w:tabs>
          <w:tab w:val="right" w:leader="dot" w:pos="3014"/>
        </w:tabs>
        <w:rPr>
          <w:noProof/>
        </w:rPr>
      </w:pPr>
      <w:r w:rsidRPr="00C94C92">
        <w:rPr>
          <w:rFonts w:cs="Times New Roman"/>
          <w:noProof/>
        </w:rPr>
        <w:t>Mortgage interest rates</w:t>
      </w:r>
      <w:r>
        <w:rPr>
          <w:noProof/>
        </w:rPr>
        <w:t>, 10, 11, 60, 100, 156</w:t>
      </w:r>
    </w:p>
    <w:p w14:paraId="64E559A1" w14:textId="77777777" w:rsidR="007E3004" w:rsidRDefault="007E3004">
      <w:pPr>
        <w:pStyle w:val="Index1"/>
        <w:tabs>
          <w:tab w:val="right" w:leader="dot" w:pos="3014"/>
        </w:tabs>
        <w:rPr>
          <w:noProof/>
        </w:rPr>
      </w:pPr>
      <w:r w:rsidRPr="00C94C92">
        <w:rPr>
          <w:rFonts w:cs="Times New Roman"/>
          <w:noProof/>
        </w:rPr>
        <w:t>mortgage payment</w:t>
      </w:r>
      <w:r>
        <w:rPr>
          <w:noProof/>
        </w:rPr>
        <w:t>, 13, 33, 37, 46, 181</w:t>
      </w:r>
    </w:p>
    <w:p w14:paraId="4DAC691A" w14:textId="77777777" w:rsidR="007E3004" w:rsidRDefault="007E3004">
      <w:pPr>
        <w:pStyle w:val="Index1"/>
        <w:tabs>
          <w:tab w:val="right" w:leader="dot" w:pos="3014"/>
        </w:tabs>
        <w:rPr>
          <w:noProof/>
        </w:rPr>
      </w:pPr>
      <w:r w:rsidRPr="00C94C92">
        <w:rPr>
          <w:rFonts w:cs="Times New Roman"/>
          <w:noProof/>
        </w:rPr>
        <w:t>mortgage-backed securities</w:t>
      </w:r>
      <w:r>
        <w:rPr>
          <w:noProof/>
        </w:rPr>
        <w:t>, 10, 63</w:t>
      </w:r>
    </w:p>
    <w:p w14:paraId="6A48EEB2" w14:textId="77777777" w:rsidR="007E3004" w:rsidRDefault="007E3004">
      <w:pPr>
        <w:pStyle w:val="Index1"/>
        <w:tabs>
          <w:tab w:val="right" w:leader="dot" w:pos="3014"/>
        </w:tabs>
        <w:rPr>
          <w:noProof/>
        </w:rPr>
      </w:pPr>
      <w:r w:rsidRPr="00C94C92">
        <w:rPr>
          <w:rFonts w:cs="Times New Roman"/>
          <w:noProof/>
        </w:rPr>
        <w:t>move-up</w:t>
      </w:r>
      <w:r>
        <w:rPr>
          <w:noProof/>
        </w:rPr>
        <w:t>, 21, 89, 131</w:t>
      </w:r>
    </w:p>
    <w:p w14:paraId="0AFA2438" w14:textId="77777777" w:rsidR="007E3004" w:rsidRDefault="007E3004">
      <w:pPr>
        <w:pStyle w:val="Index1"/>
        <w:tabs>
          <w:tab w:val="right" w:leader="dot" w:pos="3014"/>
        </w:tabs>
        <w:rPr>
          <w:noProof/>
        </w:rPr>
      </w:pPr>
      <w:r w:rsidRPr="00C94C92">
        <w:rPr>
          <w:rFonts w:cs="Times New Roman"/>
          <w:noProof/>
        </w:rPr>
        <w:t>must-sell</w:t>
      </w:r>
      <w:r>
        <w:rPr>
          <w:noProof/>
        </w:rPr>
        <w:t>, 13, 97, 107, 137, 161, 162, 167</w:t>
      </w:r>
    </w:p>
    <w:p w14:paraId="394C2DFE" w14:textId="77777777" w:rsidR="007E3004" w:rsidRDefault="007E3004">
      <w:pPr>
        <w:pStyle w:val="IndexHeading"/>
        <w:keepNext/>
        <w:tabs>
          <w:tab w:val="right" w:leader="dot" w:pos="3014"/>
        </w:tabs>
        <w:rPr>
          <w:b w:val="0"/>
          <w:bCs w:val="0"/>
          <w:noProof/>
        </w:rPr>
      </w:pPr>
      <w:r>
        <w:rPr>
          <w:noProof/>
        </w:rPr>
        <w:t>N</w:t>
      </w:r>
    </w:p>
    <w:p w14:paraId="3A8D4536" w14:textId="77777777" w:rsidR="007E3004" w:rsidRDefault="007E3004">
      <w:pPr>
        <w:pStyle w:val="Index1"/>
        <w:tabs>
          <w:tab w:val="right" w:leader="dot" w:pos="3014"/>
        </w:tabs>
        <w:rPr>
          <w:noProof/>
        </w:rPr>
      </w:pPr>
      <w:r w:rsidRPr="00C94C92">
        <w:rPr>
          <w:rFonts w:cs="Times New Roman"/>
          <w:noProof/>
        </w:rPr>
        <w:t>NASDAQ</w:t>
      </w:r>
      <w:r>
        <w:rPr>
          <w:noProof/>
        </w:rPr>
        <w:t>, 25, 164, 180, 181</w:t>
      </w:r>
    </w:p>
    <w:p w14:paraId="58A4FD96" w14:textId="77777777" w:rsidR="007E3004" w:rsidRDefault="007E3004">
      <w:pPr>
        <w:pStyle w:val="Index1"/>
        <w:tabs>
          <w:tab w:val="right" w:leader="dot" w:pos="3014"/>
        </w:tabs>
        <w:rPr>
          <w:noProof/>
        </w:rPr>
      </w:pPr>
      <w:r w:rsidRPr="00C94C92">
        <w:rPr>
          <w:rFonts w:cs="Times New Roman"/>
          <w:noProof/>
        </w:rPr>
        <w:t>National Association of Realtors</w:t>
      </w:r>
      <w:r>
        <w:rPr>
          <w:noProof/>
        </w:rPr>
        <w:t>, xiii, 1, 2, 42, 193</w:t>
      </w:r>
    </w:p>
    <w:p w14:paraId="4CA13C95" w14:textId="77777777" w:rsidR="007E3004" w:rsidRDefault="007E3004">
      <w:pPr>
        <w:pStyle w:val="Index1"/>
        <w:tabs>
          <w:tab w:val="right" w:leader="dot" w:pos="3014"/>
        </w:tabs>
        <w:rPr>
          <w:noProof/>
        </w:rPr>
      </w:pPr>
      <w:r w:rsidRPr="00C94C92">
        <w:rPr>
          <w:rFonts w:cs="Times New Roman"/>
          <w:noProof/>
        </w:rPr>
        <w:t>negative amortization</w:t>
      </w:r>
      <w:r>
        <w:rPr>
          <w:noProof/>
        </w:rPr>
        <w:t xml:space="preserve">, 14, 15, 16, 17, 21, 23, 27, 29, 36, 75, 80, 86, 87, 101, 105, 123, 124, 126, 131, 132, 147, 155, 158, 159, 185, 186, 192, </w:t>
      </w:r>
      <w:r w:rsidRPr="00C94C92">
        <w:rPr>
          <w:i/>
          <w:noProof/>
        </w:rPr>
        <w:t>See</w:t>
      </w:r>
      <w:r>
        <w:rPr>
          <w:noProof/>
        </w:rPr>
        <w:t xml:space="preserve"> Option ARM</w:t>
      </w:r>
    </w:p>
    <w:p w14:paraId="609DF8D8" w14:textId="77777777" w:rsidR="007E3004" w:rsidRDefault="007E3004">
      <w:pPr>
        <w:pStyle w:val="Index1"/>
        <w:tabs>
          <w:tab w:val="right" w:leader="dot" w:pos="3014"/>
        </w:tabs>
        <w:rPr>
          <w:noProof/>
        </w:rPr>
      </w:pPr>
      <w:r w:rsidRPr="00C94C92">
        <w:rPr>
          <w:rFonts w:cs="Times New Roman"/>
          <w:noProof/>
        </w:rPr>
        <w:t>Negative Amortization loan</w:t>
      </w:r>
      <w:r>
        <w:rPr>
          <w:noProof/>
        </w:rPr>
        <w:t>, 12, 13</w:t>
      </w:r>
    </w:p>
    <w:p w14:paraId="276052B5" w14:textId="77777777" w:rsidR="007E3004" w:rsidRDefault="007E3004">
      <w:pPr>
        <w:pStyle w:val="Index1"/>
        <w:tabs>
          <w:tab w:val="right" w:leader="dot" w:pos="3014"/>
        </w:tabs>
        <w:rPr>
          <w:noProof/>
        </w:rPr>
      </w:pPr>
      <w:r w:rsidRPr="00C94C92">
        <w:rPr>
          <w:rFonts w:cs="Times New Roman"/>
          <w:noProof/>
        </w:rPr>
        <w:t>net present value</w:t>
      </w:r>
      <w:r>
        <w:rPr>
          <w:noProof/>
        </w:rPr>
        <w:t>, 40, 45</w:t>
      </w:r>
    </w:p>
    <w:p w14:paraId="3551B43C" w14:textId="77777777" w:rsidR="007E3004" w:rsidRDefault="007E3004">
      <w:pPr>
        <w:pStyle w:val="Index1"/>
        <w:tabs>
          <w:tab w:val="right" w:leader="dot" w:pos="3014"/>
        </w:tabs>
        <w:rPr>
          <w:noProof/>
        </w:rPr>
      </w:pPr>
      <w:r w:rsidRPr="00C94C92">
        <w:rPr>
          <w:rFonts w:cs="Times New Roman"/>
          <w:noProof/>
        </w:rPr>
        <w:t>New Century</w:t>
      </w:r>
      <w:r>
        <w:rPr>
          <w:noProof/>
        </w:rPr>
        <w:t>, xviii, xix, 73, 97, 160</w:t>
      </w:r>
    </w:p>
    <w:p w14:paraId="1A7C2A68" w14:textId="77777777" w:rsidR="007E3004" w:rsidRDefault="007E3004">
      <w:pPr>
        <w:pStyle w:val="Index1"/>
        <w:tabs>
          <w:tab w:val="right" w:leader="dot" w:pos="3014"/>
        </w:tabs>
        <w:rPr>
          <w:noProof/>
        </w:rPr>
      </w:pPr>
      <w:r w:rsidRPr="00C94C92">
        <w:rPr>
          <w:rFonts w:cs="Times New Roman"/>
          <w:noProof/>
        </w:rPr>
        <w:t>non-recourse</w:t>
      </w:r>
      <w:r>
        <w:rPr>
          <w:noProof/>
        </w:rPr>
        <w:t>, 111, 173, 193</w:t>
      </w:r>
    </w:p>
    <w:p w14:paraId="28738BA2" w14:textId="77777777" w:rsidR="007E3004" w:rsidRDefault="007E3004">
      <w:pPr>
        <w:pStyle w:val="Index1"/>
        <w:tabs>
          <w:tab w:val="right" w:leader="dot" w:pos="3014"/>
        </w:tabs>
        <w:rPr>
          <w:noProof/>
        </w:rPr>
      </w:pPr>
      <w:r w:rsidRPr="00C94C92">
        <w:rPr>
          <w:rFonts w:cs="Times New Roman"/>
          <w:noProof/>
        </w:rPr>
        <w:t>Notice of Default</w:t>
      </w:r>
      <w:r>
        <w:rPr>
          <w:noProof/>
        </w:rPr>
        <w:t>, 95</w:t>
      </w:r>
    </w:p>
    <w:p w14:paraId="73C09400" w14:textId="77777777" w:rsidR="007E3004" w:rsidRDefault="007E3004">
      <w:pPr>
        <w:pStyle w:val="Index1"/>
        <w:tabs>
          <w:tab w:val="right" w:leader="dot" w:pos="3014"/>
        </w:tabs>
        <w:rPr>
          <w:noProof/>
        </w:rPr>
      </w:pPr>
      <w:r w:rsidRPr="00C94C92">
        <w:rPr>
          <w:rFonts w:cs="Times New Roman"/>
          <w:noProof/>
        </w:rPr>
        <w:t>Notice of Trustee Sale</w:t>
      </w:r>
      <w:r>
        <w:rPr>
          <w:noProof/>
        </w:rPr>
        <w:t>, 95</w:t>
      </w:r>
    </w:p>
    <w:p w14:paraId="3DFAAF26" w14:textId="77777777" w:rsidR="007E3004" w:rsidRDefault="007E3004">
      <w:pPr>
        <w:pStyle w:val="IndexHeading"/>
        <w:keepNext/>
        <w:tabs>
          <w:tab w:val="right" w:leader="dot" w:pos="3014"/>
        </w:tabs>
        <w:rPr>
          <w:b w:val="0"/>
          <w:bCs w:val="0"/>
          <w:noProof/>
        </w:rPr>
      </w:pPr>
      <w:r>
        <w:rPr>
          <w:noProof/>
        </w:rPr>
        <w:t>O</w:t>
      </w:r>
    </w:p>
    <w:p w14:paraId="551E14E7" w14:textId="77777777" w:rsidR="007E3004" w:rsidRDefault="007E3004">
      <w:pPr>
        <w:pStyle w:val="Index1"/>
        <w:tabs>
          <w:tab w:val="right" w:leader="dot" w:pos="3014"/>
        </w:tabs>
        <w:rPr>
          <w:noProof/>
        </w:rPr>
      </w:pPr>
      <w:r w:rsidRPr="00C94C92">
        <w:rPr>
          <w:rFonts w:cs="Times New Roman"/>
          <w:noProof/>
        </w:rPr>
        <w:t>off-balance-sheet investment</w:t>
      </w:r>
      <w:r>
        <w:rPr>
          <w:noProof/>
        </w:rPr>
        <w:t>, 127</w:t>
      </w:r>
    </w:p>
    <w:p w14:paraId="7E14C26C" w14:textId="77777777" w:rsidR="007E3004" w:rsidRDefault="007E3004">
      <w:pPr>
        <w:pStyle w:val="Index1"/>
        <w:tabs>
          <w:tab w:val="right" w:leader="dot" w:pos="3014"/>
        </w:tabs>
        <w:rPr>
          <w:noProof/>
        </w:rPr>
      </w:pPr>
      <w:r w:rsidRPr="00C94C92">
        <w:rPr>
          <w:rFonts w:cs="Times New Roman"/>
          <w:noProof/>
        </w:rPr>
        <w:t>Option ARM</w:t>
      </w:r>
      <w:r>
        <w:rPr>
          <w:noProof/>
        </w:rPr>
        <w:t>, 14, 15, 16, 17, 27, 28, 87, 92, 109, 124, 158, 159</w:t>
      </w:r>
    </w:p>
    <w:p w14:paraId="7D73A7A3" w14:textId="77777777" w:rsidR="007E3004" w:rsidRDefault="007E3004">
      <w:pPr>
        <w:pStyle w:val="Index1"/>
        <w:tabs>
          <w:tab w:val="right" w:leader="dot" w:pos="3014"/>
        </w:tabs>
        <w:rPr>
          <w:noProof/>
        </w:rPr>
      </w:pPr>
      <w:r w:rsidRPr="00C94C92">
        <w:rPr>
          <w:rFonts w:cs="Times New Roman"/>
          <w:noProof/>
        </w:rPr>
        <w:t>option contracts</w:t>
      </w:r>
      <w:r>
        <w:rPr>
          <w:noProof/>
        </w:rPr>
        <w:t>, 103, 111, 112</w:t>
      </w:r>
    </w:p>
    <w:p w14:paraId="58F30289" w14:textId="77777777" w:rsidR="007E3004" w:rsidRDefault="007E3004">
      <w:pPr>
        <w:pStyle w:val="Index1"/>
        <w:tabs>
          <w:tab w:val="right" w:leader="dot" w:pos="3014"/>
        </w:tabs>
        <w:rPr>
          <w:noProof/>
        </w:rPr>
      </w:pPr>
      <w:r w:rsidRPr="00C94C92">
        <w:rPr>
          <w:rFonts w:cs="Times New Roman"/>
          <w:noProof/>
        </w:rPr>
        <w:t>Option One</w:t>
      </w:r>
      <w:r>
        <w:rPr>
          <w:noProof/>
        </w:rPr>
        <w:t>, xviii, xix</w:t>
      </w:r>
    </w:p>
    <w:p w14:paraId="7DB53861" w14:textId="77777777" w:rsidR="007E3004" w:rsidRDefault="007E3004">
      <w:pPr>
        <w:pStyle w:val="Index1"/>
        <w:tabs>
          <w:tab w:val="right" w:leader="dot" w:pos="3014"/>
        </w:tabs>
        <w:rPr>
          <w:noProof/>
        </w:rPr>
      </w:pPr>
      <w:r w:rsidRPr="00C94C92">
        <w:rPr>
          <w:rFonts w:cs="Times New Roman"/>
          <w:noProof/>
        </w:rPr>
        <w:t>Orange County</w:t>
      </w:r>
      <w:r>
        <w:rPr>
          <w:noProof/>
        </w:rPr>
        <w:t>, 51, 83, 85, 124, 140, 143, 144, 145, 160, 161</w:t>
      </w:r>
    </w:p>
    <w:p w14:paraId="2C40CFAF" w14:textId="77777777" w:rsidR="007E3004" w:rsidRDefault="007E3004">
      <w:pPr>
        <w:pStyle w:val="Index1"/>
        <w:tabs>
          <w:tab w:val="right" w:leader="dot" w:pos="3014"/>
        </w:tabs>
        <w:rPr>
          <w:noProof/>
        </w:rPr>
      </w:pPr>
      <w:r w:rsidRPr="00C94C92">
        <w:rPr>
          <w:rFonts w:cs="Times New Roman"/>
          <w:noProof/>
        </w:rPr>
        <w:t>owner-occupied</w:t>
      </w:r>
      <w:r>
        <w:rPr>
          <w:noProof/>
        </w:rPr>
        <w:t>, 31, 69, 163, 170</w:t>
      </w:r>
    </w:p>
    <w:p w14:paraId="4D6C3C5F" w14:textId="77777777" w:rsidR="007E3004" w:rsidRDefault="007E3004">
      <w:pPr>
        <w:pStyle w:val="Index1"/>
        <w:tabs>
          <w:tab w:val="right" w:leader="dot" w:pos="3014"/>
        </w:tabs>
        <w:rPr>
          <w:noProof/>
        </w:rPr>
      </w:pPr>
      <w:r w:rsidRPr="00C94C92">
        <w:rPr>
          <w:rFonts w:cs="Times New Roman"/>
          <w:noProof/>
        </w:rPr>
        <w:t>ownership period</w:t>
      </w:r>
      <w:r>
        <w:rPr>
          <w:noProof/>
        </w:rPr>
        <w:t>, 42, 48</w:t>
      </w:r>
    </w:p>
    <w:p w14:paraId="4C54F382" w14:textId="77777777" w:rsidR="007E3004" w:rsidRDefault="007E3004">
      <w:pPr>
        <w:pStyle w:val="IndexHeading"/>
        <w:keepNext/>
        <w:tabs>
          <w:tab w:val="right" w:leader="dot" w:pos="3014"/>
        </w:tabs>
        <w:rPr>
          <w:b w:val="0"/>
          <w:bCs w:val="0"/>
          <w:noProof/>
        </w:rPr>
      </w:pPr>
      <w:r>
        <w:rPr>
          <w:noProof/>
        </w:rPr>
        <w:lastRenderedPageBreak/>
        <w:t>P</w:t>
      </w:r>
    </w:p>
    <w:p w14:paraId="720EAAC0" w14:textId="77777777" w:rsidR="007E3004" w:rsidRDefault="007E3004">
      <w:pPr>
        <w:pStyle w:val="Index1"/>
        <w:tabs>
          <w:tab w:val="right" w:leader="dot" w:pos="3014"/>
        </w:tabs>
        <w:rPr>
          <w:noProof/>
        </w:rPr>
      </w:pPr>
      <w:r w:rsidRPr="00C94C92">
        <w:rPr>
          <w:rFonts w:cs="Times New Roman"/>
          <w:noProof/>
        </w:rPr>
        <w:t>payment recast</w:t>
      </w:r>
      <w:r>
        <w:rPr>
          <w:noProof/>
        </w:rPr>
        <w:t>, 12</w:t>
      </w:r>
    </w:p>
    <w:p w14:paraId="37B97080" w14:textId="77777777" w:rsidR="007E3004" w:rsidRDefault="007E3004">
      <w:pPr>
        <w:pStyle w:val="Index1"/>
        <w:tabs>
          <w:tab w:val="right" w:leader="dot" w:pos="3014"/>
        </w:tabs>
        <w:rPr>
          <w:noProof/>
        </w:rPr>
      </w:pPr>
      <w:r w:rsidRPr="00C94C92">
        <w:rPr>
          <w:rFonts w:cs="Times New Roman"/>
          <w:noProof/>
        </w:rPr>
        <w:t>PE Ratios</w:t>
      </w:r>
      <w:r>
        <w:rPr>
          <w:noProof/>
        </w:rPr>
        <w:t>, 38</w:t>
      </w:r>
    </w:p>
    <w:p w14:paraId="601DB5CA" w14:textId="77777777" w:rsidR="007E3004" w:rsidRDefault="007E3004">
      <w:pPr>
        <w:pStyle w:val="Index1"/>
        <w:tabs>
          <w:tab w:val="right" w:leader="dot" w:pos="3014"/>
        </w:tabs>
        <w:rPr>
          <w:noProof/>
        </w:rPr>
      </w:pPr>
      <w:r w:rsidRPr="00C94C92">
        <w:rPr>
          <w:rFonts w:cs="Times New Roman"/>
          <w:noProof/>
        </w:rPr>
        <w:t>peak-to-trough</w:t>
      </w:r>
      <w:r>
        <w:rPr>
          <w:noProof/>
        </w:rPr>
        <w:t>, 144, 145, 146, 147</w:t>
      </w:r>
    </w:p>
    <w:p w14:paraId="6ED3F7AC" w14:textId="77777777" w:rsidR="007E3004" w:rsidRDefault="007E3004">
      <w:pPr>
        <w:pStyle w:val="Index1"/>
        <w:tabs>
          <w:tab w:val="right" w:leader="dot" w:pos="3014"/>
        </w:tabs>
        <w:rPr>
          <w:noProof/>
        </w:rPr>
      </w:pPr>
      <w:r w:rsidRPr="00C94C92">
        <w:rPr>
          <w:rFonts w:cs="Times New Roman"/>
          <w:noProof/>
        </w:rPr>
        <w:t>pergraniteel</w:t>
      </w:r>
      <w:r>
        <w:rPr>
          <w:noProof/>
        </w:rPr>
        <w:t>, 26</w:t>
      </w:r>
    </w:p>
    <w:p w14:paraId="54D173E6" w14:textId="77777777" w:rsidR="007E3004" w:rsidRDefault="007E3004">
      <w:pPr>
        <w:pStyle w:val="Index1"/>
        <w:tabs>
          <w:tab w:val="right" w:leader="dot" w:pos="3014"/>
        </w:tabs>
        <w:rPr>
          <w:noProof/>
        </w:rPr>
      </w:pPr>
      <w:r w:rsidRPr="00C94C92">
        <w:rPr>
          <w:rFonts w:cs="Times New Roman"/>
          <w:noProof/>
        </w:rPr>
        <w:t>poison pill</w:t>
      </w:r>
      <w:r>
        <w:rPr>
          <w:noProof/>
        </w:rPr>
        <w:t>, 191</w:t>
      </w:r>
    </w:p>
    <w:p w14:paraId="0258267C" w14:textId="77777777" w:rsidR="007E3004" w:rsidRDefault="007E3004">
      <w:pPr>
        <w:pStyle w:val="Index1"/>
        <w:tabs>
          <w:tab w:val="right" w:leader="dot" w:pos="3014"/>
        </w:tabs>
        <w:rPr>
          <w:noProof/>
        </w:rPr>
      </w:pPr>
      <w:r w:rsidRPr="00C94C92">
        <w:rPr>
          <w:rFonts w:cs="Times New Roman"/>
          <w:noProof/>
        </w:rPr>
        <w:t>Ponzi Scheme</w:t>
      </w:r>
      <w:r>
        <w:rPr>
          <w:noProof/>
        </w:rPr>
        <w:t>, 124, 125</w:t>
      </w:r>
    </w:p>
    <w:p w14:paraId="0AC9140E" w14:textId="77777777" w:rsidR="007E3004" w:rsidRDefault="007E3004">
      <w:pPr>
        <w:pStyle w:val="Index1"/>
        <w:tabs>
          <w:tab w:val="right" w:leader="dot" w:pos="3014"/>
        </w:tabs>
        <w:rPr>
          <w:noProof/>
        </w:rPr>
      </w:pPr>
      <w:r w:rsidRPr="00C94C92">
        <w:rPr>
          <w:rFonts w:cs="Times New Roman"/>
          <w:noProof/>
        </w:rPr>
        <w:t>Pottersville</w:t>
      </w:r>
      <w:r>
        <w:rPr>
          <w:noProof/>
        </w:rPr>
        <w:t>, 131</w:t>
      </w:r>
    </w:p>
    <w:p w14:paraId="5F13089F" w14:textId="77777777" w:rsidR="007E3004" w:rsidRDefault="007E3004">
      <w:pPr>
        <w:pStyle w:val="Index1"/>
        <w:tabs>
          <w:tab w:val="right" w:leader="dot" w:pos="3014"/>
        </w:tabs>
        <w:rPr>
          <w:noProof/>
        </w:rPr>
      </w:pPr>
      <w:r w:rsidRPr="00C94C92">
        <w:rPr>
          <w:rFonts w:cs="Times New Roman"/>
          <w:noProof/>
        </w:rPr>
        <w:t>precipitating factor</w:t>
      </w:r>
      <w:r>
        <w:rPr>
          <w:noProof/>
        </w:rPr>
        <w:t>, 1, 59, 115</w:t>
      </w:r>
    </w:p>
    <w:p w14:paraId="783E9AAF" w14:textId="77777777" w:rsidR="007E3004" w:rsidRDefault="007E3004">
      <w:pPr>
        <w:pStyle w:val="Index1"/>
        <w:tabs>
          <w:tab w:val="right" w:leader="dot" w:pos="3014"/>
        </w:tabs>
        <w:rPr>
          <w:noProof/>
        </w:rPr>
      </w:pPr>
      <w:r w:rsidRPr="00C94C92">
        <w:rPr>
          <w:rFonts w:cs="Times New Roman"/>
          <w:noProof/>
        </w:rPr>
        <w:t>predatory borrowing</w:t>
      </w:r>
      <w:r>
        <w:rPr>
          <w:noProof/>
        </w:rPr>
        <w:t>, 172</w:t>
      </w:r>
    </w:p>
    <w:p w14:paraId="14C121D0" w14:textId="77777777" w:rsidR="007E3004" w:rsidRDefault="007E3004">
      <w:pPr>
        <w:pStyle w:val="Index1"/>
        <w:tabs>
          <w:tab w:val="right" w:leader="dot" w:pos="3014"/>
        </w:tabs>
        <w:rPr>
          <w:noProof/>
        </w:rPr>
      </w:pPr>
      <w:r w:rsidRPr="00C94C92">
        <w:rPr>
          <w:rFonts w:cs="Times New Roman"/>
          <w:noProof/>
        </w:rPr>
        <w:t>prepaid interest points</w:t>
      </w:r>
      <w:r>
        <w:rPr>
          <w:noProof/>
        </w:rPr>
        <w:t>, 42</w:t>
      </w:r>
    </w:p>
    <w:p w14:paraId="503AF42A" w14:textId="77777777" w:rsidR="007E3004" w:rsidRDefault="007E3004">
      <w:pPr>
        <w:pStyle w:val="Index1"/>
        <w:tabs>
          <w:tab w:val="right" w:leader="dot" w:pos="3014"/>
        </w:tabs>
        <w:rPr>
          <w:noProof/>
        </w:rPr>
      </w:pPr>
      <w:r w:rsidRPr="00C94C92">
        <w:rPr>
          <w:rFonts w:cs="Times New Roman"/>
          <w:noProof/>
        </w:rPr>
        <w:t>price volatility</w:t>
      </w:r>
      <w:r>
        <w:rPr>
          <w:noProof/>
        </w:rPr>
        <w:t>, 9, 41</w:t>
      </w:r>
    </w:p>
    <w:p w14:paraId="00B5D3AA" w14:textId="77777777" w:rsidR="007E3004" w:rsidRDefault="007E3004">
      <w:pPr>
        <w:pStyle w:val="Index1"/>
        <w:tabs>
          <w:tab w:val="right" w:leader="dot" w:pos="3014"/>
        </w:tabs>
        <w:rPr>
          <w:noProof/>
        </w:rPr>
      </w:pPr>
      <w:r w:rsidRPr="00C94C92">
        <w:rPr>
          <w:rFonts w:cs="Times New Roman"/>
          <w:noProof/>
        </w:rPr>
        <w:t>price-to-cost</w:t>
      </w:r>
      <w:r>
        <w:rPr>
          <w:noProof/>
        </w:rPr>
        <w:t>, 38</w:t>
      </w:r>
    </w:p>
    <w:p w14:paraId="5A85E385" w14:textId="77777777" w:rsidR="007E3004" w:rsidRDefault="007E3004">
      <w:pPr>
        <w:pStyle w:val="Index1"/>
        <w:tabs>
          <w:tab w:val="right" w:leader="dot" w:pos="3014"/>
        </w:tabs>
        <w:rPr>
          <w:noProof/>
        </w:rPr>
      </w:pPr>
      <w:r w:rsidRPr="00C94C92">
        <w:rPr>
          <w:rFonts w:cs="Times New Roman"/>
          <w:noProof/>
        </w:rPr>
        <w:t>price-to-income</w:t>
      </w:r>
      <w:r>
        <w:rPr>
          <w:noProof/>
        </w:rPr>
        <w:t>, 75, 79, 80, 82, 145, 146, 147, 167, 183</w:t>
      </w:r>
    </w:p>
    <w:p w14:paraId="5D763916" w14:textId="77777777" w:rsidR="007E3004" w:rsidRDefault="007E3004">
      <w:pPr>
        <w:pStyle w:val="Index1"/>
        <w:tabs>
          <w:tab w:val="right" w:leader="dot" w:pos="3014"/>
        </w:tabs>
        <w:rPr>
          <w:noProof/>
        </w:rPr>
      </w:pPr>
      <w:r w:rsidRPr="00C94C92">
        <w:rPr>
          <w:rFonts w:cs="Times New Roman"/>
          <w:noProof/>
        </w:rPr>
        <w:t>price-to-payment</w:t>
      </w:r>
      <w:r>
        <w:rPr>
          <w:noProof/>
        </w:rPr>
        <w:t>, 38</w:t>
      </w:r>
    </w:p>
    <w:p w14:paraId="1B78E925" w14:textId="77777777" w:rsidR="007E3004" w:rsidRDefault="007E3004">
      <w:pPr>
        <w:pStyle w:val="Index1"/>
        <w:tabs>
          <w:tab w:val="right" w:leader="dot" w:pos="3014"/>
        </w:tabs>
        <w:rPr>
          <w:noProof/>
        </w:rPr>
      </w:pPr>
      <w:r w:rsidRPr="00C94C92">
        <w:rPr>
          <w:rFonts w:cs="Times New Roman"/>
          <w:noProof/>
        </w:rPr>
        <w:t>price-to-rent</w:t>
      </w:r>
      <w:r>
        <w:rPr>
          <w:noProof/>
        </w:rPr>
        <w:t>, 38, 82, 107, 142, 143, 144, 145, 167</w:t>
      </w:r>
    </w:p>
    <w:p w14:paraId="0894F65A" w14:textId="77777777" w:rsidR="007E3004" w:rsidRDefault="007E3004">
      <w:pPr>
        <w:pStyle w:val="Index1"/>
        <w:tabs>
          <w:tab w:val="right" w:leader="dot" w:pos="3014"/>
        </w:tabs>
        <w:rPr>
          <w:noProof/>
        </w:rPr>
      </w:pPr>
      <w:r w:rsidRPr="00C94C92">
        <w:rPr>
          <w:rFonts w:cs="Times New Roman"/>
          <w:noProof/>
        </w:rPr>
        <w:t>Prime</w:t>
      </w:r>
      <w:r>
        <w:rPr>
          <w:noProof/>
        </w:rPr>
        <w:t>, 12, 13, 66, 92, 97, 101</w:t>
      </w:r>
    </w:p>
    <w:p w14:paraId="55BBA03A" w14:textId="77777777" w:rsidR="007E3004" w:rsidRDefault="007E3004">
      <w:pPr>
        <w:pStyle w:val="Index1"/>
        <w:tabs>
          <w:tab w:val="right" w:leader="dot" w:pos="3014"/>
        </w:tabs>
        <w:rPr>
          <w:noProof/>
        </w:rPr>
      </w:pPr>
      <w:r w:rsidRPr="00C94C92">
        <w:rPr>
          <w:rFonts w:cs="Times New Roman"/>
          <w:noProof/>
        </w:rPr>
        <w:t>private mortgage insurance</w:t>
      </w:r>
      <w:r>
        <w:rPr>
          <w:noProof/>
        </w:rPr>
        <w:t>, 33, 34</w:t>
      </w:r>
    </w:p>
    <w:p w14:paraId="19FEC07E" w14:textId="77777777" w:rsidR="007E3004" w:rsidRDefault="007E3004">
      <w:pPr>
        <w:pStyle w:val="Index1"/>
        <w:tabs>
          <w:tab w:val="right" w:leader="dot" w:pos="3014"/>
        </w:tabs>
        <w:rPr>
          <w:noProof/>
        </w:rPr>
      </w:pPr>
      <w:r w:rsidRPr="00C94C92">
        <w:rPr>
          <w:rFonts w:cs="Times New Roman"/>
          <w:noProof/>
        </w:rPr>
        <w:t>Production homebuilders</w:t>
      </w:r>
      <w:r>
        <w:rPr>
          <w:noProof/>
        </w:rPr>
        <w:t>, 52</w:t>
      </w:r>
    </w:p>
    <w:p w14:paraId="5D2B5912" w14:textId="77777777" w:rsidR="007E3004" w:rsidRDefault="007E3004">
      <w:pPr>
        <w:pStyle w:val="Index1"/>
        <w:tabs>
          <w:tab w:val="right" w:leader="dot" w:pos="3014"/>
        </w:tabs>
        <w:rPr>
          <w:noProof/>
        </w:rPr>
      </w:pPr>
      <w:r w:rsidRPr="00C94C92">
        <w:rPr>
          <w:rFonts w:cs="Times New Roman"/>
          <w:noProof/>
        </w:rPr>
        <w:t>Property taxes</w:t>
      </w:r>
      <w:r>
        <w:rPr>
          <w:noProof/>
        </w:rPr>
        <w:t>, 33</w:t>
      </w:r>
    </w:p>
    <w:p w14:paraId="6304E353" w14:textId="77777777" w:rsidR="007E3004" w:rsidRDefault="007E3004">
      <w:pPr>
        <w:pStyle w:val="Index1"/>
        <w:tabs>
          <w:tab w:val="right" w:leader="dot" w:pos="3014"/>
        </w:tabs>
        <w:rPr>
          <w:noProof/>
        </w:rPr>
      </w:pPr>
      <w:r w:rsidRPr="00C94C92">
        <w:rPr>
          <w:rFonts w:cs="Times New Roman"/>
          <w:noProof/>
        </w:rPr>
        <w:t>pulled forward</w:t>
      </w:r>
      <w:r>
        <w:rPr>
          <w:noProof/>
        </w:rPr>
        <w:t>, 100</w:t>
      </w:r>
    </w:p>
    <w:p w14:paraId="4D91D48C" w14:textId="77777777" w:rsidR="007E3004" w:rsidRDefault="007E3004">
      <w:pPr>
        <w:pStyle w:val="Index1"/>
        <w:tabs>
          <w:tab w:val="right" w:leader="dot" w:pos="3014"/>
        </w:tabs>
        <w:rPr>
          <w:noProof/>
        </w:rPr>
      </w:pPr>
      <w:r w:rsidRPr="00C94C92">
        <w:rPr>
          <w:rFonts w:cs="Times New Roman"/>
          <w:noProof/>
        </w:rPr>
        <w:t>purchase-money mortgage</w:t>
      </w:r>
      <w:r>
        <w:rPr>
          <w:noProof/>
        </w:rPr>
        <w:t>, 111</w:t>
      </w:r>
    </w:p>
    <w:p w14:paraId="6E93E030" w14:textId="77777777" w:rsidR="007E3004" w:rsidRDefault="007E3004">
      <w:pPr>
        <w:pStyle w:val="Index1"/>
        <w:tabs>
          <w:tab w:val="right" w:leader="dot" w:pos="3014"/>
        </w:tabs>
        <w:rPr>
          <w:noProof/>
        </w:rPr>
      </w:pPr>
      <w:r w:rsidRPr="00C94C92">
        <w:rPr>
          <w:rFonts w:cs="Times New Roman"/>
          <w:noProof/>
        </w:rPr>
        <w:t>put option</w:t>
      </w:r>
      <w:r>
        <w:rPr>
          <w:noProof/>
        </w:rPr>
        <w:t>, 111, 112</w:t>
      </w:r>
    </w:p>
    <w:p w14:paraId="3A0C8FC4" w14:textId="77777777" w:rsidR="007E3004" w:rsidRDefault="007E3004">
      <w:pPr>
        <w:pStyle w:val="IndexHeading"/>
        <w:keepNext/>
        <w:tabs>
          <w:tab w:val="right" w:leader="dot" w:pos="3014"/>
        </w:tabs>
        <w:rPr>
          <w:b w:val="0"/>
          <w:bCs w:val="0"/>
          <w:noProof/>
        </w:rPr>
      </w:pPr>
      <w:r>
        <w:rPr>
          <w:noProof/>
        </w:rPr>
        <w:t>R</w:t>
      </w:r>
    </w:p>
    <w:p w14:paraId="0EF4357D" w14:textId="77777777" w:rsidR="007E3004" w:rsidRDefault="007E3004">
      <w:pPr>
        <w:pStyle w:val="Index1"/>
        <w:tabs>
          <w:tab w:val="right" w:leader="dot" w:pos="3014"/>
        </w:tabs>
        <w:rPr>
          <w:noProof/>
        </w:rPr>
      </w:pPr>
      <w:r w:rsidRPr="00C94C92">
        <w:rPr>
          <w:rFonts w:cs="Times New Roman"/>
          <w:noProof/>
        </w:rPr>
        <w:t>rating agencies</w:t>
      </w:r>
      <w:r>
        <w:rPr>
          <w:noProof/>
        </w:rPr>
        <w:t>, 63, 64, 65</w:t>
      </w:r>
    </w:p>
    <w:p w14:paraId="49B4A35F" w14:textId="77777777" w:rsidR="007E3004" w:rsidRDefault="007E3004">
      <w:pPr>
        <w:pStyle w:val="Index1"/>
        <w:tabs>
          <w:tab w:val="right" w:leader="dot" w:pos="3014"/>
        </w:tabs>
        <w:rPr>
          <w:noProof/>
        </w:rPr>
      </w:pPr>
      <w:r w:rsidRPr="00C94C92">
        <w:rPr>
          <w:rFonts w:cs="Times New Roman"/>
          <w:noProof/>
        </w:rPr>
        <w:t>real estate broker</w:t>
      </w:r>
      <w:r>
        <w:rPr>
          <w:noProof/>
        </w:rPr>
        <w:t>, 42</w:t>
      </w:r>
    </w:p>
    <w:p w14:paraId="31EC5EBC" w14:textId="77777777" w:rsidR="007E3004" w:rsidRDefault="007E3004">
      <w:pPr>
        <w:pStyle w:val="Index1"/>
        <w:tabs>
          <w:tab w:val="right" w:leader="dot" w:pos="3014"/>
        </w:tabs>
        <w:rPr>
          <w:noProof/>
        </w:rPr>
      </w:pPr>
      <w:r>
        <w:rPr>
          <w:noProof/>
        </w:rPr>
        <w:t>real estate investment trust. See REIT</w:t>
      </w:r>
    </w:p>
    <w:p w14:paraId="53FB295D" w14:textId="77777777" w:rsidR="007E3004" w:rsidRDefault="007E3004">
      <w:pPr>
        <w:pStyle w:val="Index1"/>
        <w:tabs>
          <w:tab w:val="right" w:leader="dot" w:pos="3014"/>
        </w:tabs>
        <w:rPr>
          <w:noProof/>
        </w:rPr>
      </w:pPr>
      <w:r w:rsidRPr="00C94C92">
        <w:rPr>
          <w:rFonts w:cs="Times New Roman"/>
          <w:noProof/>
        </w:rPr>
        <w:t>Real Estate Owned</w:t>
      </w:r>
      <w:r>
        <w:rPr>
          <w:noProof/>
        </w:rPr>
        <w:t xml:space="preserve">, 95, </w:t>
      </w:r>
      <w:r w:rsidRPr="00C94C92">
        <w:rPr>
          <w:i/>
          <w:noProof/>
        </w:rPr>
        <w:t>See</w:t>
      </w:r>
      <w:r>
        <w:rPr>
          <w:noProof/>
        </w:rPr>
        <w:t xml:space="preserve"> REOs</w:t>
      </w:r>
    </w:p>
    <w:p w14:paraId="656EB12B" w14:textId="77777777" w:rsidR="007E3004" w:rsidRDefault="007E3004">
      <w:pPr>
        <w:pStyle w:val="Index1"/>
        <w:tabs>
          <w:tab w:val="right" w:leader="dot" w:pos="3014"/>
        </w:tabs>
        <w:rPr>
          <w:noProof/>
        </w:rPr>
      </w:pPr>
      <w:r w:rsidRPr="00C94C92">
        <w:rPr>
          <w:rFonts w:cs="Times New Roman"/>
          <w:noProof/>
        </w:rPr>
        <w:t>Realtors</w:t>
      </w:r>
      <w:r>
        <w:rPr>
          <w:noProof/>
        </w:rPr>
        <w:t>, 104, 176, 194</w:t>
      </w:r>
    </w:p>
    <w:p w14:paraId="628FBD66" w14:textId="77777777" w:rsidR="007E3004" w:rsidRDefault="007E3004">
      <w:pPr>
        <w:pStyle w:val="Index1"/>
        <w:tabs>
          <w:tab w:val="right" w:leader="dot" w:pos="3014"/>
        </w:tabs>
        <w:rPr>
          <w:noProof/>
        </w:rPr>
      </w:pPr>
      <w:r w:rsidRPr="00C94C92">
        <w:rPr>
          <w:rFonts w:cs="Times New Roman"/>
          <w:noProof/>
        </w:rPr>
        <w:t>recession of 2001</w:t>
      </w:r>
      <w:r>
        <w:rPr>
          <w:noProof/>
        </w:rPr>
        <w:t>, 25, 26</w:t>
      </w:r>
    </w:p>
    <w:p w14:paraId="3F61D8C8" w14:textId="77777777" w:rsidR="007E3004" w:rsidRDefault="007E3004">
      <w:pPr>
        <w:pStyle w:val="Index1"/>
        <w:tabs>
          <w:tab w:val="right" w:leader="dot" w:pos="3014"/>
        </w:tabs>
        <w:rPr>
          <w:noProof/>
        </w:rPr>
      </w:pPr>
      <w:r w:rsidRPr="00C94C92">
        <w:rPr>
          <w:rFonts w:cs="Times New Roman"/>
          <w:noProof/>
        </w:rPr>
        <w:t>recording fees</w:t>
      </w:r>
      <w:r>
        <w:rPr>
          <w:noProof/>
        </w:rPr>
        <w:t>, 42</w:t>
      </w:r>
    </w:p>
    <w:p w14:paraId="27C64B9F" w14:textId="77777777" w:rsidR="007E3004" w:rsidRDefault="007E3004">
      <w:pPr>
        <w:pStyle w:val="Index1"/>
        <w:tabs>
          <w:tab w:val="right" w:leader="dot" w:pos="3014"/>
        </w:tabs>
        <w:rPr>
          <w:noProof/>
        </w:rPr>
      </w:pPr>
      <w:r w:rsidRPr="00C94C92">
        <w:rPr>
          <w:rFonts w:cs="Times New Roman"/>
          <w:noProof/>
        </w:rPr>
        <w:t>regulated free-market</w:t>
      </w:r>
      <w:r>
        <w:rPr>
          <w:noProof/>
        </w:rPr>
        <w:t>, 179</w:t>
      </w:r>
    </w:p>
    <w:p w14:paraId="7D4FD9DE" w14:textId="77777777" w:rsidR="007E3004" w:rsidRDefault="007E3004">
      <w:pPr>
        <w:pStyle w:val="Index1"/>
        <w:tabs>
          <w:tab w:val="right" w:leader="dot" w:pos="3014"/>
        </w:tabs>
        <w:rPr>
          <w:noProof/>
        </w:rPr>
      </w:pPr>
      <w:r>
        <w:rPr>
          <w:noProof/>
        </w:rPr>
        <w:t>REIT, 97</w:t>
      </w:r>
    </w:p>
    <w:p w14:paraId="7B6601F2" w14:textId="77777777" w:rsidR="007E3004" w:rsidRDefault="007E3004">
      <w:pPr>
        <w:pStyle w:val="Index1"/>
        <w:tabs>
          <w:tab w:val="right" w:leader="dot" w:pos="3014"/>
        </w:tabs>
        <w:rPr>
          <w:noProof/>
        </w:rPr>
      </w:pPr>
      <w:r w:rsidRPr="00C94C92">
        <w:rPr>
          <w:rFonts w:cs="Times New Roman"/>
          <w:noProof/>
        </w:rPr>
        <w:t>Rent Savers</w:t>
      </w:r>
      <w:r>
        <w:rPr>
          <w:noProof/>
        </w:rPr>
        <w:t>, 106, 107, 145, 162, 163</w:t>
      </w:r>
    </w:p>
    <w:p w14:paraId="13659B20" w14:textId="77777777" w:rsidR="007E3004" w:rsidRDefault="007E3004">
      <w:pPr>
        <w:pStyle w:val="Index1"/>
        <w:tabs>
          <w:tab w:val="right" w:leader="dot" w:pos="3014"/>
        </w:tabs>
        <w:rPr>
          <w:noProof/>
        </w:rPr>
      </w:pPr>
      <w:r w:rsidRPr="00C94C92">
        <w:rPr>
          <w:rFonts w:cs="Times New Roman"/>
          <w:noProof/>
        </w:rPr>
        <w:t>rent skimming</w:t>
      </w:r>
      <w:r>
        <w:rPr>
          <w:noProof/>
        </w:rPr>
        <w:t>, 110</w:t>
      </w:r>
    </w:p>
    <w:p w14:paraId="3BFCD7FE" w14:textId="77777777" w:rsidR="007E3004" w:rsidRDefault="007E3004">
      <w:pPr>
        <w:pStyle w:val="Index1"/>
        <w:tabs>
          <w:tab w:val="right" w:leader="dot" w:pos="3014"/>
        </w:tabs>
        <w:rPr>
          <w:noProof/>
        </w:rPr>
      </w:pPr>
      <w:r w:rsidRPr="00C94C92">
        <w:rPr>
          <w:rFonts w:cs="Times New Roman"/>
          <w:noProof/>
        </w:rPr>
        <w:t>Rental equivalence</w:t>
      </w:r>
      <w:r>
        <w:rPr>
          <w:noProof/>
        </w:rPr>
        <w:t xml:space="preserve">. </w:t>
      </w:r>
      <w:r w:rsidRPr="00C94C92">
        <w:rPr>
          <w:i/>
          <w:noProof/>
        </w:rPr>
        <w:t>See</w:t>
      </w:r>
      <w:r>
        <w:rPr>
          <w:noProof/>
        </w:rPr>
        <w:t xml:space="preserve"> Equivalent Rents</w:t>
      </w:r>
    </w:p>
    <w:p w14:paraId="6DF6FC0B" w14:textId="77777777" w:rsidR="007E3004" w:rsidRDefault="007E3004">
      <w:pPr>
        <w:pStyle w:val="Index1"/>
        <w:tabs>
          <w:tab w:val="right" w:leader="dot" w:pos="3014"/>
        </w:tabs>
        <w:rPr>
          <w:noProof/>
        </w:rPr>
      </w:pPr>
      <w:r w:rsidRPr="00C94C92">
        <w:rPr>
          <w:rFonts w:cs="Times New Roman"/>
          <w:noProof/>
        </w:rPr>
        <w:t>rental equivalent value</w:t>
      </w:r>
      <w:r>
        <w:rPr>
          <w:noProof/>
        </w:rPr>
        <w:t>, 23, 43, 47, 84, 91</w:t>
      </w:r>
    </w:p>
    <w:p w14:paraId="37302ADB" w14:textId="77777777" w:rsidR="007E3004" w:rsidRDefault="007E3004">
      <w:pPr>
        <w:pStyle w:val="Index1"/>
        <w:tabs>
          <w:tab w:val="right" w:leader="dot" w:pos="3014"/>
        </w:tabs>
        <w:rPr>
          <w:noProof/>
        </w:rPr>
      </w:pPr>
      <w:r w:rsidRPr="00C94C92">
        <w:rPr>
          <w:rFonts w:cs="Times New Roman"/>
          <w:noProof/>
        </w:rPr>
        <w:t>rental parity</w:t>
      </w:r>
      <w:r>
        <w:rPr>
          <w:noProof/>
        </w:rPr>
        <w:t>, 38, 163</w:t>
      </w:r>
    </w:p>
    <w:p w14:paraId="4DE8ECF3" w14:textId="77777777" w:rsidR="007E3004" w:rsidRDefault="007E3004">
      <w:pPr>
        <w:pStyle w:val="Index1"/>
        <w:tabs>
          <w:tab w:val="right" w:leader="dot" w:pos="3014"/>
        </w:tabs>
        <w:rPr>
          <w:noProof/>
        </w:rPr>
      </w:pPr>
      <w:r w:rsidRPr="00C94C92">
        <w:rPr>
          <w:rFonts w:cs="Times New Roman"/>
          <w:noProof/>
        </w:rPr>
        <w:t>rental properties</w:t>
      </w:r>
      <w:r>
        <w:rPr>
          <w:noProof/>
        </w:rPr>
        <w:t>, 104, 107, 110</w:t>
      </w:r>
    </w:p>
    <w:p w14:paraId="7BD6F480" w14:textId="77777777" w:rsidR="007E3004" w:rsidRDefault="007E3004">
      <w:pPr>
        <w:pStyle w:val="Index1"/>
        <w:tabs>
          <w:tab w:val="right" w:leader="dot" w:pos="3014"/>
        </w:tabs>
        <w:rPr>
          <w:noProof/>
        </w:rPr>
      </w:pPr>
      <w:r w:rsidRPr="00C94C92">
        <w:rPr>
          <w:rFonts w:cs="Times New Roman"/>
          <w:noProof/>
        </w:rPr>
        <w:t>rent-to-income</w:t>
      </w:r>
      <w:r>
        <w:rPr>
          <w:noProof/>
        </w:rPr>
        <w:t>, 82</w:t>
      </w:r>
    </w:p>
    <w:p w14:paraId="006EC49F" w14:textId="77777777" w:rsidR="007E3004" w:rsidRDefault="007E3004">
      <w:pPr>
        <w:pStyle w:val="Index1"/>
        <w:tabs>
          <w:tab w:val="right" w:leader="dot" w:pos="3014"/>
        </w:tabs>
        <w:rPr>
          <w:noProof/>
        </w:rPr>
      </w:pPr>
      <w:r w:rsidRPr="00C94C92">
        <w:rPr>
          <w:rFonts w:cs="Times New Roman"/>
          <w:noProof/>
        </w:rPr>
        <w:t>REOs</w:t>
      </w:r>
      <w:r>
        <w:rPr>
          <w:noProof/>
        </w:rPr>
        <w:t>, 95, 97, 137</w:t>
      </w:r>
    </w:p>
    <w:p w14:paraId="3479AD74" w14:textId="77777777" w:rsidR="007E3004" w:rsidRDefault="007E3004">
      <w:pPr>
        <w:pStyle w:val="Index1"/>
        <w:tabs>
          <w:tab w:val="right" w:leader="dot" w:pos="3014"/>
        </w:tabs>
        <w:rPr>
          <w:noProof/>
        </w:rPr>
      </w:pPr>
      <w:r w:rsidRPr="00C94C92">
        <w:rPr>
          <w:rFonts w:cs="Times New Roman"/>
          <w:noProof/>
        </w:rPr>
        <w:t>retirement savings</w:t>
      </w:r>
      <w:r>
        <w:rPr>
          <w:noProof/>
        </w:rPr>
        <w:t>, 21, 35</w:t>
      </w:r>
    </w:p>
    <w:p w14:paraId="3AFFFCA1" w14:textId="77777777" w:rsidR="007E3004" w:rsidRDefault="007E3004">
      <w:pPr>
        <w:pStyle w:val="Index1"/>
        <w:tabs>
          <w:tab w:val="right" w:leader="dot" w:pos="3014"/>
        </w:tabs>
        <w:rPr>
          <w:noProof/>
        </w:rPr>
      </w:pPr>
      <w:r w:rsidRPr="00C94C92">
        <w:rPr>
          <w:rFonts w:cs="Times New Roman"/>
          <w:noProof/>
        </w:rPr>
        <w:t>return on investment</w:t>
      </w:r>
      <w:r>
        <w:rPr>
          <w:noProof/>
        </w:rPr>
        <w:t>, 39, 40, 41, 111</w:t>
      </w:r>
    </w:p>
    <w:p w14:paraId="098B8864" w14:textId="77777777" w:rsidR="007E3004" w:rsidRDefault="007E3004">
      <w:pPr>
        <w:pStyle w:val="Index1"/>
        <w:tabs>
          <w:tab w:val="right" w:leader="dot" w:pos="3014"/>
        </w:tabs>
        <w:rPr>
          <w:noProof/>
        </w:rPr>
      </w:pPr>
      <w:r w:rsidRPr="00C94C92">
        <w:rPr>
          <w:rFonts w:cs="Times New Roman"/>
          <w:noProof/>
        </w:rPr>
        <w:t>risk premium</w:t>
      </w:r>
      <w:r>
        <w:rPr>
          <w:noProof/>
        </w:rPr>
        <w:t>, 10, 11, 100, 155</w:t>
      </w:r>
    </w:p>
    <w:p w14:paraId="48FC22AB" w14:textId="77777777" w:rsidR="007E3004" w:rsidRDefault="007E3004">
      <w:pPr>
        <w:pStyle w:val="Index1"/>
        <w:tabs>
          <w:tab w:val="right" w:leader="dot" w:pos="3014"/>
        </w:tabs>
        <w:rPr>
          <w:noProof/>
        </w:rPr>
      </w:pPr>
      <w:r w:rsidRPr="00C94C92">
        <w:rPr>
          <w:rFonts w:cs="Times New Roman"/>
          <w:noProof/>
        </w:rPr>
        <w:t>risk synergy</w:t>
      </w:r>
      <w:r>
        <w:rPr>
          <w:noProof/>
        </w:rPr>
        <w:t>, 65</w:t>
      </w:r>
    </w:p>
    <w:p w14:paraId="0BCAD8C2" w14:textId="77777777" w:rsidR="007E3004" w:rsidRDefault="007E3004">
      <w:pPr>
        <w:pStyle w:val="Index1"/>
        <w:tabs>
          <w:tab w:val="right" w:leader="dot" w:pos="3014"/>
        </w:tabs>
        <w:rPr>
          <w:noProof/>
        </w:rPr>
      </w:pPr>
      <w:r w:rsidRPr="00C94C92">
        <w:rPr>
          <w:rFonts w:cs="Times New Roman"/>
          <w:noProof/>
        </w:rPr>
        <w:t>riskless rate of return</w:t>
      </w:r>
      <w:r>
        <w:rPr>
          <w:noProof/>
        </w:rPr>
        <w:t>, 10, 11, 100</w:t>
      </w:r>
    </w:p>
    <w:p w14:paraId="7FEA4DC2" w14:textId="77777777" w:rsidR="007E3004" w:rsidRDefault="007E3004">
      <w:pPr>
        <w:pStyle w:val="Index1"/>
        <w:tabs>
          <w:tab w:val="right" w:leader="dot" w:pos="3014"/>
        </w:tabs>
        <w:rPr>
          <w:noProof/>
        </w:rPr>
      </w:pPr>
      <w:r w:rsidRPr="00C94C92">
        <w:rPr>
          <w:rFonts w:cs="Times New Roman"/>
          <w:noProof/>
        </w:rPr>
        <w:t>Robert Shiller</w:t>
      </w:r>
      <w:r>
        <w:rPr>
          <w:noProof/>
        </w:rPr>
        <w:t>, 77</w:t>
      </w:r>
    </w:p>
    <w:p w14:paraId="5AB61006" w14:textId="77777777" w:rsidR="007E3004" w:rsidRDefault="007E3004">
      <w:pPr>
        <w:pStyle w:val="Index1"/>
        <w:tabs>
          <w:tab w:val="right" w:leader="dot" w:pos="3014"/>
        </w:tabs>
        <w:rPr>
          <w:noProof/>
        </w:rPr>
      </w:pPr>
      <w:r w:rsidRPr="00C94C92">
        <w:rPr>
          <w:rFonts w:cs="Times New Roman"/>
          <w:noProof/>
        </w:rPr>
        <w:t>Roman Empire</w:t>
      </w:r>
      <w:r>
        <w:rPr>
          <w:noProof/>
        </w:rPr>
        <w:t>, 26</w:t>
      </w:r>
    </w:p>
    <w:p w14:paraId="15919C76" w14:textId="77777777" w:rsidR="007E3004" w:rsidRDefault="007E3004">
      <w:pPr>
        <w:pStyle w:val="IndexHeading"/>
        <w:keepNext/>
        <w:tabs>
          <w:tab w:val="right" w:leader="dot" w:pos="3014"/>
        </w:tabs>
        <w:rPr>
          <w:b w:val="0"/>
          <w:bCs w:val="0"/>
          <w:noProof/>
        </w:rPr>
      </w:pPr>
      <w:r>
        <w:rPr>
          <w:noProof/>
        </w:rPr>
        <w:t>S</w:t>
      </w:r>
    </w:p>
    <w:p w14:paraId="0E2C0C06" w14:textId="77777777" w:rsidR="007E3004" w:rsidRDefault="007E3004">
      <w:pPr>
        <w:pStyle w:val="Index1"/>
        <w:tabs>
          <w:tab w:val="right" w:leader="dot" w:pos="3014"/>
        </w:tabs>
        <w:rPr>
          <w:noProof/>
        </w:rPr>
      </w:pPr>
      <w:r w:rsidRPr="00C94C92">
        <w:rPr>
          <w:rFonts w:cs="Times New Roman"/>
          <w:noProof/>
        </w:rPr>
        <w:t>S&amp;P/Case-Shiller</w:t>
      </w:r>
      <w:r>
        <w:rPr>
          <w:noProof/>
        </w:rPr>
        <w:t>, 75, 77, 78, 141, 142, 150, 151, 152</w:t>
      </w:r>
    </w:p>
    <w:p w14:paraId="4AD5FBA6" w14:textId="77777777" w:rsidR="007E3004" w:rsidRDefault="007E3004">
      <w:pPr>
        <w:pStyle w:val="Index1"/>
        <w:tabs>
          <w:tab w:val="right" w:leader="dot" w:pos="3014"/>
        </w:tabs>
        <w:rPr>
          <w:noProof/>
        </w:rPr>
      </w:pPr>
      <w:r w:rsidRPr="00C94C92">
        <w:rPr>
          <w:rFonts w:cs="Times New Roman"/>
          <w:noProof/>
        </w:rPr>
        <w:t>Savings and Loan</w:t>
      </w:r>
      <w:r>
        <w:rPr>
          <w:noProof/>
        </w:rPr>
        <w:t>, 27, 129</w:t>
      </w:r>
    </w:p>
    <w:p w14:paraId="0E23F55C" w14:textId="77777777" w:rsidR="007E3004" w:rsidRDefault="007E3004">
      <w:pPr>
        <w:pStyle w:val="Index1"/>
        <w:tabs>
          <w:tab w:val="right" w:leader="dot" w:pos="3014"/>
        </w:tabs>
        <w:rPr>
          <w:noProof/>
        </w:rPr>
      </w:pPr>
      <w:r w:rsidRPr="00C94C92">
        <w:rPr>
          <w:rFonts w:cs="Times New Roman"/>
          <w:noProof/>
        </w:rPr>
        <w:t>Schadenfreude</w:t>
      </w:r>
      <w:r>
        <w:rPr>
          <w:noProof/>
        </w:rPr>
        <w:t>, xiv</w:t>
      </w:r>
    </w:p>
    <w:p w14:paraId="14888D09" w14:textId="77777777" w:rsidR="007E3004" w:rsidRDefault="007E3004">
      <w:pPr>
        <w:pStyle w:val="Index1"/>
        <w:tabs>
          <w:tab w:val="right" w:leader="dot" w:pos="3014"/>
        </w:tabs>
        <w:rPr>
          <w:noProof/>
        </w:rPr>
      </w:pPr>
      <w:r w:rsidRPr="00C94C92">
        <w:rPr>
          <w:rFonts w:cs="Times New Roman"/>
          <w:noProof/>
        </w:rPr>
        <w:t>scrapers</w:t>
      </w:r>
      <w:r>
        <w:rPr>
          <w:noProof/>
        </w:rPr>
        <w:t>, 52</w:t>
      </w:r>
    </w:p>
    <w:p w14:paraId="5597581A" w14:textId="77777777" w:rsidR="007E3004" w:rsidRDefault="007E3004">
      <w:pPr>
        <w:pStyle w:val="Index1"/>
        <w:tabs>
          <w:tab w:val="right" w:leader="dot" w:pos="3014"/>
        </w:tabs>
        <w:rPr>
          <w:noProof/>
        </w:rPr>
      </w:pPr>
      <w:r w:rsidRPr="00C94C92">
        <w:rPr>
          <w:rFonts w:cs="Times New Roman"/>
          <w:noProof/>
        </w:rPr>
        <w:t>secondary mortgage market</w:t>
      </w:r>
      <w:r>
        <w:rPr>
          <w:noProof/>
        </w:rPr>
        <w:t>, xviii, 1, 10, 57, 58, 63, 70, 73, 127, 128, 183, 184, 185, 187, 190, 191</w:t>
      </w:r>
    </w:p>
    <w:p w14:paraId="2A1BC260" w14:textId="77777777" w:rsidR="007E3004" w:rsidRDefault="007E3004">
      <w:pPr>
        <w:pStyle w:val="Index1"/>
        <w:tabs>
          <w:tab w:val="right" w:leader="dot" w:pos="3014"/>
        </w:tabs>
        <w:rPr>
          <w:noProof/>
        </w:rPr>
      </w:pPr>
      <w:r w:rsidRPr="00C94C92">
        <w:rPr>
          <w:rFonts w:cs="Times New Roman"/>
          <w:noProof/>
        </w:rPr>
        <w:t>selling short</w:t>
      </w:r>
      <w:r>
        <w:rPr>
          <w:noProof/>
        </w:rPr>
        <w:t>, 104</w:t>
      </w:r>
    </w:p>
    <w:p w14:paraId="05FCAA0E" w14:textId="77777777" w:rsidR="007E3004" w:rsidRDefault="007E3004">
      <w:pPr>
        <w:pStyle w:val="Index1"/>
        <w:tabs>
          <w:tab w:val="right" w:leader="dot" w:pos="3014"/>
        </w:tabs>
        <w:rPr>
          <w:noProof/>
        </w:rPr>
      </w:pPr>
      <w:r w:rsidRPr="00C94C92">
        <w:rPr>
          <w:rFonts w:cs="Times New Roman"/>
          <w:noProof/>
        </w:rPr>
        <w:t>senior tranche</w:t>
      </w:r>
      <w:r>
        <w:rPr>
          <w:noProof/>
        </w:rPr>
        <w:t>, 61, 62</w:t>
      </w:r>
    </w:p>
    <w:p w14:paraId="49149202" w14:textId="77777777" w:rsidR="007E3004" w:rsidRDefault="007E3004">
      <w:pPr>
        <w:pStyle w:val="Index1"/>
        <w:tabs>
          <w:tab w:val="right" w:leader="dot" w:pos="3014"/>
        </w:tabs>
        <w:rPr>
          <w:noProof/>
        </w:rPr>
      </w:pPr>
      <w:r w:rsidRPr="00C94C92">
        <w:rPr>
          <w:rFonts w:cs="Times New Roman"/>
          <w:noProof/>
        </w:rPr>
        <w:t>special assessments</w:t>
      </w:r>
      <w:r>
        <w:rPr>
          <w:noProof/>
        </w:rPr>
        <w:t>, 35</w:t>
      </w:r>
    </w:p>
    <w:p w14:paraId="35323609" w14:textId="77777777" w:rsidR="007E3004" w:rsidRDefault="007E3004">
      <w:pPr>
        <w:pStyle w:val="Index1"/>
        <w:tabs>
          <w:tab w:val="right" w:leader="dot" w:pos="3014"/>
        </w:tabs>
        <w:rPr>
          <w:noProof/>
        </w:rPr>
      </w:pPr>
      <w:r w:rsidRPr="00C94C92">
        <w:rPr>
          <w:rFonts w:cs="Times New Roman"/>
          <w:noProof/>
        </w:rPr>
        <w:t>Speculative Equity</w:t>
      </w:r>
      <w:r>
        <w:rPr>
          <w:noProof/>
        </w:rPr>
        <w:t>, 20, 23</w:t>
      </w:r>
    </w:p>
    <w:p w14:paraId="624FD2E8" w14:textId="77777777" w:rsidR="007E3004" w:rsidRDefault="007E3004">
      <w:pPr>
        <w:pStyle w:val="Index1"/>
        <w:tabs>
          <w:tab w:val="right" w:leader="dot" w:pos="3014"/>
        </w:tabs>
        <w:rPr>
          <w:noProof/>
        </w:rPr>
      </w:pPr>
      <w:r w:rsidRPr="00C94C92">
        <w:rPr>
          <w:rFonts w:cs="Times New Roman"/>
          <w:noProof/>
        </w:rPr>
        <w:t>speculative mania</w:t>
      </w:r>
      <w:r>
        <w:rPr>
          <w:noProof/>
        </w:rPr>
        <w:t>, 1, 21, 71, 109, 186</w:t>
      </w:r>
    </w:p>
    <w:p w14:paraId="2B5AEDBE" w14:textId="77777777" w:rsidR="007E3004" w:rsidRDefault="007E3004">
      <w:pPr>
        <w:pStyle w:val="Index1"/>
        <w:tabs>
          <w:tab w:val="right" w:leader="dot" w:pos="3014"/>
        </w:tabs>
        <w:rPr>
          <w:noProof/>
        </w:rPr>
      </w:pPr>
      <w:r w:rsidRPr="00C94C92">
        <w:rPr>
          <w:rFonts w:cs="Times New Roman"/>
          <w:noProof/>
        </w:rPr>
        <w:t>St. Joseph statue</w:t>
      </w:r>
      <w:r>
        <w:rPr>
          <w:noProof/>
        </w:rPr>
        <w:t>, 113</w:t>
      </w:r>
    </w:p>
    <w:p w14:paraId="5A5F553C" w14:textId="77777777" w:rsidR="007E3004" w:rsidRDefault="007E3004">
      <w:pPr>
        <w:pStyle w:val="Index1"/>
        <w:tabs>
          <w:tab w:val="right" w:leader="dot" w:pos="3014"/>
        </w:tabs>
        <w:rPr>
          <w:noProof/>
        </w:rPr>
      </w:pPr>
      <w:r w:rsidRPr="00C94C92">
        <w:rPr>
          <w:rFonts w:cs="Times New Roman"/>
          <w:noProof/>
        </w:rPr>
        <w:t>Standard &amp; Poor’s</w:t>
      </w:r>
      <w:r>
        <w:rPr>
          <w:noProof/>
        </w:rPr>
        <w:t>, 63</w:t>
      </w:r>
    </w:p>
    <w:p w14:paraId="1655B604" w14:textId="77777777" w:rsidR="007E3004" w:rsidRDefault="007E3004">
      <w:pPr>
        <w:pStyle w:val="Index1"/>
        <w:tabs>
          <w:tab w:val="right" w:leader="dot" w:pos="3014"/>
        </w:tabs>
        <w:rPr>
          <w:noProof/>
        </w:rPr>
      </w:pPr>
      <w:r w:rsidRPr="00C94C92">
        <w:rPr>
          <w:rFonts w:cs="Times New Roman"/>
          <w:noProof/>
        </w:rPr>
        <w:t>stated-income</w:t>
      </w:r>
      <w:r>
        <w:rPr>
          <w:noProof/>
        </w:rPr>
        <w:t>, 17, 18, 70, 98, 126, 155, 191</w:t>
      </w:r>
    </w:p>
    <w:p w14:paraId="71347B69" w14:textId="77777777" w:rsidR="007E3004" w:rsidRDefault="007E3004">
      <w:pPr>
        <w:pStyle w:val="Index1"/>
        <w:tabs>
          <w:tab w:val="right" w:leader="dot" w:pos="3014"/>
        </w:tabs>
        <w:rPr>
          <w:noProof/>
        </w:rPr>
      </w:pPr>
      <w:r w:rsidRPr="00C94C92">
        <w:rPr>
          <w:rFonts w:cs="Times New Roman"/>
          <w:noProof/>
        </w:rPr>
        <w:t>stocks</w:t>
      </w:r>
      <w:r>
        <w:rPr>
          <w:noProof/>
        </w:rPr>
        <w:t>, 4, 38, 57, 71, 76, 104, 112</w:t>
      </w:r>
    </w:p>
    <w:p w14:paraId="056F61AF" w14:textId="77777777" w:rsidR="007E3004" w:rsidRDefault="007E3004">
      <w:pPr>
        <w:pStyle w:val="Index1"/>
        <w:tabs>
          <w:tab w:val="right" w:leader="dot" w:pos="3014"/>
        </w:tabs>
        <w:rPr>
          <w:noProof/>
        </w:rPr>
      </w:pPr>
      <w:r w:rsidRPr="00C94C92">
        <w:rPr>
          <w:rFonts w:cs="Times New Roman"/>
          <w:noProof/>
        </w:rPr>
        <w:t>structured finance</w:t>
      </w:r>
      <w:r>
        <w:rPr>
          <w:noProof/>
        </w:rPr>
        <w:t>, 1, 57, 60, 61, 62, 63, 73</w:t>
      </w:r>
    </w:p>
    <w:p w14:paraId="1D0337B0" w14:textId="77777777" w:rsidR="007E3004" w:rsidRDefault="007E3004">
      <w:pPr>
        <w:pStyle w:val="Index1"/>
        <w:tabs>
          <w:tab w:val="right" w:leader="dot" w:pos="3014"/>
        </w:tabs>
        <w:rPr>
          <w:noProof/>
        </w:rPr>
      </w:pPr>
      <w:r w:rsidRPr="00C94C92">
        <w:rPr>
          <w:rFonts w:cs="Times New Roman"/>
          <w:noProof/>
        </w:rPr>
        <w:t>subordinate loans</w:t>
      </w:r>
      <w:r>
        <w:rPr>
          <w:noProof/>
        </w:rPr>
        <w:t>, 34</w:t>
      </w:r>
    </w:p>
    <w:p w14:paraId="1F7C2EDC" w14:textId="77777777" w:rsidR="007E3004" w:rsidRDefault="007E3004">
      <w:pPr>
        <w:pStyle w:val="Index1"/>
        <w:tabs>
          <w:tab w:val="right" w:leader="dot" w:pos="3014"/>
        </w:tabs>
        <w:rPr>
          <w:noProof/>
        </w:rPr>
      </w:pPr>
      <w:r w:rsidRPr="00C94C92">
        <w:rPr>
          <w:rFonts w:cs="Times New Roman"/>
          <w:noProof/>
        </w:rPr>
        <w:t>Subprime</w:t>
      </w:r>
      <w:r>
        <w:rPr>
          <w:noProof/>
        </w:rPr>
        <w:t>, xviii, xix, 12, 13, 19, 59, 64, 66, 71, 86, 92, 97, 183, 186</w:t>
      </w:r>
    </w:p>
    <w:p w14:paraId="7A1E722E" w14:textId="77777777" w:rsidR="007E3004" w:rsidRDefault="007E3004">
      <w:pPr>
        <w:pStyle w:val="Index1"/>
        <w:tabs>
          <w:tab w:val="right" w:leader="dot" w:pos="3014"/>
        </w:tabs>
        <w:rPr>
          <w:noProof/>
        </w:rPr>
      </w:pPr>
      <w:r w:rsidRPr="00C94C92">
        <w:rPr>
          <w:rFonts w:cs="Times New Roman"/>
          <w:noProof/>
        </w:rPr>
        <w:t>suicide loan</w:t>
      </w:r>
      <w:r>
        <w:rPr>
          <w:noProof/>
        </w:rPr>
        <w:t>, 88</w:t>
      </w:r>
    </w:p>
    <w:p w14:paraId="7D0F3AC1" w14:textId="77777777" w:rsidR="007E3004" w:rsidRDefault="007E3004">
      <w:pPr>
        <w:pStyle w:val="Index1"/>
        <w:tabs>
          <w:tab w:val="right" w:leader="dot" w:pos="3014"/>
        </w:tabs>
        <w:rPr>
          <w:noProof/>
        </w:rPr>
      </w:pPr>
      <w:r w:rsidRPr="00C94C92">
        <w:rPr>
          <w:rFonts w:cs="Times New Roman"/>
          <w:noProof/>
        </w:rPr>
        <w:t>Super SIV</w:t>
      </w:r>
      <w:r>
        <w:rPr>
          <w:noProof/>
        </w:rPr>
        <w:t>, 127</w:t>
      </w:r>
    </w:p>
    <w:p w14:paraId="4C4DFB78" w14:textId="77777777" w:rsidR="007E3004" w:rsidRDefault="007E3004">
      <w:pPr>
        <w:pStyle w:val="Index1"/>
        <w:tabs>
          <w:tab w:val="right" w:leader="dot" w:pos="3014"/>
        </w:tabs>
        <w:rPr>
          <w:noProof/>
        </w:rPr>
      </w:pPr>
      <w:r w:rsidRPr="00C94C92">
        <w:rPr>
          <w:rFonts w:cs="Times New Roman"/>
          <w:noProof/>
        </w:rPr>
        <w:t>supply and demand</w:t>
      </w:r>
      <w:r>
        <w:rPr>
          <w:noProof/>
        </w:rPr>
        <w:t>, 3, 10, 31, 32, 85, 88, 89, 100, 164</w:t>
      </w:r>
    </w:p>
    <w:p w14:paraId="66B50016" w14:textId="77777777" w:rsidR="007E3004" w:rsidRDefault="007E3004">
      <w:pPr>
        <w:pStyle w:val="Index1"/>
        <w:tabs>
          <w:tab w:val="right" w:leader="dot" w:pos="3014"/>
        </w:tabs>
        <w:rPr>
          <w:noProof/>
        </w:rPr>
      </w:pPr>
      <w:r w:rsidRPr="00C94C92">
        <w:rPr>
          <w:rFonts w:cs="Times New Roman"/>
          <w:noProof/>
        </w:rPr>
        <w:t>supply curve</w:t>
      </w:r>
      <w:r>
        <w:rPr>
          <w:noProof/>
        </w:rPr>
        <w:t>, 88</w:t>
      </w:r>
    </w:p>
    <w:p w14:paraId="48D12F7F" w14:textId="77777777" w:rsidR="007E3004" w:rsidRDefault="007E3004">
      <w:pPr>
        <w:pStyle w:val="Index1"/>
        <w:tabs>
          <w:tab w:val="right" w:leader="dot" w:pos="3014"/>
        </w:tabs>
        <w:rPr>
          <w:noProof/>
        </w:rPr>
      </w:pPr>
      <w:r w:rsidRPr="00C94C92">
        <w:rPr>
          <w:rFonts w:cs="Times New Roman"/>
          <w:noProof/>
        </w:rPr>
        <w:t>survey fees</w:t>
      </w:r>
      <w:r>
        <w:rPr>
          <w:noProof/>
        </w:rPr>
        <w:t>, 42</w:t>
      </w:r>
    </w:p>
    <w:p w14:paraId="1C17FD5F" w14:textId="77777777" w:rsidR="007E3004" w:rsidRDefault="007E3004">
      <w:pPr>
        <w:pStyle w:val="Index1"/>
        <w:tabs>
          <w:tab w:val="right" w:leader="dot" w:pos="3014"/>
        </w:tabs>
        <w:rPr>
          <w:noProof/>
        </w:rPr>
      </w:pPr>
      <w:r w:rsidRPr="00C94C92">
        <w:rPr>
          <w:rFonts w:cs="Times New Roman"/>
          <w:noProof/>
        </w:rPr>
        <w:t>swap</w:t>
      </w:r>
      <w:r>
        <w:rPr>
          <w:noProof/>
        </w:rPr>
        <w:t>, 58</w:t>
      </w:r>
    </w:p>
    <w:p w14:paraId="5F5FDE02" w14:textId="77777777" w:rsidR="007E3004" w:rsidRDefault="007E3004">
      <w:pPr>
        <w:pStyle w:val="Index1"/>
        <w:tabs>
          <w:tab w:val="right" w:leader="dot" w:pos="3014"/>
        </w:tabs>
        <w:rPr>
          <w:noProof/>
        </w:rPr>
      </w:pPr>
      <w:r w:rsidRPr="00C94C92">
        <w:rPr>
          <w:rFonts w:cs="Times New Roman"/>
          <w:noProof/>
        </w:rPr>
        <w:t>Syndicators</w:t>
      </w:r>
      <w:r>
        <w:rPr>
          <w:noProof/>
        </w:rPr>
        <w:t>, 62</w:t>
      </w:r>
    </w:p>
    <w:p w14:paraId="7BD4CAEA" w14:textId="77777777" w:rsidR="007E3004" w:rsidRDefault="007E3004">
      <w:pPr>
        <w:pStyle w:val="Index1"/>
        <w:tabs>
          <w:tab w:val="right" w:leader="dot" w:pos="3014"/>
        </w:tabs>
        <w:rPr>
          <w:noProof/>
        </w:rPr>
      </w:pPr>
      <w:r w:rsidRPr="00C94C92">
        <w:rPr>
          <w:rFonts w:cs="Times New Roman"/>
          <w:noProof/>
        </w:rPr>
        <w:t>systemic risks</w:t>
      </w:r>
      <w:r>
        <w:rPr>
          <w:noProof/>
        </w:rPr>
        <w:t>, 64, 65</w:t>
      </w:r>
    </w:p>
    <w:p w14:paraId="2D796B32" w14:textId="77777777" w:rsidR="007E3004" w:rsidRDefault="007E3004">
      <w:pPr>
        <w:pStyle w:val="IndexHeading"/>
        <w:keepNext/>
        <w:tabs>
          <w:tab w:val="right" w:leader="dot" w:pos="3014"/>
        </w:tabs>
        <w:rPr>
          <w:b w:val="0"/>
          <w:bCs w:val="0"/>
          <w:noProof/>
        </w:rPr>
      </w:pPr>
      <w:r>
        <w:rPr>
          <w:noProof/>
        </w:rPr>
        <w:t>T</w:t>
      </w:r>
    </w:p>
    <w:p w14:paraId="26121E21" w14:textId="77777777" w:rsidR="007E3004" w:rsidRDefault="007E3004">
      <w:pPr>
        <w:pStyle w:val="Index1"/>
        <w:tabs>
          <w:tab w:val="right" w:leader="dot" w:pos="3014"/>
        </w:tabs>
        <w:rPr>
          <w:noProof/>
        </w:rPr>
      </w:pPr>
      <w:r w:rsidRPr="00C94C92">
        <w:rPr>
          <w:rFonts w:cs="Times New Roman"/>
          <w:noProof/>
        </w:rPr>
        <w:t>The Irvine Company</w:t>
      </w:r>
      <w:r>
        <w:rPr>
          <w:noProof/>
        </w:rPr>
        <w:t>, 51, 54, 56</w:t>
      </w:r>
    </w:p>
    <w:p w14:paraId="201A9DF9" w14:textId="77777777" w:rsidR="007E3004" w:rsidRDefault="007E3004">
      <w:pPr>
        <w:pStyle w:val="Index1"/>
        <w:tabs>
          <w:tab w:val="right" w:leader="dot" w:pos="3014"/>
        </w:tabs>
        <w:rPr>
          <w:noProof/>
        </w:rPr>
      </w:pPr>
      <w:r w:rsidRPr="00C94C92">
        <w:rPr>
          <w:rFonts w:cs="Times New Roman"/>
          <w:noProof/>
        </w:rPr>
        <w:t>TIPS</w:t>
      </w:r>
      <w:r>
        <w:rPr>
          <w:noProof/>
        </w:rPr>
        <w:t>, 40</w:t>
      </w:r>
    </w:p>
    <w:p w14:paraId="382B25F6" w14:textId="77777777" w:rsidR="007E3004" w:rsidRDefault="007E3004">
      <w:pPr>
        <w:pStyle w:val="Index1"/>
        <w:tabs>
          <w:tab w:val="right" w:leader="dot" w:pos="3014"/>
        </w:tabs>
        <w:rPr>
          <w:noProof/>
        </w:rPr>
      </w:pPr>
      <w:r w:rsidRPr="00C94C92">
        <w:rPr>
          <w:rFonts w:cs="Times New Roman"/>
          <w:noProof/>
        </w:rPr>
        <w:t>title insurance</w:t>
      </w:r>
      <w:r>
        <w:rPr>
          <w:noProof/>
        </w:rPr>
        <w:t>, 42, 76</w:t>
      </w:r>
    </w:p>
    <w:p w14:paraId="6A5C134D" w14:textId="77777777" w:rsidR="007E3004" w:rsidRDefault="007E3004">
      <w:pPr>
        <w:pStyle w:val="Index1"/>
        <w:tabs>
          <w:tab w:val="right" w:leader="dot" w:pos="3014"/>
        </w:tabs>
        <w:rPr>
          <w:noProof/>
        </w:rPr>
      </w:pPr>
      <w:r w:rsidRPr="00C94C92">
        <w:rPr>
          <w:rFonts w:cs="Times New Roman"/>
          <w:noProof/>
        </w:rPr>
        <w:t>toxic financing</w:t>
      </w:r>
      <w:r>
        <w:rPr>
          <w:noProof/>
        </w:rPr>
        <w:t>, 88</w:t>
      </w:r>
    </w:p>
    <w:p w14:paraId="695D4F01" w14:textId="77777777" w:rsidR="007E3004" w:rsidRDefault="007E3004">
      <w:pPr>
        <w:pStyle w:val="Index1"/>
        <w:tabs>
          <w:tab w:val="right" w:leader="dot" w:pos="3014"/>
        </w:tabs>
        <w:rPr>
          <w:noProof/>
        </w:rPr>
      </w:pPr>
      <w:r w:rsidRPr="00C94C92">
        <w:rPr>
          <w:rFonts w:cs="Times New Roman"/>
          <w:noProof/>
        </w:rPr>
        <w:t>transaction costs</w:t>
      </w:r>
      <w:r>
        <w:rPr>
          <w:noProof/>
        </w:rPr>
        <w:t>, 41, 42, 43</w:t>
      </w:r>
    </w:p>
    <w:p w14:paraId="3BACD7FE" w14:textId="77777777" w:rsidR="007E3004" w:rsidRDefault="007E3004">
      <w:pPr>
        <w:pStyle w:val="Index1"/>
        <w:tabs>
          <w:tab w:val="right" w:leader="dot" w:pos="3014"/>
        </w:tabs>
        <w:rPr>
          <w:noProof/>
        </w:rPr>
      </w:pPr>
      <w:r w:rsidRPr="00C94C92">
        <w:rPr>
          <w:rFonts w:cs="Times New Roman"/>
          <w:noProof/>
        </w:rPr>
        <w:t>TransUnion</w:t>
      </w:r>
      <w:r>
        <w:rPr>
          <w:noProof/>
        </w:rPr>
        <w:t>, 12</w:t>
      </w:r>
    </w:p>
    <w:p w14:paraId="70E70410" w14:textId="77777777" w:rsidR="007E3004" w:rsidRDefault="007E3004">
      <w:pPr>
        <w:pStyle w:val="Index1"/>
        <w:tabs>
          <w:tab w:val="right" w:leader="dot" w:pos="3014"/>
        </w:tabs>
        <w:rPr>
          <w:noProof/>
        </w:rPr>
      </w:pPr>
      <w:r w:rsidRPr="00C94C92">
        <w:rPr>
          <w:rFonts w:cs="Times New Roman"/>
          <w:noProof/>
        </w:rPr>
        <w:t>Treasury Bill</w:t>
      </w:r>
      <w:r>
        <w:rPr>
          <w:noProof/>
        </w:rPr>
        <w:t>, 10, 11</w:t>
      </w:r>
    </w:p>
    <w:p w14:paraId="6993BD04" w14:textId="77777777" w:rsidR="007E3004" w:rsidRDefault="007E3004">
      <w:pPr>
        <w:pStyle w:val="Index1"/>
        <w:tabs>
          <w:tab w:val="right" w:leader="dot" w:pos="3014"/>
        </w:tabs>
        <w:rPr>
          <w:noProof/>
        </w:rPr>
      </w:pPr>
      <w:r w:rsidRPr="00C94C92">
        <w:rPr>
          <w:rFonts w:cs="Times New Roman"/>
          <w:noProof/>
        </w:rPr>
        <w:t>Treasury Inflation-Protected Securities</w:t>
      </w:r>
      <w:r>
        <w:rPr>
          <w:noProof/>
        </w:rPr>
        <w:t xml:space="preserve">. </w:t>
      </w:r>
      <w:r w:rsidRPr="00C94C92">
        <w:rPr>
          <w:i/>
          <w:noProof/>
        </w:rPr>
        <w:t>See</w:t>
      </w:r>
      <w:r>
        <w:rPr>
          <w:noProof/>
        </w:rPr>
        <w:t xml:space="preserve"> TIPS</w:t>
      </w:r>
    </w:p>
    <w:p w14:paraId="63C72F2C" w14:textId="77777777" w:rsidR="007E3004" w:rsidRDefault="007E3004">
      <w:pPr>
        <w:pStyle w:val="Index1"/>
        <w:tabs>
          <w:tab w:val="right" w:leader="dot" w:pos="3014"/>
        </w:tabs>
        <w:rPr>
          <w:noProof/>
        </w:rPr>
      </w:pPr>
      <w:r w:rsidRPr="00C94C92">
        <w:rPr>
          <w:rFonts w:cs="Times New Roman"/>
          <w:noProof/>
        </w:rPr>
        <w:lastRenderedPageBreak/>
        <w:t>Treasury Note</w:t>
      </w:r>
      <w:r>
        <w:rPr>
          <w:noProof/>
        </w:rPr>
        <w:t>, 11</w:t>
      </w:r>
    </w:p>
    <w:p w14:paraId="6B699A53" w14:textId="77777777" w:rsidR="007E3004" w:rsidRDefault="007E3004">
      <w:pPr>
        <w:pStyle w:val="Index1"/>
        <w:tabs>
          <w:tab w:val="right" w:leader="dot" w:pos="3014"/>
        </w:tabs>
        <w:rPr>
          <w:noProof/>
        </w:rPr>
      </w:pPr>
      <w:r w:rsidRPr="00C94C92">
        <w:rPr>
          <w:rFonts w:cs="Times New Roman"/>
          <w:noProof/>
        </w:rPr>
        <w:t>Troubled Asset Relief Program</w:t>
      </w:r>
      <w:r>
        <w:rPr>
          <w:noProof/>
        </w:rPr>
        <w:t>, 130</w:t>
      </w:r>
    </w:p>
    <w:p w14:paraId="4D525F35" w14:textId="77777777" w:rsidR="007E3004" w:rsidRDefault="007E3004">
      <w:pPr>
        <w:pStyle w:val="Index1"/>
        <w:tabs>
          <w:tab w:val="right" w:leader="dot" w:pos="3014"/>
        </w:tabs>
        <w:rPr>
          <w:noProof/>
        </w:rPr>
      </w:pPr>
      <w:r w:rsidRPr="00C94C92">
        <w:rPr>
          <w:rFonts w:cs="Times New Roman"/>
          <w:noProof/>
        </w:rPr>
        <w:t>Trustee Sales</w:t>
      </w:r>
      <w:r>
        <w:rPr>
          <w:noProof/>
        </w:rPr>
        <w:t>, 161, 162, 163</w:t>
      </w:r>
    </w:p>
    <w:p w14:paraId="6C1B543C" w14:textId="77777777" w:rsidR="007E3004" w:rsidRDefault="007E3004">
      <w:pPr>
        <w:pStyle w:val="IndexHeading"/>
        <w:keepNext/>
        <w:tabs>
          <w:tab w:val="right" w:leader="dot" w:pos="3014"/>
        </w:tabs>
        <w:rPr>
          <w:b w:val="0"/>
          <w:bCs w:val="0"/>
          <w:noProof/>
        </w:rPr>
      </w:pPr>
      <w:r>
        <w:rPr>
          <w:noProof/>
        </w:rPr>
        <w:t>U</w:t>
      </w:r>
    </w:p>
    <w:p w14:paraId="6F7B75C9" w14:textId="77777777" w:rsidR="007E3004" w:rsidRDefault="007E3004">
      <w:pPr>
        <w:pStyle w:val="Index1"/>
        <w:tabs>
          <w:tab w:val="right" w:leader="dot" w:pos="3014"/>
        </w:tabs>
        <w:rPr>
          <w:noProof/>
        </w:rPr>
      </w:pPr>
      <w:r w:rsidRPr="00C94C92">
        <w:rPr>
          <w:rFonts w:cs="Times New Roman"/>
          <w:noProof/>
        </w:rPr>
        <w:t>unemployment</w:t>
      </w:r>
      <w:r>
        <w:rPr>
          <w:noProof/>
        </w:rPr>
        <w:t>, 2, 13, 137, 153, 159, 160, 161, 165, 167, 181</w:t>
      </w:r>
    </w:p>
    <w:p w14:paraId="6E6280C0" w14:textId="77777777" w:rsidR="007E3004" w:rsidRDefault="007E3004">
      <w:pPr>
        <w:pStyle w:val="IndexHeading"/>
        <w:keepNext/>
        <w:tabs>
          <w:tab w:val="right" w:leader="dot" w:pos="3014"/>
        </w:tabs>
        <w:rPr>
          <w:b w:val="0"/>
          <w:bCs w:val="0"/>
          <w:noProof/>
        </w:rPr>
      </w:pPr>
      <w:r>
        <w:rPr>
          <w:noProof/>
        </w:rPr>
        <w:t>V</w:t>
      </w:r>
    </w:p>
    <w:p w14:paraId="53F232C5" w14:textId="77777777" w:rsidR="007E3004" w:rsidRDefault="007E3004">
      <w:pPr>
        <w:pStyle w:val="Index1"/>
        <w:tabs>
          <w:tab w:val="right" w:leader="dot" w:pos="3014"/>
        </w:tabs>
        <w:rPr>
          <w:noProof/>
        </w:rPr>
      </w:pPr>
      <w:r w:rsidRPr="00C94C92">
        <w:rPr>
          <w:rFonts w:cs="Times New Roman"/>
          <w:noProof/>
        </w:rPr>
        <w:t>vacancy rates</w:t>
      </w:r>
      <w:r>
        <w:rPr>
          <w:noProof/>
        </w:rPr>
        <w:t>, 108, 161</w:t>
      </w:r>
    </w:p>
    <w:p w14:paraId="0D929480" w14:textId="77777777" w:rsidR="007E3004" w:rsidRDefault="007E3004">
      <w:pPr>
        <w:pStyle w:val="Index1"/>
        <w:tabs>
          <w:tab w:val="right" w:leader="dot" w:pos="3014"/>
        </w:tabs>
        <w:rPr>
          <w:noProof/>
        </w:rPr>
      </w:pPr>
      <w:r w:rsidRPr="00C94C92">
        <w:rPr>
          <w:rFonts w:cs="Times New Roman"/>
          <w:noProof/>
        </w:rPr>
        <w:t>Valuation risk</w:t>
      </w:r>
      <w:r>
        <w:rPr>
          <w:noProof/>
        </w:rPr>
        <w:t>, 68</w:t>
      </w:r>
    </w:p>
    <w:p w14:paraId="4B579950" w14:textId="77777777" w:rsidR="007E3004" w:rsidRDefault="007E3004">
      <w:pPr>
        <w:pStyle w:val="IndexHeading"/>
        <w:keepNext/>
        <w:tabs>
          <w:tab w:val="right" w:leader="dot" w:pos="3014"/>
        </w:tabs>
        <w:rPr>
          <w:b w:val="0"/>
          <w:bCs w:val="0"/>
          <w:noProof/>
        </w:rPr>
      </w:pPr>
      <w:r>
        <w:rPr>
          <w:noProof/>
        </w:rPr>
        <w:t>W</w:t>
      </w:r>
    </w:p>
    <w:p w14:paraId="7AA16F58" w14:textId="77777777" w:rsidR="007E3004" w:rsidRDefault="007E3004">
      <w:pPr>
        <w:pStyle w:val="Index1"/>
        <w:tabs>
          <w:tab w:val="right" w:leader="dot" w:pos="3014"/>
        </w:tabs>
        <w:rPr>
          <w:noProof/>
        </w:rPr>
      </w:pPr>
      <w:r w:rsidRPr="00C94C92">
        <w:rPr>
          <w:rFonts w:cs="Times New Roman"/>
          <w:noProof/>
        </w:rPr>
        <w:t>Wall Street</w:t>
      </w:r>
      <w:r>
        <w:rPr>
          <w:noProof/>
        </w:rPr>
        <w:t>, 60, 72, 73</w:t>
      </w:r>
    </w:p>
    <w:p w14:paraId="1E3988A5" w14:textId="77777777" w:rsidR="007E3004" w:rsidRDefault="007E3004">
      <w:pPr>
        <w:pStyle w:val="Index1"/>
        <w:tabs>
          <w:tab w:val="right" w:leader="dot" w:pos="3014"/>
        </w:tabs>
        <w:rPr>
          <w:noProof/>
        </w:rPr>
      </w:pPr>
      <w:r w:rsidRPr="00C94C92">
        <w:rPr>
          <w:rFonts w:cs="Times New Roman"/>
          <w:noProof/>
        </w:rPr>
        <w:t>Warren Buffet</w:t>
      </w:r>
      <w:r>
        <w:rPr>
          <w:noProof/>
        </w:rPr>
        <w:t>, 62, 104, 108</w:t>
      </w:r>
    </w:p>
    <w:p w14:paraId="203BD738" w14:textId="77777777" w:rsidR="007E3004" w:rsidRDefault="007E3004">
      <w:pPr>
        <w:pStyle w:val="Index1"/>
        <w:tabs>
          <w:tab w:val="right" w:leader="dot" w:pos="3014"/>
        </w:tabs>
        <w:rPr>
          <w:noProof/>
        </w:rPr>
      </w:pPr>
      <w:r w:rsidRPr="00C94C92">
        <w:rPr>
          <w:rFonts w:cs="Times New Roman"/>
          <w:noProof/>
        </w:rPr>
        <w:t>Winston Churchill</w:t>
      </w:r>
      <w:r>
        <w:rPr>
          <w:noProof/>
        </w:rPr>
        <w:t>, 126</w:t>
      </w:r>
    </w:p>
    <w:p w14:paraId="32BC3871" w14:textId="77777777" w:rsidR="007E3004" w:rsidRDefault="007E3004">
      <w:pPr>
        <w:pStyle w:val="Index1"/>
        <w:tabs>
          <w:tab w:val="right" w:leader="dot" w:pos="3014"/>
        </w:tabs>
        <w:rPr>
          <w:noProof/>
        </w:rPr>
      </w:pPr>
      <w:r w:rsidRPr="00C94C92">
        <w:rPr>
          <w:rFonts w:cs="Times New Roman"/>
          <w:noProof/>
        </w:rPr>
        <w:t>wishing prices</w:t>
      </w:r>
      <w:r>
        <w:rPr>
          <w:noProof/>
        </w:rPr>
        <w:t>, 119</w:t>
      </w:r>
    </w:p>
    <w:p w14:paraId="79CE0A42" w14:textId="77777777" w:rsidR="007E3004" w:rsidRDefault="007E3004">
      <w:pPr>
        <w:pStyle w:val="Index1"/>
        <w:tabs>
          <w:tab w:val="right" w:leader="dot" w:pos="3014"/>
        </w:tabs>
        <w:rPr>
          <w:noProof/>
        </w:rPr>
      </w:pPr>
      <w:r w:rsidRPr="00C94C92">
        <w:rPr>
          <w:rFonts w:cs="Times New Roman"/>
          <w:noProof/>
        </w:rPr>
        <w:t>Woodbury</w:t>
      </w:r>
      <w:r>
        <w:rPr>
          <w:noProof/>
        </w:rPr>
        <w:t>, 54, 55, 56</w:t>
      </w:r>
    </w:p>
    <w:p w14:paraId="706C838E" w14:textId="77777777" w:rsidR="007E3004" w:rsidRDefault="007E3004">
      <w:pPr>
        <w:pStyle w:val="Index1"/>
        <w:tabs>
          <w:tab w:val="right" w:leader="dot" w:pos="3014"/>
        </w:tabs>
        <w:rPr>
          <w:noProof/>
        </w:rPr>
      </w:pPr>
      <w:r w:rsidRPr="00C94C92">
        <w:rPr>
          <w:rFonts w:cs="Times New Roman"/>
          <w:noProof/>
        </w:rPr>
        <w:t>World War II</w:t>
      </w:r>
      <w:r>
        <w:rPr>
          <w:noProof/>
        </w:rPr>
        <w:t>, 9, 27</w:t>
      </w:r>
    </w:p>
    <w:p w14:paraId="0DFFC8EA" w14:textId="77777777" w:rsidR="007E3004" w:rsidRDefault="007E3004">
      <w:pPr>
        <w:pStyle w:val="IndexHeading"/>
        <w:keepNext/>
        <w:tabs>
          <w:tab w:val="right" w:leader="dot" w:pos="3014"/>
        </w:tabs>
        <w:rPr>
          <w:b w:val="0"/>
          <w:bCs w:val="0"/>
          <w:noProof/>
        </w:rPr>
      </w:pPr>
      <w:r>
        <w:rPr>
          <w:noProof/>
        </w:rPr>
        <w:t>Z</w:t>
      </w:r>
    </w:p>
    <w:p w14:paraId="28CB62E5" w14:textId="77777777" w:rsidR="007E3004" w:rsidRDefault="007E3004">
      <w:pPr>
        <w:pStyle w:val="Index1"/>
        <w:tabs>
          <w:tab w:val="right" w:leader="dot" w:pos="3014"/>
        </w:tabs>
        <w:rPr>
          <w:noProof/>
        </w:rPr>
      </w:pPr>
      <w:r w:rsidRPr="00C94C92">
        <w:rPr>
          <w:rFonts w:cs="Times New Roman"/>
          <w:noProof/>
        </w:rPr>
        <w:t>zero amortization loan</w:t>
      </w:r>
      <w:r>
        <w:rPr>
          <w:noProof/>
        </w:rPr>
        <w:t>, 130</w:t>
      </w:r>
    </w:p>
    <w:p w14:paraId="1D9DB346" w14:textId="77777777" w:rsidR="007E3004" w:rsidRDefault="007E3004">
      <w:pPr>
        <w:pStyle w:val="Index1"/>
        <w:tabs>
          <w:tab w:val="right" w:leader="dot" w:pos="3014"/>
        </w:tabs>
        <w:rPr>
          <w:noProof/>
        </w:rPr>
      </w:pPr>
      <w:r w:rsidRPr="00C94C92">
        <w:rPr>
          <w:rFonts w:cs="Times New Roman"/>
          <w:noProof/>
        </w:rPr>
        <w:t>zero coupon bond</w:t>
      </w:r>
      <w:r>
        <w:rPr>
          <w:noProof/>
        </w:rPr>
        <w:t>, 130, 131, 132</w:t>
      </w:r>
    </w:p>
    <w:p w14:paraId="22D40F5B" w14:textId="77777777" w:rsidR="007E3004" w:rsidRDefault="007E3004" w:rsidP="001767A9">
      <w:pPr>
        <w:rPr>
          <w:noProof/>
        </w:rPr>
        <w:sectPr w:rsidR="007E3004" w:rsidSect="007E3004">
          <w:endnotePr>
            <w:numFmt w:val="decimal"/>
          </w:endnotePr>
          <w:type w:val="continuous"/>
          <w:pgSz w:w="8640" w:h="12960" w:code="173"/>
          <w:pgMar w:top="1008" w:right="936" w:bottom="1080" w:left="936" w:header="504" w:footer="504" w:gutter="0"/>
          <w:cols w:num="2" w:space="720"/>
          <w:titlePg/>
          <w:docGrid w:linePitch="360"/>
        </w:sectPr>
      </w:pPr>
    </w:p>
    <w:p w14:paraId="3CA2D6D4" w14:textId="5265B4C0" w:rsidR="001112A5" w:rsidRDefault="001858B5" w:rsidP="001767A9">
      <w:pPr>
        <w:rPr>
          <w:rFonts w:cs="Times New Roman"/>
        </w:rPr>
      </w:pPr>
      <w:r>
        <w:rPr>
          <w:rFonts w:cs="Times New Roman"/>
        </w:rPr>
        <w:fldChar w:fldCharType="end"/>
      </w:r>
    </w:p>
    <w:p w14:paraId="4E184F38" w14:textId="77777777" w:rsidR="001112A5" w:rsidRPr="00124B71" w:rsidRDefault="001112A5" w:rsidP="001767A9">
      <w:pPr>
        <w:rPr>
          <w:rFonts w:cs="Times New Roman"/>
        </w:rPr>
        <w:sectPr w:rsidR="001112A5" w:rsidRPr="00124B71" w:rsidSect="007E3004">
          <w:endnotePr>
            <w:numFmt w:val="decimal"/>
          </w:endnotePr>
          <w:type w:val="continuous"/>
          <w:pgSz w:w="8640" w:h="12960" w:code="173"/>
          <w:pgMar w:top="1008" w:right="936" w:bottom="1080" w:left="936" w:header="504" w:footer="504" w:gutter="0"/>
          <w:cols w:space="720"/>
          <w:titlePg/>
          <w:docGrid w:linePitch="360"/>
        </w:sectPr>
      </w:pPr>
    </w:p>
    <w:p w14:paraId="15A3E6C5" w14:textId="77777777" w:rsidR="00C717CF" w:rsidRPr="00D07CC0" w:rsidRDefault="00DD2359" w:rsidP="009C5165">
      <w:pPr>
        <w:pStyle w:val="Heading1"/>
      </w:pPr>
      <w:bookmarkStart w:id="255" w:name="_Toc238867422"/>
      <w:r w:rsidRPr="00EF0EDA">
        <w:lastRenderedPageBreak/>
        <w:t>End Notes</w:t>
      </w:r>
      <w:bookmarkEnd w:id="255"/>
    </w:p>
    <w:sectPr w:rsidR="00C717CF" w:rsidRPr="00D07CC0" w:rsidSect="009729DE">
      <w:headerReference w:type="even" r:id="rId114"/>
      <w:headerReference w:type="default" r:id="rId115"/>
      <w:footerReference w:type="even" r:id="rId116"/>
      <w:footerReference w:type="default" r:id="rId117"/>
      <w:headerReference w:type="first" r:id="rId118"/>
      <w:footerReference w:type="first" r:id="rId119"/>
      <w:endnotePr>
        <w:numFmt w:val="decimal"/>
      </w:endnotePr>
      <w:type w:val="oddPage"/>
      <w:pgSz w:w="8640" w:h="12960" w:code="173"/>
      <w:pgMar w:top="1008" w:right="936" w:bottom="1080" w:left="936" w:header="504"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4515B" w14:textId="77777777" w:rsidR="00CA3B4A" w:rsidRDefault="00CA3B4A" w:rsidP="001767A9">
      <w:r>
        <w:separator/>
      </w:r>
    </w:p>
  </w:endnote>
  <w:endnote w:type="continuationSeparator" w:id="0">
    <w:p w14:paraId="16F63BF0" w14:textId="77777777" w:rsidR="00CA3B4A" w:rsidRDefault="00CA3B4A" w:rsidP="001767A9">
      <w:r>
        <w:continuationSeparator/>
      </w:r>
    </w:p>
  </w:endnote>
  <w:endnote w:id="1">
    <w:p w14:paraId="740F6795" w14:textId="77777777" w:rsidR="009D5946" w:rsidRDefault="009D5946" w:rsidP="00124B71">
      <w:pPr>
        <w:pStyle w:val="EndnoteText"/>
        <w:ind w:hanging="270"/>
      </w:pPr>
      <w:r>
        <w:rPr>
          <w:rStyle w:val="EndnoteReference"/>
        </w:rPr>
        <w:endnoteRef/>
      </w:r>
      <w:r>
        <w:t xml:space="preserve"> </w:t>
      </w:r>
      <w:r w:rsidRPr="00A20A01">
        <w:t>"Out, out, brief candle! Life's but a walking shadow, a poor player that struts and frets his hour upon the stage and then is heard no more: it is a tale told by an idiot, full of sound and fury, signifying nothing." Macbeth Quote (Act V, Scene V).</w:t>
      </w:r>
      <w:sdt>
        <w:sdtPr>
          <w:id w:val="32673044"/>
          <w:citation/>
        </w:sdtPr>
        <w:sdtContent>
          <w:r>
            <w:fldChar w:fldCharType="begin"/>
          </w:r>
          <w:r>
            <w:instrText xml:space="preserve"> CITATION Wil03 \l 1033 </w:instrText>
          </w:r>
          <w:r>
            <w:fldChar w:fldCharType="separate"/>
          </w:r>
          <w:r>
            <w:rPr>
              <w:noProof/>
            </w:rPr>
            <w:t xml:space="preserve"> (Shakespeare, 1603)</w:t>
          </w:r>
          <w:r>
            <w:rPr>
              <w:noProof/>
            </w:rPr>
            <w:fldChar w:fldCharType="end"/>
          </w:r>
        </w:sdtContent>
      </w:sdt>
    </w:p>
  </w:endnote>
  <w:endnote w:id="2">
    <w:p w14:paraId="0E05C029" w14:textId="77777777" w:rsidR="009D5946" w:rsidRDefault="009D5946" w:rsidP="00DA4E7C">
      <w:pPr>
        <w:pStyle w:val="EndnoteText"/>
      </w:pPr>
      <w:r>
        <w:rPr>
          <w:rStyle w:val="EndnoteReference"/>
        </w:rPr>
        <w:endnoteRef/>
      </w:r>
      <w:r>
        <w:t xml:space="preserve"> Partial list of prominent real estate bubble and related blogs:</w:t>
      </w:r>
    </w:p>
    <w:p w14:paraId="0DA99022" w14:textId="77777777" w:rsidR="009D5946" w:rsidRPr="00826DB0" w:rsidRDefault="009D5946" w:rsidP="00826DB0">
      <w:pPr>
        <w:pStyle w:val="EndnoteText"/>
        <w:spacing w:after="0"/>
        <w:ind w:left="180"/>
        <w:rPr>
          <w:szCs w:val="18"/>
        </w:rPr>
      </w:pPr>
      <w:r w:rsidRPr="00826DB0">
        <w:rPr>
          <w:szCs w:val="18"/>
        </w:rPr>
        <w:t>The Irvine Housing Blog</w:t>
      </w:r>
      <w:r>
        <w:rPr>
          <w:szCs w:val="18"/>
        </w:rPr>
        <w:fldChar w:fldCharType="begin"/>
      </w:r>
      <w:r>
        <w:instrText xml:space="preserve"> XE "</w:instrText>
      </w:r>
      <w:r w:rsidRPr="00DB5906">
        <w:rPr>
          <w:rFonts w:cs="Times New Roman"/>
        </w:rPr>
        <w:instrText>Irvine Housing Blog</w:instrText>
      </w:r>
      <w:r>
        <w:instrText xml:space="preserve">" </w:instrText>
      </w:r>
      <w:r>
        <w:rPr>
          <w:szCs w:val="18"/>
        </w:rPr>
        <w:fldChar w:fldCharType="end"/>
      </w:r>
      <w:r w:rsidRPr="00826DB0">
        <w:rPr>
          <w:szCs w:val="18"/>
        </w:rPr>
        <w:t xml:space="preserve"> – http://www.irvinehousingblog.com/ </w:t>
      </w:r>
    </w:p>
    <w:p w14:paraId="3D0B1469" w14:textId="77777777" w:rsidR="009D5946" w:rsidRPr="00826DB0" w:rsidRDefault="009D5946" w:rsidP="00826DB0">
      <w:pPr>
        <w:pStyle w:val="EndnoteText"/>
        <w:spacing w:after="0"/>
        <w:ind w:left="180"/>
        <w:rPr>
          <w:szCs w:val="18"/>
        </w:rPr>
      </w:pPr>
      <w:r w:rsidRPr="00826DB0">
        <w:rPr>
          <w:szCs w:val="18"/>
        </w:rPr>
        <w:t xml:space="preserve">Patrick.net – http://patrick.net/housing/crash.html </w:t>
      </w:r>
    </w:p>
    <w:p w14:paraId="6D1AD27D" w14:textId="77777777" w:rsidR="009D5946" w:rsidRPr="00826DB0" w:rsidRDefault="009D5946" w:rsidP="00826DB0">
      <w:pPr>
        <w:pStyle w:val="EndnoteText"/>
        <w:spacing w:after="0"/>
        <w:ind w:left="180"/>
        <w:rPr>
          <w:szCs w:val="18"/>
        </w:rPr>
      </w:pPr>
      <w:r w:rsidRPr="00826DB0">
        <w:rPr>
          <w:szCs w:val="18"/>
        </w:rPr>
        <w:t xml:space="preserve">The Real Estate Bubble Blog – http://www.thehousingbubbleblog.com/index.html </w:t>
      </w:r>
    </w:p>
    <w:p w14:paraId="3909F727" w14:textId="77777777" w:rsidR="009D5946" w:rsidRPr="00826DB0" w:rsidRDefault="009D5946" w:rsidP="00826DB0">
      <w:pPr>
        <w:pStyle w:val="EndnoteText"/>
        <w:spacing w:after="0"/>
        <w:ind w:left="180"/>
        <w:rPr>
          <w:szCs w:val="18"/>
        </w:rPr>
      </w:pPr>
      <w:r w:rsidRPr="00826DB0">
        <w:rPr>
          <w:szCs w:val="18"/>
        </w:rPr>
        <w:t xml:space="preserve">The House Bubble – http://housebubble.com/ </w:t>
      </w:r>
    </w:p>
    <w:p w14:paraId="4E5B62AB" w14:textId="77777777" w:rsidR="009D5946" w:rsidRPr="00826DB0" w:rsidRDefault="009D5946" w:rsidP="00826DB0">
      <w:pPr>
        <w:pStyle w:val="EndnoteText"/>
        <w:spacing w:after="0"/>
        <w:ind w:left="180"/>
        <w:rPr>
          <w:szCs w:val="18"/>
        </w:rPr>
      </w:pPr>
      <w:r w:rsidRPr="00826DB0">
        <w:rPr>
          <w:szCs w:val="18"/>
        </w:rPr>
        <w:t xml:space="preserve">Implode-o-meter – http://ml-implode.com/ </w:t>
      </w:r>
    </w:p>
    <w:p w14:paraId="22E5093F" w14:textId="77777777" w:rsidR="009D5946" w:rsidRPr="00826DB0" w:rsidRDefault="009D5946" w:rsidP="00826DB0">
      <w:pPr>
        <w:pStyle w:val="EndnoteText"/>
        <w:spacing w:after="0"/>
        <w:ind w:left="180"/>
        <w:rPr>
          <w:szCs w:val="18"/>
        </w:rPr>
      </w:pPr>
      <w:r w:rsidRPr="00826DB0">
        <w:rPr>
          <w:szCs w:val="18"/>
        </w:rPr>
        <w:t>Bubble Markets Inventory Tracking – http://bubbletracking.blogspot.com/</w:t>
      </w:r>
    </w:p>
    <w:p w14:paraId="47A08888" w14:textId="77777777" w:rsidR="009D5946" w:rsidRPr="00826DB0" w:rsidRDefault="009D5946" w:rsidP="00826DB0">
      <w:pPr>
        <w:pStyle w:val="EndnoteText"/>
        <w:spacing w:after="0"/>
        <w:ind w:left="180"/>
        <w:rPr>
          <w:szCs w:val="18"/>
        </w:rPr>
      </w:pPr>
      <w:r w:rsidRPr="00826DB0">
        <w:rPr>
          <w:szCs w:val="18"/>
        </w:rPr>
        <w:t xml:space="preserve">Housing Doom – http://housingdoom.com/ </w:t>
      </w:r>
    </w:p>
    <w:p w14:paraId="74A2B0A8" w14:textId="77777777" w:rsidR="009D5946" w:rsidRPr="00826DB0" w:rsidRDefault="009D5946" w:rsidP="00826DB0">
      <w:pPr>
        <w:pStyle w:val="EndnoteText"/>
        <w:spacing w:after="0"/>
        <w:ind w:left="180"/>
        <w:rPr>
          <w:szCs w:val="18"/>
        </w:rPr>
      </w:pPr>
      <w:r w:rsidRPr="00826DB0">
        <w:rPr>
          <w:szCs w:val="18"/>
        </w:rPr>
        <w:t xml:space="preserve">Southern California Real Estate Bubble Crash – http://www.socalbubble.com/ </w:t>
      </w:r>
    </w:p>
    <w:p w14:paraId="20600269" w14:textId="77777777" w:rsidR="009D5946" w:rsidRPr="00826DB0" w:rsidRDefault="009D5946" w:rsidP="00826DB0">
      <w:pPr>
        <w:pStyle w:val="EndnoteText"/>
        <w:spacing w:after="0"/>
        <w:ind w:left="180"/>
        <w:rPr>
          <w:szCs w:val="18"/>
        </w:rPr>
      </w:pPr>
      <w:r w:rsidRPr="00826DB0">
        <w:rPr>
          <w:szCs w:val="18"/>
        </w:rPr>
        <w:t xml:space="preserve">Calculated Risk – http://calculatedrisk.blogspot.com/ </w:t>
      </w:r>
    </w:p>
    <w:p w14:paraId="1E4946D8" w14:textId="77777777" w:rsidR="009D5946" w:rsidRPr="00826DB0" w:rsidRDefault="009D5946" w:rsidP="00826DB0">
      <w:pPr>
        <w:pStyle w:val="EndnoteText"/>
        <w:spacing w:after="0"/>
        <w:ind w:left="180"/>
        <w:rPr>
          <w:szCs w:val="18"/>
        </w:rPr>
      </w:pPr>
      <w:r w:rsidRPr="00826DB0">
        <w:rPr>
          <w:szCs w:val="18"/>
        </w:rPr>
        <w:t xml:space="preserve">Housing Panic – http://housingpanic.blogspot.com/ </w:t>
      </w:r>
    </w:p>
    <w:p w14:paraId="7C2F97FE" w14:textId="77777777" w:rsidR="009D5946" w:rsidRPr="00826DB0" w:rsidRDefault="009D5946" w:rsidP="00826DB0">
      <w:pPr>
        <w:pStyle w:val="EndnoteText"/>
        <w:spacing w:after="0"/>
        <w:ind w:left="180"/>
        <w:rPr>
          <w:szCs w:val="18"/>
        </w:rPr>
      </w:pPr>
      <w:r w:rsidRPr="00826DB0">
        <w:rPr>
          <w:szCs w:val="18"/>
        </w:rPr>
        <w:t xml:space="preserve">Professor Piggington – http://piggington.com/ </w:t>
      </w:r>
    </w:p>
    <w:p w14:paraId="48E6EF12" w14:textId="77777777" w:rsidR="009D5946" w:rsidRPr="00826DB0" w:rsidRDefault="009D5946" w:rsidP="00826DB0">
      <w:pPr>
        <w:pStyle w:val="EndnoteText"/>
        <w:spacing w:after="0"/>
        <w:ind w:left="180"/>
        <w:rPr>
          <w:szCs w:val="18"/>
        </w:rPr>
      </w:pPr>
      <w:r w:rsidRPr="00826DB0">
        <w:rPr>
          <w:szCs w:val="18"/>
        </w:rPr>
        <w:t xml:space="preserve">Dr. Housing Bubble – http://drhousingbubble.blogspot.com/ </w:t>
      </w:r>
    </w:p>
    <w:p w14:paraId="5E6E72DC" w14:textId="77777777" w:rsidR="009D5946" w:rsidRPr="00826DB0" w:rsidRDefault="009D5946" w:rsidP="00826DB0">
      <w:pPr>
        <w:pStyle w:val="EndnoteText"/>
        <w:spacing w:after="0"/>
        <w:ind w:left="180"/>
        <w:rPr>
          <w:szCs w:val="18"/>
        </w:rPr>
      </w:pPr>
      <w:r w:rsidRPr="00826DB0">
        <w:rPr>
          <w:szCs w:val="18"/>
        </w:rPr>
        <w:t xml:space="preserve">Bubble Meter – http://bubblemeter.blogspot.com/ </w:t>
      </w:r>
    </w:p>
    <w:p w14:paraId="4E393C49" w14:textId="77777777" w:rsidR="009D5946" w:rsidRPr="00826DB0" w:rsidRDefault="009D5946" w:rsidP="00826DB0">
      <w:pPr>
        <w:pStyle w:val="EndnoteText"/>
        <w:spacing w:after="0"/>
        <w:ind w:left="180"/>
        <w:rPr>
          <w:szCs w:val="18"/>
        </w:rPr>
      </w:pPr>
      <w:r w:rsidRPr="00826DB0">
        <w:rPr>
          <w:szCs w:val="18"/>
        </w:rPr>
        <w:t xml:space="preserve">The Real Estate Bloggers – http://www.therealestatebloggers.com/ </w:t>
      </w:r>
    </w:p>
    <w:p w14:paraId="04CA989C" w14:textId="77777777" w:rsidR="009D5946" w:rsidRPr="00826DB0" w:rsidRDefault="009D5946" w:rsidP="00826DB0">
      <w:pPr>
        <w:pStyle w:val="EndnoteText"/>
        <w:spacing w:after="0"/>
        <w:ind w:left="180"/>
        <w:rPr>
          <w:szCs w:val="18"/>
        </w:rPr>
      </w:pPr>
      <w:r w:rsidRPr="00826DB0">
        <w:rPr>
          <w:szCs w:val="18"/>
        </w:rPr>
        <w:t xml:space="preserve">Housing Bubble Casualty – http://www.housingbubblecasualty.com/ </w:t>
      </w:r>
    </w:p>
    <w:p w14:paraId="6B4D5536" w14:textId="77777777" w:rsidR="009D5946" w:rsidRPr="00826DB0" w:rsidRDefault="009D5946" w:rsidP="00826DB0">
      <w:pPr>
        <w:pStyle w:val="EndnoteText"/>
        <w:spacing w:after="0"/>
        <w:ind w:left="180"/>
        <w:rPr>
          <w:szCs w:val="18"/>
        </w:rPr>
      </w:pPr>
      <w:r w:rsidRPr="00826DB0">
        <w:rPr>
          <w:szCs w:val="18"/>
        </w:rPr>
        <w:t xml:space="preserve">Housing Bubble Bust – http://www.housingbubblebust.com/ </w:t>
      </w:r>
    </w:p>
    <w:p w14:paraId="10CAEFD5" w14:textId="77777777" w:rsidR="009D5946" w:rsidRPr="00826DB0" w:rsidRDefault="009D5946" w:rsidP="00826DB0">
      <w:pPr>
        <w:pStyle w:val="EndnoteText"/>
        <w:spacing w:after="0"/>
        <w:ind w:left="180"/>
        <w:rPr>
          <w:szCs w:val="18"/>
        </w:rPr>
      </w:pPr>
      <w:r w:rsidRPr="00826DB0">
        <w:rPr>
          <w:szCs w:val="18"/>
        </w:rPr>
        <w:t xml:space="preserve">Real Estate Realist – http://www.realestaterealist.com/ </w:t>
      </w:r>
    </w:p>
    <w:p w14:paraId="545F718E" w14:textId="77777777" w:rsidR="009D5946" w:rsidRPr="00826DB0" w:rsidRDefault="009D5946" w:rsidP="00826DB0">
      <w:pPr>
        <w:pStyle w:val="EndnoteText"/>
        <w:spacing w:after="0"/>
        <w:ind w:left="180"/>
        <w:rPr>
          <w:szCs w:val="18"/>
        </w:rPr>
      </w:pPr>
      <w:r w:rsidRPr="00826DB0">
        <w:rPr>
          <w:szCs w:val="18"/>
        </w:rPr>
        <w:t xml:space="preserve">Housing Wire – http://www.housingwire.com/ </w:t>
      </w:r>
    </w:p>
    <w:p w14:paraId="6C9430BF" w14:textId="77777777" w:rsidR="009D5946" w:rsidRPr="00826DB0" w:rsidRDefault="009D5946" w:rsidP="00826DB0">
      <w:pPr>
        <w:pStyle w:val="EndnoteText"/>
        <w:spacing w:after="0"/>
        <w:ind w:left="180"/>
        <w:rPr>
          <w:szCs w:val="18"/>
        </w:rPr>
      </w:pPr>
      <w:r w:rsidRPr="00826DB0">
        <w:rPr>
          <w:szCs w:val="18"/>
        </w:rPr>
        <w:t xml:space="preserve">Sacramento Area Flippers In Trouble – http://flippersintrouble.blogspot.com/ </w:t>
      </w:r>
    </w:p>
    <w:p w14:paraId="0C1EF944" w14:textId="77777777" w:rsidR="009D5946" w:rsidRPr="00826DB0" w:rsidRDefault="009D5946" w:rsidP="00826DB0">
      <w:pPr>
        <w:pStyle w:val="EndnoteText"/>
        <w:spacing w:after="0"/>
        <w:ind w:left="180"/>
        <w:rPr>
          <w:szCs w:val="18"/>
        </w:rPr>
      </w:pPr>
      <w:r w:rsidRPr="00826DB0">
        <w:rPr>
          <w:szCs w:val="18"/>
        </w:rPr>
        <w:t xml:space="preserve">Seattle Bubble – http://seattlebubble.com/blog/ </w:t>
      </w:r>
    </w:p>
    <w:p w14:paraId="1B4D4C25" w14:textId="77777777" w:rsidR="009D5946" w:rsidRPr="00826DB0" w:rsidRDefault="009D5946" w:rsidP="00826DB0">
      <w:pPr>
        <w:pStyle w:val="EndnoteText"/>
        <w:spacing w:after="0"/>
        <w:ind w:left="180"/>
        <w:rPr>
          <w:szCs w:val="18"/>
        </w:rPr>
      </w:pPr>
      <w:r w:rsidRPr="00826DB0">
        <w:rPr>
          <w:szCs w:val="18"/>
        </w:rPr>
        <w:t xml:space="preserve">Westside Bubble Blog – http://westside-bubble.blogspot.com/ </w:t>
      </w:r>
    </w:p>
    <w:p w14:paraId="7F6EE1E2" w14:textId="77777777" w:rsidR="009D5946" w:rsidRPr="00826DB0" w:rsidRDefault="009D5946" w:rsidP="00826DB0">
      <w:pPr>
        <w:pStyle w:val="EndnoteText"/>
        <w:spacing w:after="0"/>
        <w:ind w:left="180"/>
        <w:rPr>
          <w:szCs w:val="18"/>
        </w:rPr>
      </w:pPr>
      <w:r w:rsidRPr="00826DB0">
        <w:rPr>
          <w:szCs w:val="18"/>
        </w:rPr>
        <w:t xml:space="preserve">Marin Real Estate Bubble – http://marinrealestatebubble.blogspot.com/ </w:t>
      </w:r>
    </w:p>
    <w:p w14:paraId="5BDC8F04" w14:textId="77777777" w:rsidR="009D5946" w:rsidRPr="00826DB0" w:rsidRDefault="009D5946" w:rsidP="00826DB0">
      <w:pPr>
        <w:pStyle w:val="EndnoteText"/>
        <w:spacing w:after="0"/>
        <w:ind w:left="180"/>
        <w:rPr>
          <w:szCs w:val="18"/>
        </w:rPr>
      </w:pPr>
      <w:r w:rsidRPr="00826DB0">
        <w:rPr>
          <w:szCs w:val="18"/>
        </w:rPr>
        <w:t xml:space="preserve">Sonoma Housing Bubble – http://sonomahousingbubble.blogspot.com/ </w:t>
      </w:r>
    </w:p>
    <w:p w14:paraId="3767664B" w14:textId="77777777" w:rsidR="009D5946" w:rsidRPr="00826DB0" w:rsidRDefault="009D5946" w:rsidP="00826DB0">
      <w:pPr>
        <w:pStyle w:val="EndnoteText"/>
        <w:spacing w:after="0"/>
        <w:ind w:left="180"/>
        <w:rPr>
          <w:szCs w:val="18"/>
        </w:rPr>
      </w:pPr>
      <w:r w:rsidRPr="00826DB0">
        <w:rPr>
          <w:szCs w:val="18"/>
        </w:rPr>
        <w:t xml:space="preserve">New Jersey Real Estate Report – http://njrereport.com/ </w:t>
      </w:r>
    </w:p>
    <w:p w14:paraId="14CC1CEC" w14:textId="77777777" w:rsidR="009D5946" w:rsidRDefault="009D5946" w:rsidP="00826DB0">
      <w:pPr>
        <w:pStyle w:val="EndnoteText"/>
        <w:ind w:left="180"/>
      </w:pPr>
      <w:r w:rsidRPr="00826DB0">
        <w:rPr>
          <w:szCs w:val="18"/>
        </w:rPr>
        <w:t>New York City Housing Bubble – http://nychousingbubble.blogspot.com/</w:t>
      </w:r>
    </w:p>
  </w:endnote>
  <w:endnote w:id="3">
    <w:p w14:paraId="757E3CC2" w14:textId="77777777" w:rsidR="009D5946" w:rsidRDefault="009D5946" w:rsidP="00331A22">
      <w:pPr>
        <w:pStyle w:val="EndnoteText"/>
      </w:pPr>
      <w:r>
        <w:rPr>
          <w:rStyle w:val="EndnoteReference"/>
        </w:rPr>
        <w:endnoteRef/>
      </w:r>
      <w:r>
        <w:t xml:space="preserve"> Much of the author’s personal study of Buddhism comes from the writings and recordings of the author Jack Kornfield </w:t>
      </w:r>
      <w:sdt>
        <w:sdtPr>
          <w:id w:val="32673039"/>
          <w:citation/>
        </w:sdtPr>
        <w:sdtContent>
          <w:r>
            <w:fldChar w:fldCharType="begin"/>
          </w:r>
          <w:r>
            <w:instrText xml:space="preserve"> CITATION Kor96 \l 1033 </w:instrText>
          </w:r>
          <w:r>
            <w:fldChar w:fldCharType="separate"/>
          </w:r>
          <w:r>
            <w:rPr>
              <w:noProof/>
            </w:rPr>
            <w:t>(Kornfield, The Roots of Buddhist Psychology, 1996)</w:t>
          </w:r>
          <w:r>
            <w:rPr>
              <w:noProof/>
            </w:rPr>
            <w:fldChar w:fldCharType="end"/>
          </w:r>
        </w:sdtContent>
      </w:sdt>
      <w:r>
        <w:t xml:space="preserve">, </w:t>
      </w:r>
      <w:sdt>
        <w:sdtPr>
          <w:id w:val="32673040"/>
          <w:citation/>
        </w:sdtPr>
        <w:sdtContent>
          <w:r>
            <w:fldChar w:fldCharType="begin"/>
          </w:r>
          <w:r>
            <w:instrText xml:space="preserve"> CITATION Jac93 \l 1033 </w:instrText>
          </w:r>
          <w:r>
            <w:fldChar w:fldCharType="separate"/>
          </w:r>
          <w:r>
            <w:rPr>
              <w:noProof/>
            </w:rPr>
            <w:t>(Kornfield, The Inner Art of Meditation, 1993)</w:t>
          </w:r>
          <w:r>
            <w:rPr>
              <w:noProof/>
            </w:rPr>
            <w:fldChar w:fldCharType="end"/>
          </w:r>
        </w:sdtContent>
      </w:sdt>
      <w:r>
        <w:t xml:space="preserve">, </w:t>
      </w:r>
      <w:sdt>
        <w:sdtPr>
          <w:id w:val="32673041"/>
          <w:citation/>
        </w:sdtPr>
        <w:sdtContent>
          <w:r>
            <w:fldChar w:fldCharType="begin"/>
          </w:r>
          <w:r>
            <w:instrText xml:space="preserve"> CITATION Jac931 \l 1033 </w:instrText>
          </w:r>
          <w:r>
            <w:fldChar w:fldCharType="separate"/>
          </w:r>
          <w:r>
            <w:rPr>
              <w:noProof/>
            </w:rPr>
            <w:t>(Kornfield, A Path with Heart: A Guide Through the Perils and Promises of Spiritual Life, 1993)</w:t>
          </w:r>
          <w:r>
            <w:rPr>
              <w:noProof/>
            </w:rPr>
            <w:fldChar w:fldCharType="end"/>
          </w:r>
        </w:sdtContent>
      </w:sdt>
      <w:r>
        <w:t xml:space="preserve">, </w:t>
      </w:r>
      <w:sdt>
        <w:sdtPr>
          <w:id w:val="32673042"/>
          <w:citation/>
        </w:sdtPr>
        <w:sdtContent>
          <w:r>
            <w:fldChar w:fldCharType="begin"/>
          </w:r>
          <w:r>
            <w:instrText xml:space="preserve"> CITATION Jac00 \l 1033 </w:instrText>
          </w:r>
          <w:r>
            <w:fldChar w:fldCharType="separate"/>
          </w:r>
          <w:r>
            <w:rPr>
              <w:noProof/>
            </w:rPr>
            <w:t>(Kornfield, After the Ecstasy, the Laundry: How the Heart Grows Wise on the Spiritual Path, 2000)</w:t>
          </w:r>
          <w:r>
            <w:rPr>
              <w:noProof/>
            </w:rPr>
            <w:fldChar w:fldCharType="end"/>
          </w:r>
        </w:sdtContent>
      </w:sdt>
      <w:r>
        <w:t xml:space="preserve">. The audio recordings of the Roots of Buddhist Psychology have been particularly influential. </w:t>
      </w:r>
    </w:p>
  </w:endnote>
  <w:endnote w:id="4">
    <w:p w14:paraId="06EDD312" w14:textId="77777777" w:rsidR="009D5946" w:rsidRDefault="009D5946" w:rsidP="005F2F77">
      <w:pPr>
        <w:pStyle w:val="EndnoteText"/>
      </w:pPr>
      <w:r>
        <w:rPr>
          <w:rStyle w:val="EndnoteReference"/>
        </w:rPr>
        <w:endnoteRef/>
      </w:r>
      <w:r>
        <w:t xml:space="preserve"> The stock market experienced a 500% gain in a five year period before its infamous crash. Much of the reason for the wild increase in pricing was very low margin requirements. People were allowed to buy 10 times as much stock as they had money due to 10:1 margin trading. This expansion of credit through the broker’s margin is what drove prices up, and when prices started to fall, margin calls cascaded through the market and resulted in a crash.</w:t>
      </w:r>
    </w:p>
  </w:endnote>
  <w:endnote w:id="5">
    <w:p w14:paraId="6CC6FEED" w14:textId="77777777" w:rsidR="009D5946" w:rsidRDefault="009D5946">
      <w:pPr>
        <w:pStyle w:val="EndnoteText"/>
      </w:pPr>
      <w:r>
        <w:rPr>
          <w:rStyle w:val="EndnoteReference"/>
        </w:rPr>
        <w:endnoteRef/>
      </w:r>
      <w:r>
        <w:t xml:space="preserve">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in his book Irrational Exuberance </w:t>
      </w:r>
      <w:sdt>
        <w:sdtPr>
          <w:id w:val="32673037"/>
          <w:citation/>
        </w:sdtPr>
        <w:sdtContent>
          <w:r>
            <w:fldChar w:fldCharType="begin"/>
          </w:r>
          <w:r>
            <w:instrText xml:space="preserve"> CITATION Shi05 \l 1033 </w:instrText>
          </w:r>
          <w:r>
            <w:fldChar w:fldCharType="separate"/>
          </w:r>
          <w:r>
            <w:rPr>
              <w:noProof/>
            </w:rPr>
            <w:t>(Shiller, Irrational Exuberance, 2005)</w:t>
          </w:r>
          <w:r>
            <w:rPr>
              <w:noProof/>
            </w:rPr>
            <w:fldChar w:fldCharType="end"/>
          </w:r>
        </w:sdtContent>
      </w:sdt>
      <w:r>
        <w:t xml:space="preserve"> discusses precipitating factors at length from pages 31 -54. Most of the factors he mentions are macro-factors or more specifically related to the stock market.</w:t>
      </w:r>
    </w:p>
  </w:endnote>
  <w:endnote w:id="6">
    <w:p w14:paraId="292EBC71" w14:textId="77777777" w:rsidR="009D5946" w:rsidRDefault="009D5946" w:rsidP="00331A22">
      <w:pPr>
        <w:pStyle w:val="EndnoteText"/>
      </w:pPr>
      <w:r>
        <w:rPr>
          <w:rStyle w:val="EndnoteReference"/>
        </w:rPr>
        <w:endnoteRef/>
      </w:r>
      <w:r>
        <w:t xml:space="preserve"> According to data from the US Census Bureau and The US Department of Labor</w:t>
      </w:r>
      <w:r>
        <w:fldChar w:fldCharType="begin"/>
      </w:r>
      <w:r>
        <w:instrText xml:space="preserve"> XE "</w:instrText>
      </w:r>
      <w:r w:rsidRPr="0091021A">
        <w:rPr>
          <w:rFonts w:cs="Times New Roman"/>
        </w:rPr>
        <w:instrText>Department of Labor</w:instrText>
      </w:r>
      <w:r>
        <w:instrText xml:space="preserve">" </w:instrText>
      </w:r>
      <w:r>
        <w:fldChar w:fldCharType="end"/>
      </w:r>
      <w:r>
        <w:t>, wage growth since 1976 has averaged 4.62% and inflation has averaged 4.42%.</w:t>
      </w:r>
    </w:p>
  </w:endnote>
  <w:endnote w:id="7">
    <w:p w14:paraId="00FFF593" w14:textId="77777777" w:rsidR="009D5946" w:rsidRDefault="009D5946">
      <w:pPr>
        <w:pStyle w:val="EndnoteText"/>
      </w:pPr>
      <w:r>
        <w:rPr>
          <w:rStyle w:val="EndnoteReference"/>
        </w:rPr>
        <w:endnoteRef/>
      </w:r>
      <w:r>
        <w:t xml:space="preserve"> From 2002-2006 in Irvine, California, the median</w:t>
      </w:r>
      <w:r>
        <w:fldChar w:fldCharType="begin"/>
      </w:r>
      <w:r>
        <w:instrText xml:space="preserve"> XE "</w:instrText>
      </w:r>
      <w:r w:rsidRPr="008D714B">
        <w:rPr>
          <w:rFonts w:cs="Times New Roman"/>
        </w:rPr>
        <w:instrText>median</w:instrText>
      </w:r>
      <w:r>
        <w:instrText xml:space="preserve">" </w:instrText>
      </w:r>
      <w:r>
        <w:fldChar w:fldCharType="end"/>
      </w:r>
      <w:r>
        <w:t xml:space="preserve"> house price increased by an amount </w:t>
      </w:r>
      <w:r w:rsidRPr="00641404">
        <w:rPr>
          <w:i/>
        </w:rPr>
        <w:t>each year</w:t>
      </w:r>
      <w:r>
        <w:t xml:space="preserve"> equal to the median income.</w:t>
      </w:r>
    </w:p>
  </w:endnote>
  <w:endnote w:id="8">
    <w:p w14:paraId="767CB68E" w14:textId="77777777" w:rsidR="009D5946" w:rsidRDefault="009D5946">
      <w:pPr>
        <w:pStyle w:val="EndnoteText"/>
      </w:pPr>
      <w:r>
        <w:rPr>
          <w:rStyle w:val="EndnoteReference"/>
        </w:rPr>
        <w:endnoteRef/>
      </w:r>
      <w:r>
        <w:t xml:space="preserve"> Karl Case</w:t>
      </w:r>
      <w:r>
        <w:fldChar w:fldCharType="begin"/>
      </w:r>
      <w:r>
        <w:instrText xml:space="preserve"> XE "</w:instrText>
      </w:r>
      <w:r w:rsidRPr="00D83148">
        <w:rPr>
          <w:rFonts w:cs="Times New Roman"/>
        </w:rPr>
        <w:instrText>Karl Case</w:instrText>
      </w:r>
      <w:r>
        <w:instrText xml:space="preserve">" </w:instrText>
      </w:r>
      <w:r>
        <w:fldChar w:fldCharType="end"/>
      </w:r>
      <w:r>
        <w:t xml:space="preserve"> and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noted that a buyer’s willingness to pay high prices depended in part on their perception of risk of price decline </w:t>
      </w:r>
      <w:sdt>
        <w:sdtPr>
          <w:id w:val="32673035"/>
          <w:citation/>
        </w:sdtPr>
        <w:sdtContent>
          <w:r>
            <w:fldChar w:fldCharType="begin"/>
          </w:r>
          <w:r>
            <w:instrText xml:space="preserve"> CITATION Kar88 \l 1033  </w:instrText>
          </w:r>
          <w:r>
            <w:fldChar w:fldCharType="separate"/>
          </w:r>
          <w:r>
            <w:rPr>
              <w:noProof/>
            </w:rPr>
            <w:t>(Case &amp; Shiller, The Behavior of Home Buyers in Boom and Post-Boom Markets, 1988)</w:t>
          </w:r>
          <w:r>
            <w:rPr>
              <w:noProof/>
            </w:rPr>
            <w:fldChar w:fldCharType="end"/>
          </w:r>
        </w:sdtContent>
      </w:sdt>
      <w:r>
        <w:t>. Very few buyers in the markets they surveyed during the coastal boom of the late 1980s though prices could go down.</w:t>
      </w:r>
    </w:p>
  </w:endnote>
  <w:endnote w:id="9">
    <w:p w14:paraId="29746198" w14:textId="77777777" w:rsidR="009D5946" w:rsidRDefault="009D5946">
      <w:pPr>
        <w:pStyle w:val="EndnoteText"/>
      </w:pPr>
      <w:r>
        <w:rPr>
          <w:rStyle w:val="EndnoteReference"/>
        </w:rPr>
        <w:endnoteRef/>
      </w:r>
      <w:r>
        <w:t xml:space="preserve"> Psychologists have noted narrative-based thinking is extremely important in human decision making </w:t>
      </w:r>
      <w:sdt>
        <w:sdtPr>
          <w:id w:val="32673036"/>
          <w:citation/>
        </w:sdtPr>
        <w:sdtContent>
          <w:r>
            <w:fldChar w:fldCharType="begin"/>
          </w:r>
          <w:r>
            <w:instrText xml:space="preserve"> CITATION Rob071 \l 1033 </w:instrText>
          </w:r>
          <w:r>
            <w:fldChar w:fldCharType="separate"/>
          </w:r>
          <w:r>
            <w:rPr>
              <w:noProof/>
            </w:rPr>
            <w:t>(Shiller, Historic Turning Points in Real Estate, 2007)</w:t>
          </w:r>
          <w:r>
            <w:rPr>
              <w:noProof/>
            </w:rPr>
            <w:fldChar w:fldCharType="end"/>
          </w:r>
        </w:sdtContent>
      </w:sdt>
      <w:r>
        <w:t>. When realtors or anyone working in sales creates a compelling narrative, it is very effective in motivating buyers.</w:t>
      </w:r>
    </w:p>
  </w:endnote>
  <w:endnote w:id="10">
    <w:p w14:paraId="70D0DAC2" w14:textId="77777777" w:rsidR="009D5946" w:rsidRPr="00EF0EDA" w:rsidRDefault="009D5946">
      <w:pPr>
        <w:pStyle w:val="EndnoteText"/>
      </w:pPr>
      <w:r>
        <w:rPr>
          <w:rStyle w:val="EndnoteReference"/>
        </w:rPr>
        <w:endnoteRef/>
      </w:r>
      <w:r>
        <w:t xml:space="preserve"> The author could not find the source for the widely cited quote from Irving Fisher</w:t>
      </w:r>
      <w:r>
        <w:fldChar w:fldCharType="begin"/>
      </w:r>
      <w:r>
        <w:instrText xml:space="preserve"> XE "</w:instrText>
      </w:r>
      <w:r w:rsidRPr="00660E58">
        <w:rPr>
          <w:rFonts w:cs="Times New Roman"/>
        </w:rPr>
        <w:instrText>Irving Fisher</w:instrText>
      </w:r>
      <w:r>
        <w:instrText xml:space="preserve">" </w:instrText>
      </w:r>
      <w:r>
        <w:fldChar w:fldCharType="end"/>
      </w:r>
      <w:r>
        <w:t xml:space="preserve"> where he said, </w:t>
      </w:r>
      <w:r w:rsidRPr="00EF0EDA">
        <w:t>“</w:t>
      </w:r>
      <w:r w:rsidRPr="00EF0EDA">
        <w:rPr>
          <w:iCs/>
        </w:rPr>
        <w:t>Stock prices have reached what looks like a permanently high plateau.</w:t>
      </w:r>
      <w:r w:rsidRPr="00EF0EDA">
        <w:t>”</w:t>
      </w:r>
      <w:r>
        <w:t xml:space="preserve"> It is held as the standard for incorrect market prognostications.</w:t>
      </w:r>
    </w:p>
  </w:endnote>
  <w:endnote w:id="11">
    <w:p w14:paraId="17653CD0" w14:textId="77777777" w:rsidR="009D5946" w:rsidRDefault="009D5946">
      <w:pPr>
        <w:pStyle w:val="EndnoteText"/>
      </w:pPr>
      <w:r>
        <w:rPr>
          <w:rStyle w:val="EndnoteReference"/>
        </w:rPr>
        <w:endnoteRef/>
      </w:r>
      <w:r>
        <w:t xml:space="preserve">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has noted there is a tendency among investors to overestimate how unique an investment they favor is. These investors fail to take into account the supply response to higher prices </w:t>
      </w:r>
      <w:sdt>
        <w:sdtPr>
          <w:id w:val="32673032"/>
          <w:citation/>
        </w:sdtPr>
        <w:sdtContent>
          <w:r>
            <w:fldChar w:fldCharType="begin"/>
          </w:r>
          <w:r>
            <w:instrText xml:space="preserve"> CITATION Rob07 \l 1033 </w:instrText>
          </w:r>
          <w:r>
            <w:fldChar w:fldCharType="separate"/>
          </w:r>
          <w:r>
            <w:rPr>
              <w:noProof/>
            </w:rPr>
            <w:t>(Shiller, Understanding Recent Trends in House Prices and Home Ownership, 2007)</w:t>
          </w:r>
          <w:r>
            <w:rPr>
              <w:noProof/>
            </w:rPr>
            <w:fldChar w:fldCharType="end"/>
          </w:r>
        </w:sdtContent>
      </w:sdt>
      <w:r>
        <w:t xml:space="preserve">. Supply shortages are never permanent. The ends of booms are almost always associated with an unexpected glut of supply. Also, the idea of there being “not enough land” was cited in surveys going back to 1988 </w:t>
      </w:r>
      <w:sdt>
        <w:sdtPr>
          <w:id w:val="32673033"/>
          <w:citation/>
        </w:sdtPr>
        <w:sdtContent>
          <w:r>
            <w:fldChar w:fldCharType="begin"/>
          </w:r>
          <w:r>
            <w:instrText xml:space="preserve"> CITATION Kar88 \l 1033  </w:instrText>
          </w:r>
          <w:r>
            <w:fldChar w:fldCharType="separate"/>
          </w:r>
          <w:r>
            <w:rPr>
              <w:noProof/>
            </w:rPr>
            <w:t>(Case &amp; Shiller, The Behavior of Home Buyers in Boom and Post-Boom Markets, 1988)</w:t>
          </w:r>
          <w:r>
            <w:rPr>
              <w:noProof/>
            </w:rPr>
            <w:fldChar w:fldCharType="end"/>
          </w:r>
        </w:sdtContent>
      </w:sdt>
      <w:r>
        <w:t>.</w:t>
      </w:r>
    </w:p>
  </w:endnote>
  <w:endnote w:id="12">
    <w:p w14:paraId="21DAC677" w14:textId="77777777" w:rsidR="009D5946" w:rsidRDefault="009D5946" w:rsidP="002B6101">
      <w:pPr>
        <w:pStyle w:val="EndnoteText"/>
      </w:pPr>
      <w:r>
        <w:rPr>
          <w:rStyle w:val="EndnoteReference"/>
        </w:rPr>
        <w:endnoteRef/>
      </w:r>
      <w:r>
        <w:t xml:space="preserve"> William Jaeger studied the issue of land use control limiting local housing supply in his paper </w:t>
      </w:r>
      <w:r w:rsidRPr="002B6101">
        <w:t>The Effects of Land-Use Regulations on Property Values</w:t>
      </w:r>
      <w:r>
        <w:t xml:space="preserve"> </w:t>
      </w:r>
      <w:sdt>
        <w:sdtPr>
          <w:id w:val="32673034"/>
          <w:citation/>
        </w:sdtPr>
        <w:sdtContent>
          <w:r>
            <w:fldChar w:fldCharType="begin"/>
          </w:r>
          <w:r>
            <w:instrText xml:space="preserve"> CITATION Wil06 \l 1033 </w:instrText>
          </w:r>
          <w:r>
            <w:fldChar w:fldCharType="separate"/>
          </w:r>
          <w:r>
            <w:rPr>
              <w:noProof/>
            </w:rPr>
            <w:t>(Jaeger, 2006)</w:t>
          </w:r>
          <w:r>
            <w:rPr>
              <w:noProof/>
            </w:rPr>
            <w:fldChar w:fldCharType="end"/>
          </w:r>
        </w:sdtContent>
      </w:sdt>
      <w:r>
        <w:t>. His conclusions are as follows: “Land-use regulations can affect property values in a variety of complex ways. In the context of laws like Oregon's Measure 37, requiring that landowners be compensated if regulations reduce property values, the economic effects of land use regulations on property values have been widely misinterpreted because two very different economic concepts are being confused and used interchangeably. The first concept is "the effect of a land use regulation on property values" which measures the change in value when a regulation is added to many parcels. The second concept is "the effect of an individual exemption, or variance, to an existing land use regulation," which measures the change in value when a regulation is removed from only one parcel. The effect of a land-use regulation on property values can be positive or negative, whereas removing a land-use regulation from one property can be expected to have a positive effect. Indeed, many land-use regulations actually increase property values by creating positive "amenity effects" and "scarcity effects. "As a result of these differences, a positive estimate for removing a land-use regulation cannot be interpreted as proof that the other concept was negative. Despite this, a positive value for an individual exemption to a land-use regulation continues to be interpreted as proof that compensation is due under Oregon's Measure 37. Indeed, this mistaken interpretation may be partly responsible for public sentiment that land-use regulations tend to reduce property values.”</w:t>
      </w:r>
    </w:p>
  </w:endnote>
  <w:endnote w:id="13">
    <w:p w14:paraId="60FC80F8" w14:textId="77777777" w:rsidR="009D5946" w:rsidRDefault="009D5946">
      <w:pPr>
        <w:pStyle w:val="EndnoteText"/>
      </w:pPr>
      <w:r>
        <w:rPr>
          <w:rStyle w:val="EndnoteReference"/>
        </w:rPr>
        <w:endnoteRef/>
      </w:r>
      <w:r>
        <w:t xml:space="preserve"> In the paper, </w:t>
      </w:r>
      <w:r w:rsidRPr="00905C03">
        <w:t>Asset Price Bubble in Japan in the 1980s: Lessons for Financial and Macroeconomic Stability</w:t>
      </w:r>
      <w:r>
        <w:t xml:space="preserve"> </w:t>
      </w:r>
      <w:sdt>
        <w:sdtPr>
          <w:id w:val="32673031"/>
          <w:citation/>
        </w:sdtPr>
        <w:sdtContent>
          <w:r>
            <w:fldChar w:fldCharType="begin"/>
          </w:r>
          <w:r>
            <w:instrText xml:space="preserve"> CITATION Shi03 \l 1033 </w:instrText>
          </w:r>
          <w:r>
            <w:fldChar w:fldCharType="separate"/>
          </w:r>
          <w:r>
            <w:rPr>
              <w:noProof/>
            </w:rPr>
            <w:t>(Shiratsuka, 2003)</w:t>
          </w:r>
          <w:r>
            <w:rPr>
              <w:noProof/>
            </w:rPr>
            <w:fldChar w:fldCharType="end"/>
          </w:r>
        </w:sdtContent>
      </w:sdt>
      <w:r>
        <w:t>, the author reached the following conclusion, “</w:t>
      </w:r>
      <w:r w:rsidRPr="00905C03">
        <w:t>Japan’s experience of asset price bubble is characterized by euphoria, that is, excessively optimistic expectations with respect to future economic fundamentals, which lasted for several years and then burst. Under such circumstances, policymakers are unlikely to take an appropriate policy response without evaluating whether asset price hikes are euphoric or not, and forecast a correct path for the potential growth rate. In so doing, it is deemed important to assess the sustainability of financial and macroeconomic stability.</w:t>
      </w:r>
      <w:r>
        <w:t>” The paper is more history than analysis, but it provides a good background understanding of the Japanese housing and stock market bubble.</w:t>
      </w:r>
    </w:p>
  </w:endnote>
  <w:endnote w:id="14">
    <w:p w14:paraId="51EC9DB5" w14:textId="77777777" w:rsidR="009D5946" w:rsidRDefault="009D5946">
      <w:pPr>
        <w:pStyle w:val="EndnoteText"/>
      </w:pPr>
      <w:r>
        <w:rPr>
          <w:rStyle w:val="EndnoteReference"/>
        </w:rPr>
        <w:endnoteRef/>
      </w:r>
      <w:r>
        <w:t xml:space="preserve"> Karl Case</w:t>
      </w:r>
      <w:r>
        <w:fldChar w:fldCharType="begin"/>
      </w:r>
      <w:r>
        <w:instrText xml:space="preserve"> XE "</w:instrText>
      </w:r>
      <w:r w:rsidRPr="00D83148">
        <w:rPr>
          <w:rFonts w:cs="Times New Roman"/>
        </w:rPr>
        <w:instrText>Karl Case</w:instrText>
      </w:r>
      <w:r>
        <w:instrText xml:space="preserve">" </w:instrText>
      </w:r>
      <w:r>
        <w:fldChar w:fldCharType="end"/>
      </w:r>
      <w:r>
        <w:t xml:space="preserve"> and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mentioned a report in the Harvard Business Review that spoke of businesses in boom regions were unable to attract labor due to the high cost of housing. </w:t>
      </w:r>
      <w:sdt>
        <w:sdtPr>
          <w:id w:val="32673030"/>
          <w:citation/>
        </w:sdtPr>
        <w:sdtContent>
          <w:r>
            <w:fldChar w:fldCharType="begin"/>
          </w:r>
          <w:r>
            <w:instrText xml:space="preserve"> CITATION Kar88 \l 1033 </w:instrText>
          </w:r>
          <w:r>
            <w:fldChar w:fldCharType="separate"/>
          </w:r>
          <w:r>
            <w:rPr>
              <w:noProof/>
            </w:rPr>
            <w:t>(Case &amp; Shiller, The Behavior of Home Buyers in Boom and Post-Boom Markets, 1988)</w:t>
          </w:r>
          <w:r>
            <w:rPr>
              <w:noProof/>
            </w:rPr>
            <w:fldChar w:fldCharType="end"/>
          </w:r>
        </w:sdtContent>
      </w:sdt>
    </w:p>
  </w:endnote>
  <w:endnote w:id="15">
    <w:p w14:paraId="7D6B0D01" w14:textId="77777777" w:rsidR="009D5946" w:rsidRDefault="009D5946">
      <w:pPr>
        <w:pStyle w:val="EndnoteText"/>
      </w:pPr>
      <w:r>
        <w:rPr>
          <w:rStyle w:val="EndnoteReference"/>
        </w:rPr>
        <w:endnoteRef/>
      </w:r>
      <w:r>
        <w:t xml:space="preserve">  Karl Case</w:t>
      </w:r>
      <w:r>
        <w:fldChar w:fldCharType="begin"/>
      </w:r>
      <w:r>
        <w:instrText xml:space="preserve"> XE "</w:instrText>
      </w:r>
      <w:r w:rsidRPr="00D83148">
        <w:rPr>
          <w:rFonts w:cs="Times New Roman"/>
        </w:rPr>
        <w:instrText>Karl Case</w:instrText>
      </w:r>
      <w:r>
        <w:instrText xml:space="preserve">" </w:instrText>
      </w:r>
      <w:r>
        <w:fldChar w:fldCharType="end"/>
      </w:r>
      <w:r>
        <w:t xml:space="preserve"> and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noted </w:t>
      </w:r>
      <w:sdt>
        <w:sdtPr>
          <w:id w:val="32673028"/>
          <w:citation/>
        </w:sdtPr>
        <w:sdtContent>
          <w:r>
            <w:fldChar w:fldCharType="begin"/>
          </w:r>
          <w:r>
            <w:instrText xml:space="preserve"> CITATION Kar04 \l 1033  </w:instrText>
          </w:r>
          <w:r>
            <w:fldChar w:fldCharType="separate"/>
          </w:r>
          <w:r>
            <w:rPr>
              <w:noProof/>
            </w:rPr>
            <w:t>(Case &amp; Shiller, Is There a Bubble in the Housing Market, 2004)</w:t>
          </w:r>
          <w:r>
            <w:rPr>
              <w:noProof/>
            </w:rPr>
            <w:fldChar w:fldCharType="end"/>
          </w:r>
        </w:sdtContent>
      </w:sdt>
      <w:r>
        <w:t xml:space="preserve"> overwhelming agreement with the statement “Housing prices have boomed in [city] because lots of people want to live here.” Another recurring idea in the “everyone wants to live here” meme is the “rich Asians are buying.” This fallacy is promoted in every real estate bubble. </w:t>
      </w:r>
      <w:sdt>
        <w:sdtPr>
          <w:id w:val="32673029"/>
          <w:citation/>
        </w:sdtPr>
        <w:sdtContent>
          <w:r>
            <w:fldChar w:fldCharType="begin"/>
          </w:r>
          <w:r>
            <w:instrText xml:space="preserve"> CITATION Kar88 \l 1033  </w:instrText>
          </w:r>
          <w:r>
            <w:fldChar w:fldCharType="separate"/>
          </w:r>
          <w:r>
            <w:rPr>
              <w:noProof/>
            </w:rPr>
            <w:t>(Case &amp; Shiller, The Behavior of Home Buyers in Boom and Post-Boom Markets, 1988)</w:t>
          </w:r>
          <w:r>
            <w:rPr>
              <w:noProof/>
            </w:rPr>
            <w:fldChar w:fldCharType="end"/>
          </w:r>
        </w:sdtContent>
      </w:sdt>
      <w:r>
        <w:t xml:space="preserve"> </w:t>
      </w:r>
    </w:p>
  </w:endnote>
  <w:endnote w:id="16">
    <w:p w14:paraId="0EDEE0EB" w14:textId="77777777" w:rsidR="009D5946" w:rsidRDefault="009D5946">
      <w:pPr>
        <w:pStyle w:val="EndnoteText"/>
      </w:pPr>
      <w:r>
        <w:rPr>
          <w:rStyle w:val="EndnoteReference"/>
        </w:rPr>
        <w:endnoteRef/>
      </w:r>
      <w:r>
        <w:t xml:space="preserve"> Michael Wolff wrote the book </w:t>
      </w:r>
      <w:r w:rsidRPr="00A12EE2">
        <w:t>B</w:t>
      </w:r>
      <w:r>
        <w:t>urn Rate</w:t>
      </w:r>
      <w:r w:rsidRPr="00A12EE2">
        <w:t>: How I Survived the Gold Rush Years on the Internet</w:t>
      </w:r>
      <w:r>
        <w:t xml:space="preserve"> </w:t>
      </w:r>
      <w:sdt>
        <w:sdtPr>
          <w:id w:val="32672870"/>
          <w:citation/>
        </w:sdtPr>
        <w:sdtContent>
          <w:r>
            <w:fldChar w:fldCharType="begin"/>
          </w:r>
          <w:r>
            <w:instrText xml:space="preserve"> CITATION Mic98 \l 1033 </w:instrText>
          </w:r>
          <w:r>
            <w:fldChar w:fldCharType="separate"/>
          </w:r>
          <w:r>
            <w:rPr>
              <w:noProof/>
            </w:rPr>
            <w:t>(Wolff, 1998)</w:t>
          </w:r>
          <w:r>
            <w:rPr>
              <w:noProof/>
            </w:rPr>
            <w:fldChar w:fldCharType="end"/>
          </w:r>
        </w:sdtContent>
      </w:sdt>
      <w:r>
        <w:t xml:space="preserve"> describing the strange investor behavior of the internet startup era.</w:t>
      </w:r>
    </w:p>
  </w:endnote>
  <w:endnote w:id="17">
    <w:p w14:paraId="17674D19" w14:textId="77777777" w:rsidR="009D5946" w:rsidRDefault="009D5946">
      <w:pPr>
        <w:pStyle w:val="EndnoteText"/>
      </w:pPr>
      <w:r>
        <w:rPr>
          <w:rStyle w:val="EndnoteReference"/>
        </w:rPr>
        <w:endnoteRef/>
      </w:r>
      <w:r>
        <w:t xml:space="preserve">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’s surveys have demonstrated most home purchasers have little real knowledge or agreement about the underlying causes of price rallies. Most would cite clichés, images or popular fallacies rather than hard evidence or analysis of data with correspondence to prices. </w:t>
      </w:r>
      <w:sdt>
        <w:sdtPr>
          <w:id w:val="32672871"/>
          <w:citation/>
        </w:sdtPr>
        <w:sdtContent>
          <w:r>
            <w:fldChar w:fldCharType="begin"/>
          </w:r>
          <w:r>
            <w:instrText xml:space="preserve"> CITATION Kar88 \l 1033  </w:instrText>
          </w:r>
          <w:r>
            <w:fldChar w:fldCharType="separate"/>
          </w:r>
          <w:r>
            <w:rPr>
              <w:noProof/>
            </w:rPr>
            <w:t>(Case &amp; Shiller, The Behavior of Home Buyers in Boom and Post-Boom Markets, 1988)</w:t>
          </w:r>
          <w:r>
            <w:rPr>
              <w:noProof/>
            </w:rPr>
            <w:fldChar w:fldCharType="end"/>
          </w:r>
        </w:sdtContent>
      </w:sdt>
    </w:p>
  </w:endnote>
  <w:endnote w:id="18">
    <w:p w14:paraId="7105749F" w14:textId="77777777" w:rsidR="009D5946" w:rsidRDefault="009D5946">
      <w:pPr>
        <w:pStyle w:val="EndnoteText"/>
      </w:pPr>
      <w:r>
        <w:rPr>
          <w:rStyle w:val="EndnoteReference"/>
        </w:rPr>
        <w:endnoteRef/>
      </w:r>
      <w:r>
        <w:t xml:space="preserve"> Stated-Income Loans also known as “liar loans” were widespread during the bubble. People frequently fabricated their income.</w:t>
      </w:r>
    </w:p>
  </w:endnote>
  <w:endnote w:id="19">
    <w:p w14:paraId="7957EEF8" w14:textId="77777777" w:rsidR="009D5946" w:rsidRDefault="009D5946">
      <w:pPr>
        <w:pStyle w:val="EndnoteText"/>
      </w:pPr>
      <w:r>
        <w:rPr>
          <w:rStyle w:val="EndnoteReference"/>
        </w:rPr>
        <w:endnoteRef/>
      </w:r>
      <w:r>
        <w:t xml:space="preserve"> One of the more interesting phenomenon observed in the scholarly literature during a financial bubble</w:t>
      </w:r>
      <w:r>
        <w:fldChar w:fldCharType="begin"/>
      </w:r>
      <w:r>
        <w:instrText xml:space="preserve"> XE "</w:instrText>
      </w:r>
      <w:r w:rsidRPr="005E11A5">
        <w:rPr>
          <w:rFonts w:cs="Times New Roman"/>
        </w:rPr>
        <w:instrText>financial bubble</w:instrText>
      </w:r>
      <w:r>
        <w:instrText xml:space="preserve">" </w:instrText>
      </w:r>
      <w:r>
        <w:fldChar w:fldCharType="end"/>
      </w:r>
      <w:r>
        <w:t xml:space="preserve"> is the number of analysts who look at the data and are unable to form an objective opinion about what the data shows them. In the paper </w:t>
      </w:r>
      <w:r w:rsidRPr="0022713A">
        <w:t>Bubbles, Human Judgment, and Expert Opinion</w:t>
      </w:r>
      <w:r>
        <w:t xml:space="preserve"> </w:t>
      </w:r>
      <w:sdt>
        <w:sdtPr>
          <w:id w:val="32673025"/>
          <w:citation/>
        </w:sdtPr>
        <w:sdtContent>
          <w:r>
            <w:fldChar w:fldCharType="begin"/>
          </w:r>
          <w:r>
            <w:instrText xml:space="preserve"> CITATION Rob01 \l 1033 </w:instrText>
          </w:r>
          <w:r>
            <w:fldChar w:fldCharType="separate"/>
          </w:r>
          <w:r>
            <w:rPr>
              <w:noProof/>
            </w:rPr>
            <w:t>(Shiller, Bubbles, Human Judgment, and Expert Opinion, 2001)</w:t>
          </w:r>
          <w:r>
            <w:rPr>
              <w:noProof/>
            </w:rPr>
            <w:fldChar w:fldCharType="end"/>
          </w:r>
        </w:sdtContent>
      </w:sdt>
      <w:r>
        <w:t>,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examines this phenomenon. In his introduction he noted, “</w:t>
      </w:r>
      <w:r w:rsidRPr="001F4FE6">
        <w:t>There are many who have been arguing in effect that the market (or major components of it) has been undergoing a bubble. It would seem that it is essential to their notion of a bubble that investors’ actions are, in one way or another, foolish. Others sharply disagree with these bubble stories, and it is precisely this intimation of foolishness that seems to bother them. It seems to them just implausible that investors at large have been foolish.</w:t>
      </w:r>
      <w:r>
        <w:t>” The tone of many of the journal articles seems rather defensive and dismissive of the idea of a bubble even when the evidence is clear. One can surmise this tone is the result of the “foolishness” Dr. Shiller describes.  In his conclusion he writes, “</w:t>
      </w:r>
      <w:r w:rsidRPr="001F4FE6">
        <w:t>human patterns of less-than-perfectly rational behavior are central to financial market behavior, even among investment professionals, while at the same time there is little outright foolishness among investors. It is hard for writers in the news media, who describe financial markets, to convey the nature of any essential irrationality, since they cannot all review the relevant social science literature in their news article. They are left with punchy references to pop psychology that may serve to discredit them in many eyes. That is part of the reason why we have been left with a sense of strong public disagreement about the nature of speculative bubbles.</w:t>
      </w:r>
      <w:r>
        <w:t xml:space="preserve">” It is amazing to this author how so many academics along with the general public can completely miss financial bubbles and deny their existence past the point where it is obvious to everyone. Ben Stein was the poster child for this behavior during the Great Housing Bubble. One of the scholarly references showing this dismissal of the obvious is </w:t>
      </w:r>
      <w:r w:rsidRPr="00055784">
        <w:t>The great turn-of-the-century housing boom</w:t>
      </w:r>
      <w:r>
        <w:t xml:space="preserve"> </w:t>
      </w:r>
      <w:sdt>
        <w:sdtPr>
          <w:id w:val="32673026"/>
          <w:citation/>
        </w:sdtPr>
        <w:sdtContent>
          <w:r>
            <w:fldChar w:fldCharType="begin"/>
          </w:r>
          <w:r>
            <w:instrText xml:space="preserve"> CITATION Jon05 \l 1033 </w:instrText>
          </w:r>
          <w:r>
            <w:fldChar w:fldCharType="separate"/>
          </w:r>
          <w:r>
            <w:rPr>
              <w:noProof/>
            </w:rPr>
            <w:t>(Fisher &amp; Quayyum, 2005)</w:t>
          </w:r>
          <w:r>
            <w:rPr>
              <w:noProof/>
            </w:rPr>
            <w:fldChar w:fldCharType="end"/>
          </w:r>
        </w:sdtContent>
      </w:sdt>
      <w:r w:rsidRPr="00055784">
        <w:t xml:space="preserve"> by Jonas D. M. Fisher and Saad Quayyum</w:t>
      </w:r>
      <w:r>
        <w:t>. In it they reach the following completely erroneous conclusion right at the peak of the bubble, “</w:t>
      </w:r>
      <w:r w:rsidRPr="00055784">
        <w:t>To the extent that the quantities can be understood by considering the underlying economic fundamentals, such as productivity growth and the evolution of the mortgage market, then the recent growth in house prices is probably not due to excessive speculation in the housing market, such as occurs in a bubble. We argue that our findings point toward the high prices being driven by fundamentals.</w:t>
      </w:r>
      <w:r>
        <w:t>” Even at the very peak of the insanity, there are well-educated market observers that miss the signs or believe the fallacies which serve to inflate the bubble.</w:t>
      </w:r>
    </w:p>
  </w:endnote>
  <w:endnote w:id="20">
    <w:p w14:paraId="3D779FFF" w14:textId="77777777" w:rsidR="009D5946" w:rsidRDefault="009D5946" w:rsidP="00A40CA5">
      <w:pPr>
        <w:pStyle w:val="EndnoteText"/>
      </w:pPr>
      <w:r>
        <w:rPr>
          <w:rStyle w:val="EndnoteReference"/>
        </w:rPr>
        <w:endnoteRef/>
      </w:r>
      <w:r>
        <w:t xml:space="preserve"> Alan Greenspan</w:t>
      </w:r>
      <w:r>
        <w:fldChar w:fldCharType="begin"/>
      </w:r>
      <w:r>
        <w:instrText xml:space="preserve"> XE "</w:instrText>
      </w:r>
      <w:r w:rsidRPr="009F73BE">
        <w:rPr>
          <w:rFonts w:cs="Times New Roman"/>
        </w:rPr>
        <w:instrText>Alan Greenspan</w:instrText>
      </w:r>
      <w:r>
        <w:instrText xml:space="preserve">" </w:instrText>
      </w:r>
      <w:r>
        <w:fldChar w:fldCharType="end"/>
      </w:r>
      <w:r>
        <w:t xml:space="preserve"> made the following statements a</w:t>
      </w:r>
      <w:r w:rsidRPr="006D6D92">
        <w:t>t the Credit Union National Association 2004 Governmental Affairs Conference</w:t>
      </w:r>
      <w:r>
        <w:t>, “Indeed, recent research within the Federal Reserve</w:t>
      </w:r>
      <w:r>
        <w:fldChar w:fldCharType="begin"/>
      </w:r>
      <w:r>
        <w:instrText xml:space="preserve"> XE "</w:instrText>
      </w:r>
      <w:r w:rsidRPr="005F15E8">
        <w:rPr>
          <w:rFonts w:cs="Times New Roman"/>
        </w:rPr>
        <w:instrText>Federal Reserve</w:instrText>
      </w:r>
      <w:r>
        <w:instrText xml:space="preserve">" </w:instrText>
      </w:r>
      <w:r>
        <w:fldChar w:fldCharType="end"/>
      </w:r>
      <w:r>
        <w:t xml:space="preserve"> suggests that many homeowners might have saved tens of thousands of dollars had they held adjustable-rate mortgages rather than fixed-rate mortgages during the past decade, though this would not have been the case, of course, had interest rates trended sharply upward. American homeowners clearly like the certainty of fixed mortgage payments. This preference is in striking contrast to the situation in some other countries, where adjustable-rate mortgages are far more common and where efforts to introduce American-type fixed-rate mortgages generally have not been successful. Fixed-rate mortgages seem unduly expensive to households in other countries. One possible reason is that these mortgages effectively charge homeowners high fees for protection against rising interest rates and for the right to refinance. American consumers might benefit if lenders provided greater mortgage product alternatives to the traditional fixed-rate mortgage. To the degree that households are driven by fears of payment shocks but are willing to manage their own interest rate risks, the traditional fixed-rate mortgage may be an expensive method of financing a home.” It is a good thing Alan Greenspan was our central banker and not a financial adviser. Many people who “benefited” from the mortgage product alternatives lost their homes in foreclosure</w:t>
      </w:r>
      <w:r>
        <w:fldChar w:fldCharType="begin"/>
      </w:r>
      <w:r>
        <w:instrText xml:space="preserve"> XE "</w:instrText>
      </w:r>
      <w:r w:rsidRPr="00011F5A">
        <w:rPr>
          <w:rFonts w:cs="Times New Roman"/>
        </w:rPr>
        <w:instrText>foreclosure</w:instrText>
      </w:r>
      <w:r>
        <w:instrText xml:space="preserve">" </w:instrText>
      </w:r>
      <w:r>
        <w:fldChar w:fldCharType="end"/>
      </w:r>
      <w:r>
        <w:t xml:space="preserve">. There is a reason homeowners like fixed-rate mortgages. How exactly are borrowers supposed to “manage their own interest rate risks” without using fixed-rate mortgages? Perhaps if Alan Greenspan had thought that statement through, his advice might have been different. Daniel Gross wrote about the folly of this speech in his weekly column on the internet magazine Slate </w:t>
      </w:r>
      <w:sdt>
        <w:sdtPr>
          <w:id w:val="32673027"/>
          <w:citation/>
        </w:sdtPr>
        <w:sdtContent>
          <w:r>
            <w:fldChar w:fldCharType="begin"/>
          </w:r>
          <w:r>
            <w:instrText xml:space="preserve"> CITATION Dan04 \l 1033 </w:instrText>
          </w:r>
          <w:r>
            <w:fldChar w:fldCharType="separate"/>
          </w:r>
          <w:r>
            <w:rPr>
              <w:noProof/>
            </w:rPr>
            <w:t>(Gross, Alan Greenspan: ARMed and Dangerous, 2004)</w:t>
          </w:r>
          <w:r>
            <w:rPr>
              <w:noProof/>
            </w:rPr>
            <w:fldChar w:fldCharType="end"/>
          </w:r>
        </w:sdtContent>
      </w:sdt>
      <w:r>
        <w:t>. Mr. Gross noted the following, “Greenspan also conspicuously ignored the non-monetary benefits associated with fixed-rate mortgages. Homebuyers pay a premium for the ability to lock in a fixed interest rate – and hence have utter certainty on the size of their payment for up to three decades. But in return, they receive peace of mind, security, and the ability to plan.”</w:t>
      </w:r>
    </w:p>
  </w:endnote>
  <w:endnote w:id="21">
    <w:p w14:paraId="3141D5E0" w14:textId="77777777" w:rsidR="009D5946" w:rsidRDefault="009D5946">
      <w:pPr>
        <w:pStyle w:val="EndnoteText"/>
      </w:pPr>
      <w:r>
        <w:rPr>
          <w:rStyle w:val="EndnoteReference"/>
        </w:rPr>
        <w:endnoteRef/>
      </w:r>
      <w:r>
        <w:t xml:space="preserve"> According to Credit Suisse</w:t>
      </w:r>
      <w:r>
        <w:fldChar w:fldCharType="begin"/>
      </w:r>
      <w:r>
        <w:instrText xml:space="preserve"> XE "</w:instrText>
      </w:r>
      <w:r w:rsidRPr="00402D53">
        <w:rPr>
          <w:rFonts w:cs="Times New Roman"/>
        </w:rPr>
        <w:instrText>Credit Suisse</w:instrText>
      </w:r>
      <w:r>
        <w:instrText xml:space="preserve">" </w:instrText>
      </w:r>
      <w:r>
        <w:fldChar w:fldCharType="end"/>
      </w:r>
      <w:r>
        <w:t>, the average credit score for Alt-A</w:t>
      </w:r>
      <w:r>
        <w:fldChar w:fldCharType="begin"/>
      </w:r>
      <w:r>
        <w:instrText xml:space="preserve"> XE "</w:instrText>
      </w:r>
      <w:r w:rsidRPr="00044B58">
        <w:rPr>
          <w:rFonts w:cs="Times New Roman"/>
        </w:rPr>
        <w:instrText>Alt-A</w:instrText>
      </w:r>
      <w:r>
        <w:instrText xml:space="preserve">" </w:instrText>
      </w:r>
      <w:r>
        <w:fldChar w:fldCharType="end"/>
      </w:r>
      <w:r>
        <w:t xml:space="preserve"> borrowers was 717 and for subprime borrowers it was 646.</w:t>
      </w:r>
    </w:p>
  </w:endnote>
  <w:endnote w:id="22">
    <w:p w14:paraId="45B6BCDB" w14:textId="77777777" w:rsidR="009D5946" w:rsidRDefault="009D5946" w:rsidP="00A40CA5">
      <w:pPr>
        <w:pStyle w:val="EndnoteText"/>
      </w:pPr>
      <w:r>
        <w:rPr>
          <w:rStyle w:val="EndnoteReference"/>
        </w:rPr>
        <w:endnoteRef/>
      </w:r>
      <w:r>
        <w:t xml:space="preserve"> There was a steep rise in prices in California and selected large metropolitan areas of the East Coast during 1987, 1988 and 1989. This was followed by a 7 year period of slowly declining prices as fundamentals caught up. This is considered by some to be a bubble because prices showed a detachment from fundamentals and a later return to the former relationship. This “bubble” did not see capitulatory selling, so it did not show the behavior of classic asset bubbles</w:t>
      </w:r>
      <w:r>
        <w:fldChar w:fldCharType="begin"/>
      </w:r>
      <w:r>
        <w:instrText xml:space="preserve"> XE "</w:instrText>
      </w:r>
      <w:r w:rsidRPr="0063036B">
        <w:rPr>
          <w:rFonts w:cs="Times New Roman"/>
        </w:rPr>
        <w:instrText>asset bubbles</w:instrText>
      </w:r>
      <w:r>
        <w:instrText xml:space="preserve">" </w:instrText>
      </w:r>
      <w:r>
        <w:fldChar w:fldCharType="end"/>
      </w:r>
      <w:r>
        <w:t>.</w:t>
      </w:r>
    </w:p>
  </w:endnote>
  <w:endnote w:id="23">
    <w:p w14:paraId="0E77E62B" w14:textId="77777777" w:rsidR="009D5946" w:rsidRDefault="009D5946">
      <w:pPr>
        <w:pStyle w:val="EndnoteText"/>
      </w:pPr>
      <w:r>
        <w:rPr>
          <w:rStyle w:val="EndnoteReference"/>
        </w:rPr>
        <w:endnoteRef/>
      </w:r>
      <w:r>
        <w:t xml:space="preserve"> A study by </w:t>
      </w:r>
      <w:r w:rsidRPr="00F52564">
        <w:t>Consumer Federation of America's Allen J. Fishbein Piggyback Loans at the Trough: California Subprime</w:t>
      </w:r>
      <w:r>
        <w:fldChar w:fldCharType="begin"/>
      </w:r>
      <w:r>
        <w:instrText xml:space="preserve"> XE "</w:instrText>
      </w:r>
      <w:r w:rsidRPr="007B2D35">
        <w:rPr>
          <w:rFonts w:cs="Times New Roman"/>
        </w:rPr>
        <w:instrText>Subprime</w:instrText>
      </w:r>
      <w:r>
        <w:instrText xml:space="preserve">" </w:instrText>
      </w:r>
      <w:r>
        <w:fldChar w:fldCharType="end"/>
      </w:r>
      <w:r w:rsidRPr="00F52564">
        <w:t xml:space="preserve"> Home Purchase and Refinance Lending in 2006</w:t>
      </w:r>
      <w:r>
        <w:t xml:space="preserve"> </w:t>
      </w:r>
      <w:sdt>
        <w:sdtPr>
          <w:id w:val="32673022"/>
          <w:citation/>
        </w:sdtPr>
        <w:sdtContent>
          <w:r>
            <w:fldChar w:fldCharType="begin"/>
          </w:r>
          <w:r>
            <w:instrText xml:space="preserve"> CITATION All08 \l 1033 </w:instrText>
          </w:r>
          <w:r>
            <w:fldChar w:fldCharType="separate"/>
          </w:r>
          <w:r>
            <w:rPr>
              <w:noProof/>
            </w:rPr>
            <w:t>(Fishbein, Piggyback Loans at the Trough: California Subprime Home Purchase and Refinance Lending in 2006, 2008)</w:t>
          </w:r>
          <w:r>
            <w:rPr>
              <w:noProof/>
            </w:rPr>
            <w:fldChar w:fldCharType="end"/>
          </w:r>
        </w:sdtContent>
      </w:sdt>
      <w:r>
        <w:t>, reveals the following “</w:t>
      </w:r>
      <w:r w:rsidRPr="006553E3">
        <w:t>1.26 million home purchase and refinance loans in California metropolitan areas in 2006 and found about one sixth of California home purchase borrowers taking out single, first lien</w:t>
      </w:r>
      <w:r>
        <w:fldChar w:fldCharType="begin"/>
      </w:r>
      <w:r>
        <w:instrText xml:space="preserve"> XE "</w:instrText>
      </w:r>
      <w:r w:rsidRPr="00502317">
        <w:rPr>
          <w:rFonts w:cs="Times New Roman"/>
        </w:rPr>
        <w:instrText>lien</w:instrText>
      </w:r>
      <w:r>
        <w:instrText xml:space="preserve">" </w:instrText>
      </w:r>
      <w:r>
        <w:fldChar w:fldCharType="end"/>
      </w:r>
      <w:r w:rsidRPr="006553E3">
        <w:t xml:space="preserve"> mortgages and one quarter of refinance borrowers received subprime loans in 2006. The subprime mortgage market provides loans to borrowers who do not meet the credit standard for prime loans. To compensate for the increased risk of offering loans to borrowers with weaker credit, lenders charge subprime borrowers higher interest rates – and thus higher monthly payments – than prime borrowers. California has historically had lower rates of subprime lending than the national average, but the rates of subprime lending crept up in 2006. Additionally, more than a third of California home purchase borrowers also utilized a second “piggyback” loan on top of a primary, first lien mortgage. Piggyback loans combine a primary mortgage with a second lien home equity</w:t>
      </w:r>
      <w:r>
        <w:fldChar w:fldCharType="begin"/>
      </w:r>
      <w:r>
        <w:instrText xml:space="preserve"> XE "</w:instrText>
      </w:r>
      <w:r w:rsidRPr="008D3E1B">
        <w:rPr>
          <w:rFonts w:cs="Times New Roman"/>
        </w:rPr>
        <w:instrText>equity</w:instrText>
      </w:r>
      <w:r>
        <w:instrText xml:space="preserve">" </w:instrText>
      </w:r>
      <w:r>
        <w:fldChar w:fldCharType="end"/>
      </w:r>
      <w:r w:rsidRPr="006553E3">
        <w:t xml:space="preserve"> loan, allowing borrowers to finance more than 80 percent of the home’s value without private mortgage insurance</w:t>
      </w:r>
      <w:r>
        <w:fldChar w:fldCharType="begin"/>
      </w:r>
      <w:r>
        <w:instrText xml:space="preserve"> XE "</w:instrText>
      </w:r>
      <w:r w:rsidRPr="00421AA0">
        <w:rPr>
          <w:rFonts w:cs="Times New Roman"/>
        </w:rPr>
        <w:instrText>private mortgage insurance</w:instrText>
      </w:r>
      <w:r>
        <w:instrText xml:space="preserve">" </w:instrText>
      </w:r>
      <w:r>
        <w:fldChar w:fldCharType="end"/>
      </w:r>
      <w:r w:rsidRPr="006553E3">
        <w:t>. These borrowers took out loans on as much as 100 percent of the value of the home in 2006. More than half these piggyback borrowers received subprime loans on their primary mortgages. Many subprime loans are adjustable rate mortgages (ARMs) that reset to higher interest rates after the first two years, meaning that homeowners that received subprime purchase or refinance mortgages in 2006 are likely to see their interest rates and monthly payments increase – in many cases significantly – in 2008. Moreover, as real estate markets cool and decline, borrowers that utilized piggyback financing could find themselves owing more on their mortgage than their homes are worth.</w:t>
      </w:r>
      <w:r>
        <w:t xml:space="preserve">” An earlier related study, </w:t>
      </w:r>
      <w:r w:rsidRPr="00073902">
        <w:t xml:space="preserve">Exotic or Toxic? An Examination of the Non-Traditional Mortgage Market for Consumers and Lenders </w:t>
      </w:r>
      <w:sdt>
        <w:sdtPr>
          <w:id w:val="32673023"/>
          <w:citation/>
        </w:sdtPr>
        <w:sdtContent>
          <w:r>
            <w:fldChar w:fldCharType="begin"/>
          </w:r>
          <w:r>
            <w:instrText xml:space="preserve"> CITATION All06 \l 1033 </w:instrText>
          </w:r>
          <w:r>
            <w:fldChar w:fldCharType="separate"/>
          </w:r>
          <w:r>
            <w:rPr>
              <w:noProof/>
            </w:rPr>
            <w:t>(Fishbein &amp; Woodall, Exotic or Toxic? An Examination of the Non-Traditional Mortgage Market for Consumers and Lenders, 2006 )</w:t>
          </w:r>
          <w:r>
            <w:rPr>
              <w:noProof/>
            </w:rPr>
            <w:fldChar w:fldCharType="end"/>
          </w:r>
        </w:sdtContent>
      </w:sdt>
      <w:r>
        <w:t xml:space="preserve"> </w:t>
      </w:r>
      <w:r w:rsidRPr="00073902">
        <w:t>by Allen J. Fishbein and Patrick Woodall</w:t>
      </w:r>
      <w:r>
        <w:t xml:space="preserve"> also sounded the alarm concerning exotic financing</w:t>
      </w:r>
      <w:r>
        <w:fldChar w:fldCharType="begin"/>
      </w:r>
      <w:r>
        <w:instrText xml:space="preserve"> XE "</w:instrText>
      </w:r>
      <w:r w:rsidRPr="00DC5992">
        <w:rPr>
          <w:rFonts w:cs="Times New Roman"/>
        </w:rPr>
        <w:instrText>exotic financing</w:instrText>
      </w:r>
      <w:r>
        <w:instrText xml:space="preserve">" </w:instrText>
      </w:r>
      <w:r>
        <w:fldChar w:fldCharType="end"/>
      </w:r>
      <w:r>
        <w:t>.</w:t>
      </w:r>
    </w:p>
  </w:endnote>
  <w:endnote w:id="24">
    <w:p w14:paraId="28C5B379" w14:textId="77777777" w:rsidR="009D5946" w:rsidRDefault="009D5946" w:rsidP="00CE1B0A">
      <w:pPr>
        <w:pStyle w:val="EndnoteText"/>
      </w:pPr>
      <w:r>
        <w:rPr>
          <w:rStyle w:val="EndnoteReference"/>
        </w:rPr>
        <w:endnoteRef/>
      </w:r>
      <w:r>
        <w:t xml:space="preserve"> This data comes from the Credit Suisse</w:t>
      </w:r>
      <w:r>
        <w:fldChar w:fldCharType="begin"/>
      </w:r>
      <w:r>
        <w:instrText xml:space="preserve"> XE "</w:instrText>
      </w:r>
      <w:r w:rsidRPr="00402D53">
        <w:rPr>
          <w:rFonts w:cs="Times New Roman"/>
        </w:rPr>
        <w:instrText>Credit Suisse</w:instrText>
      </w:r>
      <w:r>
        <w:instrText xml:space="preserve">" </w:instrText>
      </w:r>
      <w:r>
        <w:fldChar w:fldCharType="end"/>
      </w:r>
      <w:r>
        <w:t xml:space="preserve"> Report </w:t>
      </w:r>
      <w:sdt>
        <w:sdtPr>
          <w:id w:val="32673021"/>
          <w:citation/>
        </w:sdtPr>
        <w:sdtContent>
          <w:r>
            <w:fldChar w:fldCharType="begin"/>
          </w:r>
          <w:r>
            <w:instrText xml:space="preserve"> CITATION Cre07 \l 1033 </w:instrText>
          </w:r>
          <w:r>
            <w:fldChar w:fldCharType="separate"/>
          </w:r>
          <w:r>
            <w:rPr>
              <w:noProof/>
            </w:rPr>
            <w:t>(Credit Suisse, 2007)</w:t>
          </w:r>
          <w:r>
            <w:rPr>
              <w:noProof/>
            </w:rPr>
            <w:fldChar w:fldCharType="end"/>
          </w:r>
        </w:sdtContent>
      </w:sdt>
      <w:r>
        <w:t>. The source of their data was Loan Performance.</w:t>
      </w:r>
    </w:p>
  </w:endnote>
  <w:endnote w:id="25">
    <w:p w14:paraId="4382F71B" w14:textId="77777777" w:rsidR="009D5946" w:rsidRDefault="009D5946">
      <w:pPr>
        <w:pStyle w:val="EndnoteText"/>
      </w:pPr>
      <w:r>
        <w:rPr>
          <w:rStyle w:val="EndnoteReference"/>
        </w:rPr>
        <w:endnoteRef/>
      </w:r>
      <w:r>
        <w:t xml:space="preserve"> The impact of exotic mortgage terms was explored by </w:t>
      </w:r>
      <w:r w:rsidRPr="0099743C">
        <w:t>Matthew S. Chambers, Carlos Garriga and Don Schlagenhauf</w:t>
      </w:r>
      <w:r>
        <w:t xml:space="preserve"> in the paper </w:t>
      </w:r>
      <w:r w:rsidRPr="0099743C">
        <w:t xml:space="preserve">Mortgage Contracts and Housing Tenure Decisions </w:t>
      </w:r>
      <w:sdt>
        <w:sdtPr>
          <w:id w:val="32673018"/>
          <w:citation/>
        </w:sdtPr>
        <w:sdtContent>
          <w:r>
            <w:fldChar w:fldCharType="begin"/>
          </w:r>
          <w:r>
            <w:instrText xml:space="preserve"> CITATION Mat071 \l 1033 </w:instrText>
          </w:r>
          <w:r>
            <w:fldChar w:fldCharType="separate"/>
          </w:r>
          <w:r>
            <w:rPr>
              <w:noProof/>
            </w:rPr>
            <w:t>(Chambers, Garriga, &amp; Schlagenhauf, 2007)</w:t>
          </w:r>
          <w:r>
            <w:rPr>
              <w:noProof/>
            </w:rPr>
            <w:fldChar w:fldCharType="end"/>
          </w:r>
        </w:sdtContent>
      </w:sdt>
      <w:r>
        <w:t>. Their abstract reads as follows, “</w:t>
      </w:r>
      <w:r w:rsidRPr="00E75F2F">
        <w:t>We find that different types of mortgage contracts influence these decisions through three dimensions: the downpayment constraint, the payment schedule,</w:t>
      </w:r>
      <w:r w:rsidRPr="0099743C">
        <w:rPr>
          <w:rFonts w:ascii="Calibri" w:hAnsi="Calibri" w:cs="Calibri"/>
        </w:rPr>
        <w:t xml:space="preserve"> </w:t>
      </w:r>
      <w:r w:rsidRPr="0099743C">
        <w:t>and the amortization schedule</w:t>
      </w:r>
      <w:r>
        <w:fldChar w:fldCharType="begin"/>
      </w:r>
      <w:r>
        <w:instrText xml:space="preserve"> XE "</w:instrText>
      </w:r>
      <w:r w:rsidRPr="00F4169C">
        <w:rPr>
          <w:rFonts w:cs="Times New Roman"/>
        </w:rPr>
        <w:instrText>amortization schedule</w:instrText>
      </w:r>
      <w:r>
        <w:instrText xml:space="preserve">" </w:instrText>
      </w:r>
      <w:r>
        <w:fldChar w:fldCharType="end"/>
      </w:r>
      <w:r w:rsidRPr="0099743C">
        <w:t xml:space="preserve">. Contracts with lower downpayment requirements allow younger and lower income </w:t>
      </w:r>
      <w:r w:rsidRPr="00124B71">
        <w:rPr>
          <w:rFonts w:cs="Times New Roman"/>
        </w:rPr>
        <w:t>households to enter the housing market earlier. Mortgage contracts with increasing payment schedules increase the participation of first-time buyers, but can generate lower homeownership later in the life cycle. We find that adjusting the amortization schedule of a contract can be important. Mortgage contracts which allow the quick accumulation of home equity</w:t>
      </w:r>
      <w:r>
        <w:rPr>
          <w:rFonts w:cs="Times New Roman"/>
        </w:rPr>
        <w:fldChar w:fldCharType="begin"/>
      </w:r>
      <w:r>
        <w:instrText xml:space="preserve"> XE "</w:instrText>
      </w:r>
      <w:r w:rsidRPr="008D3E1B">
        <w:rPr>
          <w:rFonts w:cs="Times New Roman"/>
        </w:rPr>
        <w:instrText>equity</w:instrText>
      </w:r>
      <w:r>
        <w:instrText xml:space="preserve">" </w:instrText>
      </w:r>
      <w:r>
        <w:rPr>
          <w:rFonts w:cs="Times New Roman"/>
        </w:rPr>
        <w:fldChar w:fldCharType="end"/>
      </w:r>
      <w:r w:rsidRPr="00124B71">
        <w:rPr>
          <w:rFonts w:cs="Times New Roman"/>
        </w:rPr>
        <w:t xml:space="preserve"> increase homeownership across the entire life cycle.” The cold reality of negative amortization</w:t>
      </w:r>
      <w:r>
        <w:rPr>
          <w:rFonts w:cs="Times New Roman"/>
        </w:rPr>
        <w:fldChar w:fldCharType="begin"/>
      </w:r>
      <w:r>
        <w:instrText xml:space="preserve"> XE "</w:instrText>
      </w:r>
      <w:r w:rsidRPr="00591877">
        <w:rPr>
          <w:rFonts w:cs="Times New Roman"/>
        </w:rPr>
        <w:instrText>negative amortization</w:instrText>
      </w:r>
      <w:r>
        <w:instrText xml:space="preserve">" </w:instrText>
      </w:r>
      <w:r>
        <w:rPr>
          <w:rFonts w:cs="Times New Roman"/>
        </w:rPr>
        <w:fldChar w:fldCharType="end"/>
      </w:r>
      <w:r w:rsidRPr="00124B71">
        <w:rPr>
          <w:rFonts w:cs="Times New Roman"/>
        </w:rPr>
        <w:t xml:space="preserve"> loans is summed up in the observation that increasing payment schedules decrease home ownership over time. People default when their</w:t>
      </w:r>
      <w:r>
        <w:t xml:space="preserve"> payments go up. It is the fatal flaw of all these loan programs. One of the more amusing papers from the bubble was written by James Peterson </w:t>
      </w:r>
      <w:sdt>
        <w:sdtPr>
          <w:id w:val="32673019"/>
          <w:citation/>
        </w:sdtPr>
        <w:sdtContent>
          <w:r>
            <w:fldChar w:fldCharType="begin"/>
          </w:r>
          <w:r>
            <w:instrText xml:space="preserve"> CITATION Jam05 \l 1033 </w:instrText>
          </w:r>
          <w:r>
            <w:fldChar w:fldCharType="separate"/>
          </w:r>
          <w:r>
            <w:rPr>
              <w:noProof/>
            </w:rPr>
            <w:t>(Peterson, 2005)</w:t>
          </w:r>
          <w:r>
            <w:rPr>
              <w:noProof/>
            </w:rPr>
            <w:fldChar w:fldCharType="end"/>
          </w:r>
        </w:sdtContent>
      </w:sdt>
      <w:r>
        <w:t xml:space="preserve"> “</w:t>
      </w:r>
      <w:r w:rsidRPr="00B7313E">
        <w:t>Designer Mortgages: The Boom in Nontraditional Mortgage Loans May Be a Double-Edged Sword. So Far, Most Banks Have Moved Cautiously.</w:t>
      </w:r>
      <w:r>
        <w:t>” The lenders during the Great Housing Bubble were anything but cautious.</w:t>
      </w:r>
    </w:p>
  </w:endnote>
  <w:endnote w:id="26">
    <w:p w14:paraId="124EB1F6" w14:textId="77777777" w:rsidR="009D5946" w:rsidRDefault="009D5946">
      <w:pPr>
        <w:pStyle w:val="EndnoteText"/>
      </w:pPr>
      <w:r>
        <w:rPr>
          <w:rStyle w:val="EndnoteReference"/>
        </w:rPr>
        <w:endnoteRef/>
      </w:r>
      <w:r>
        <w:t xml:space="preserve"> This data comes from the Credit Suisse</w:t>
      </w:r>
      <w:r>
        <w:fldChar w:fldCharType="begin"/>
      </w:r>
      <w:r>
        <w:instrText xml:space="preserve"> XE "</w:instrText>
      </w:r>
      <w:r w:rsidRPr="00402D53">
        <w:rPr>
          <w:rFonts w:cs="Times New Roman"/>
        </w:rPr>
        <w:instrText>Credit Suisse</w:instrText>
      </w:r>
      <w:r>
        <w:instrText xml:space="preserve">" </w:instrText>
      </w:r>
      <w:r>
        <w:fldChar w:fldCharType="end"/>
      </w:r>
      <w:r>
        <w:t xml:space="preserve"> Report </w:t>
      </w:r>
      <w:sdt>
        <w:sdtPr>
          <w:id w:val="32672875"/>
          <w:citation/>
        </w:sdtPr>
        <w:sdtContent>
          <w:r>
            <w:fldChar w:fldCharType="begin"/>
          </w:r>
          <w:r>
            <w:instrText xml:space="preserve"> CITATION Cre07 \l 1033 </w:instrText>
          </w:r>
          <w:r>
            <w:fldChar w:fldCharType="separate"/>
          </w:r>
          <w:r>
            <w:rPr>
              <w:noProof/>
            </w:rPr>
            <w:t>(Credit Suisse, 2007)</w:t>
          </w:r>
          <w:r>
            <w:rPr>
              <w:noProof/>
            </w:rPr>
            <w:fldChar w:fldCharType="end"/>
          </w:r>
        </w:sdtContent>
      </w:sdt>
      <w:r>
        <w:t>. The source of their data was Loan Performance.</w:t>
      </w:r>
    </w:p>
  </w:endnote>
  <w:endnote w:id="27">
    <w:p w14:paraId="700DD41A" w14:textId="77777777" w:rsidR="009D5946" w:rsidRDefault="009D5946">
      <w:pPr>
        <w:pStyle w:val="EndnoteText"/>
      </w:pPr>
      <w:r>
        <w:rPr>
          <w:rStyle w:val="EndnoteReference"/>
        </w:rPr>
        <w:endnoteRef/>
      </w:r>
      <w:r>
        <w:t xml:space="preserve"> This data comes from the Credit Suisse</w:t>
      </w:r>
      <w:r>
        <w:fldChar w:fldCharType="begin"/>
      </w:r>
      <w:r>
        <w:instrText xml:space="preserve"> XE "</w:instrText>
      </w:r>
      <w:r w:rsidRPr="00402D53">
        <w:rPr>
          <w:rFonts w:cs="Times New Roman"/>
        </w:rPr>
        <w:instrText>Credit Suisse</w:instrText>
      </w:r>
      <w:r>
        <w:instrText xml:space="preserve">" </w:instrText>
      </w:r>
      <w:r>
        <w:fldChar w:fldCharType="end"/>
      </w:r>
      <w:r>
        <w:t xml:space="preserve"> Report </w:t>
      </w:r>
      <w:sdt>
        <w:sdtPr>
          <w:id w:val="32672876"/>
          <w:citation/>
        </w:sdtPr>
        <w:sdtContent>
          <w:r>
            <w:fldChar w:fldCharType="begin"/>
          </w:r>
          <w:r>
            <w:instrText xml:space="preserve"> CITATION Cre07 \l 1033 </w:instrText>
          </w:r>
          <w:r>
            <w:fldChar w:fldCharType="separate"/>
          </w:r>
          <w:r>
            <w:rPr>
              <w:noProof/>
            </w:rPr>
            <w:t>(Credit Suisse, 2007)</w:t>
          </w:r>
          <w:r>
            <w:rPr>
              <w:noProof/>
            </w:rPr>
            <w:fldChar w:fldCharType="end"/>
          </w:r>
        </w:sdtContent>
      </w:sdt>
      <w:r>
        <w:t xml:space="preserve">. The source of their data was </w:t>
      </w:r>
      <w:r w:rsidRPr="00EF0EDA">
        <w:t>Mortgage Asset Research Institute</w:t>
      </w:r>
      <w:r>
        <w:t>.</w:t>
      </w:r>
    </w:p>
  </w:endnote>
  <w:endnote w:id="28">
    <w:p w14:paraId="5D8EC9F4" w14:textId="77777777" w:rsidR="009D5946" w:rsidRDefault="009D5946">
      <w:pPr>
        <w:pStyle w:val="EndnoteText"/>
      </w:pPr>
      <w:r>
        <w:rPr>
          <w:rStyle w:val="EndnoteReference"/>
        </w:rPr>
        <w:endnoteRef/>
      </w:r>
      <w:r>
        <w:t xml:space="preserve"> Anecdotal evidence indicates the practice of fabricating loan application income was common. There were a few high-profile arrests, as is always the case with this kind of phenomenon. As of the early 2008, no definitive studies have been undertaken to assess how widespread was the practice of intentionally fabricating loan application data by mortgage brokers.</w:t>
      </w:r>
    </w:p>
  </w:endnote>
  <w:endnote w:id="29">
    <w:p w14:paraId="49E66DAE" w14:textId="77777777" w:rsidR="009D5946" w:rsidRDefault="009D5946">
      <w:pPr>
        <w:pStyle w:val="EndnoteText"/>
      </w:pPr>
      <w:r>
        <w:rPr>
          <w:rStyle w:val="EndnoteReference"/>
        </w:rPr>
        <w:endnoteRef/>
      </w:r>
      <w:r>
        <w:t xml:space="preserve"> Payments to investors from collateralized debt obligations were actually made by the servicer. If the borrower failed to make payments, the servicer would make them to the investor. When the loan was discharged through sale, the servicer would then recoup the money, plus interest, on any payments made on behalf of the borrower.</w:t>
      </w:r>
    </w:p>
  </w:endnote>
  <w:endnote w:id="30">
    <w:p w14:paraId="280A9676" w14:textId="77777777" w:rsidR="009D5946" w:rsidRDefault="009D5946">
      <w:pPr>
        <w:pStyle w:val="EndnoteText"/>
      </w:pPr>
      <w:r>
        <w:rPr>
          <w:rStyle w:val="EndnoteReference"/>
        </w:rPr>
        <w:endnoteRef/>
      </w:r>
      <w:r>
        <w:t xml:space="preserve"> </w:t>
      </w:r>
      <w:sdt>
        <w:sdtPr>
          <w:id w:val="32673013"/>
          <w:citation/>
        </w:sdtPr>
        <w:sdtContent>
          <w:r>
            <w:fldChar w:fldCharType="begin"/>
          </w:r>
          <w:r>
            <w:instrText xml:space="preserve"> CITATION Lib04 \l 1033 </w:instrText>
          </w:r>
          <w:r>
            <w:fldChar w:fldCharType="separate"/>
          </w:r>
          <w:r>
            <w:rPr>
              <w:noProof/>
            </w:rPr>
            <w:t>(Libby, Libby, &amp; Short, 2004)</w:t>
          </w:r>
          <w:r>
            <w:rPr>
              <w:noProof/>
            </w:rPr>
            <w:fldChar w:fldCharType="end"/>
          </w:r>
        </w:sdtContent>
      </w:sdt>
    </w:p>
  </w:endnote>
  <w:endnote w:id="31">
    <w:p w14:paraId="393AF613" w14:textId="77777777" w:rsidR="009D5946" w:rsidRDefault="009D5946">
      <w:pPr>
        <w:pStyle w:val="EndnoteText"/>
      </w:pPr>
      <w:r>
        <w:rPr>
          <w:rStyle w:val="EndnoteReference"/>
        </w:rPr>
        <w:endnoteRef/>
      </w:r>
      <w:r>
        <w:t xml:space="preserve"> Numerous reports have been compiled on the savings adequacy of Americans. In the report </w:t>
      </w:r>
      <w:r w:rsidRPr="00F24C33">
        <w:t>Lifetime Earnings, Social Security Benefits, and the Adequacy of Retirement Wealth Accumulation by Eric M. Engen, William G. Gale, Cori E. Uccello</w:t>
      </w:r>
      <w:r>
        <w:t xml:space="preserve"> </w:t>
      </w:r>
      <w:sdt>
        <w:sdtPr>
          <w:id w:val="32673012"/>
          <w:citation/>
        </w:sdtPr>
        <w:sdtContent>
          <w:r>
            <w:fldChar w:fldCharType="begin"/>
          </w:r>
          <w:r>
            <w:instrText xml:space="preserve"> CITATION Eri04 \l 1033 </w:instrText>
          </w:r>
          <w:r>
            <w:fldChar w:fldCharType="separate"/>
          </w:r>
          <w:r>
            <w:rPr>
              <w:noProof/>
            </w:rPr>
            <w:t>(Engen, Gale, &amp; Uccello, 2004)</w:t>
          </w:r>
          <w:r>
            <w:rPr>
              <w:noProof/>
            </w:rPr>
            <w:fldChar w:fldCharType="end"/>
          </w:r>
        </w:sdtContent>
      </w:sdt>
      <w:r>
        <w:t>, the authors detail the savings patters on various generations preparing for retirement.</w:t>
      </w:r>
    </w:p>
  </w:endnote>
  <w:endnote w:id="32">
    <w:p w14:paraId="25FEFC23" w14:textId="77777777" w:rsidR="009D5946" w:rsidRDefault="009D5946">
      <w:pPr>
        <w:pStyle w:val="EndnoteText"/>
      </w:pPr>
      <w:r>
        <w:rPr>
          <w:rStyle w:val="EndnoteReference"/>
        </w:rPr>
        <w:endnoteRef/>
      </w:r>
      <w:r>
        <w:t xml:space="preserve">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constructed a graph of housing prices from 1890-2005 for the book Irrational Exuberance </w:t>
      </w:r>
      <w:sdt>
        <w:sdtPr>
          <w:id w:val="32673011"/>
          <w:citation/>
        </w:sdtPr>
        <w:sdtContent>
          <w:r>
            <w:fldChar w:fldCharType="begin"/>
          </w:r>
          <w:r>
            <w:instrText xml:space="preserve"> CITATION Shi05 \l 1033 </w:instrText>
          </w:r>
          <w:r>
            <w:fldChar w:fldCharType="separate"/>
          </w:r>
          <w:r>
            <w:rPr>
              <w:noProof/>
            </w:rPr>
            <w:t>(Shiller, Irrational Exuberance, 2005)</w:t>
          </w:r>
          <w:r>
            <w:rPr>
              <w:noProof/>
            </w:rPr>
            <w:fldChar w:fldCharType="end"/>
          </w:r>
        </w:sdtContent>
      </w:sdt>
      <w:r>
        <w:t>. The rate of appreciation</w:t>
      </w:r>
      <w:r>
        <w:fldChar w:fldCharType="begin"/>
      </w:r>
      <w:r>
        <w:instrText xml:space="preserve"> XE "</w:instrText>
      </w:r>
      <w:r w:rsidRPr="009C5D12">
        <w:rPr>
          <w:rFonts w:cs="Times New Roman"/>
        </w:rPr>
        <w:instrText>appreciation</w:instrText>
      </w:r>
      <w:r>
        <w:instrText xml:space="preserve">" </w:instrText>
      </w:r>
      <w:r>
        <w:fldChar w:fldCharType="end"/>
      </w:r>
      <w:r>
        <w:t xml:space="preserve"> during this 115 year time period is 0.7% over the rate of inflation. The data from the US Census Bureau shows a 2.0% increase over inflation since 1940, however much of this increase was during the baby boom right after WWII and it does not reflect the improvement in house quality during this time. The 0.7% statistic is referenced a number of times in this work.</w:t>
      </w:r>
    </w:p>
  </w:endnote>
  <w:endnote w:id="33">
    <w:p w14:paraId="421B9E43" w14:textId="77777777" w:rsidR="009D5946" w:rsidRDefault="009D5946">
      <w:pPr>
        <w:pStyle w:val="EndnoteText"/>
      </w:pPr>
      <w:r>
        <w:rPr>
          <w:rStyle w:val="EndnoteReference"/>
        </w:rPr>
        <w:endnoteRef/>
      </w:r>
      <w:r>
        <w:t xml:space="preserve">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titled his groundbreaking book Irrational Exuberance </w:t>
      </w:r>
      <w:sdt>
        <w:sdtPr>
          <w:id w:val="32673008"/>
          <w:citation/>
        </w:sdtPr>
        <w:sdtContent>
          <w:r>
            <w:fldChar w:fldCharType="begin"/>
          </w:r>
          <w:r>
            <w:instrText xml:space="preserve"> CITATION Shi05 \l 1033 </w:instrText>
          </w:r>
          <w:r>
            <w:fldChar w:fldCharType="separate"/>
          </w:r>
          <w:r>
            <w:rPr>
              <w:noProof/>
            </w:rPr>
            <w:t>(Shiller, Irrational Exuberance, 2005)</w:t>
          </w:r>
          <w:r>
            <w:rPr>
              <w:noProof/>
            </w:rPr>
            <w:fldChar w:fldCharType="end"/>
          </w:r>
        </w:sdtContent>
      </w:sdt>
      <w:r>
        <w:t xml:space="preserve"> after a phrase in a speech given by Alan Greenspan</w:t>
      </w:r>
      <w:r>
        <w:fldChar w:fldCharType="begin"/>
      </w:r>
      <w:r>
        <w:instrText xml:space="preserve"> XE "</w:instrText>
      </w:r>
      <w:r w:rsidRPr="009F73BE">
        <w:rPr>
          <w:rFonts w:cs="Times New Roman"/>
        </w:rPr>
        <w:instrText>Alan Greenspan</w:instrText>
      </w:r>
      <w:r>
        <w:instrText xml:space="preserve">" </w:instrText>
      </w:r>
      <w:r>
        <w:fldChar w:fldCharType="end"/>
      </w:r>
      <w:r>
        <w:t>, FED</w:t>
      </w:r>
      <w:r>
        <w:fldChar w:fldCharType="begin"/>
      </w:r>
      <w:r>
        <w:instrText xml:space="preserve"> XE "</w:instrText>
      </w:r>
      <w:r w:rsidRPr="00A95B0B">
        <w:rPr>
          <w:rFonts w:cs="Times New Roman"/>
        </w:rPr>
        <w:instrText>FED</w:instrText>
      </w:r>
      <w:r>
        <w:instrText xml:space="preserve">" </w:instrText>
      </w:r>
      <w:r>
        <w:fldChar w:fldCharType="end"/>
      </w:r>
      <w:r>
        <w:t xml:space="preserve"> chairman from 1986-2006, in a speech at the </w:t>
      </w:r>
      <w:r w:rsidRPr="00D33046">
        <w:t>Annual Dinner and Francis Boyer Lecture of The American Enterprise Institute for Public Policy Research, Washington, D.C., December 5, 1996</w:t>
      </w:r>
      <w:r>
        <w:t xml:space="preserve"> </w:t>
      </w:r>
      <w:sdt>
        <w:sdtPr>
          <w:id w:val="32673009"/>
          <w:citation/>
        </w:sdtPr>
        <w:sdtContent>
          <w:r>
            <w:fldChar w:fldCharType="begin"/>
          </w:r>
          <w:r>
            <w:instrText xml:space="preserve"> CITATION Ala96 \l 1033 </w:instrText>
          </w:r>
          <w:r>
            <w:fldChar w:fldCharType="separate"/>
          </w:r>
          <w:r>
            <w:rPr>
              <w:noProof/>
            </w:rPr>
            <w:t>(Greenspan, The Challenge of Central Banking in a Democratic Society, 1996)</w:t>
          </w:r>
          <w:r>
            <w:rPr>
              <w:noProof/>
            </w:rPr>
            <w:fldChar w:fldCharType="end"/>
          </w:r>
        </w:sdtContent>
      </w:sdt>
      <w:r w:rsidRPr="00D33046">
        <w:t>.</w:t>
      </w:r>
      <w:r>
        <w:t xml:space="preserve"> The term “irrational exuberance</w:t>
      </w:r>
      <w:r>
        <w:fldChar w:fldCharType="begin"/>
      </w:r>
      <w:r>
        <w:instrText xml:space="preserve"> XE "</w:instrText>
      </w:r>
      <w:r w:rsidRPr="00FD3A30">
        <w:rPr>
          <w:rFonts w:cs="Times New Roman"/>
        </w:rPr>
        <w:instrText>irrational exuberance</w:instrText>
      </w:r>
      <w:r>
        <w:instrText xml:space="preserve">" </w:instrText>
      </w:r>
      <w:r>
        <w:fldChar w:fldCharType="end"/>
      </w:r>
      <w:r>
        <w:t>” is used synonymously in this writing to describe the behavior of buyers in creating an asset price bubble.</w:t>
      </w:r>
    </w:p>
  </w:endnote>
  <w:endnote w:id="34">
    <w:p w14:paraId="3893381F" w14:textId="77777777" w:rsidR="009D5946" w:rsidRDefault="009D5946">
      <w:pPr>
        <w:pStyle w:val="EndnoteText"/>
      </w:pPr>
      <w:r>
        <w:rPr>
          <w:rStyle w:val="EndnoteReference"/>
        </w:rPr>
        <w:endnoteRef/>
      </w:r>
      <w:r>
        <w:t xml:space="preserve"> Human nature being what it is, another real estate bubble will form unless measures are taken to prevent one. The projections of how long it will take markets to recover vary depending on the variables analyzed. Later chapters explore this question in detail.</w:t>
      </w:r>
    </w:p>
  </w:endnote>
  <w:endnote w:id="35">
    <w:p w14:paraId="02DCD78E" w14:textId="77777777" w:rsidR="009D5946" w:rsidRDefault="009D5946">
      <w:pPr>
        <w:pStyle w:val="EndnoteText"/>
      </w:pPr>
      <w:r>
        <w:rPr>
          <w:rStyle w:val="EndnoteReference"/>
        </w:rPr>
        <w:endnoteRef/>
      </w:r>
      <w:r>
        <w:t xml:space="preserve"> </w:t>
      </w:r>
      <w:r w:rsidRPr="0083728B">
        <w:t>Joe Vitale in his book There's a Customer Born Every Minute: P.T. Barnum's Secrets to Business Success</w:t>
      </w:r>
      <w:r>
        <w:t xml:space="preserve"> </w:t>
      </w:r>
      <w:sdt>
        <w:sdtPr>
          <w:id w:val="32673010"/>
          <w:citation/>
        </w:sdtPr>
        <w:sdtContent>
          <w:r>
            <w:fldChar w:fldCharType="begin"/>
          </w:r>
          <w:r>
            <w:instrText xml:space="preserve"> CITATION Joe98 \l 1033 </w:instrText>
          </w:r>
          <w:r>
            <w:fldChar w:fldCharType="separate"/>
          </w:r>
          <w:r>
            <w:rPr>
              <w:noProof/>
            </w:rPr>
            <w:t>(Vitale, 1998)</w:t>
          </w:r>
          <w:r>
            <w:rPr>
              <w:noProof/>
            </w:rPr>
            <w:fldChar w:fldCharType="end"/>
          </w:r>
        </w:sdtContent>
      </w:sdt>
      <w:r>
        <w:t xml:space="preserve"> disputes the contention that PT Barnum ever uttered the phrase with which he is credited.</w:t>
      </w:r>
    </w:p>
  </w:endnote>
  <w:endnote w:id="36">
    <w:p w14:paraId="6D461157" w14:textId="77777777" w:rsidR="009D5946" w:rsidRDefault="009D5946">
      <w:pPr>
        <w:pStyle w:val="EndnoteText"/>
      </w:pPr>
      <w:r>
        <w:rPr>
          <w:rStyle w:val="EndnoteReference"/>
        </w:rPr>
        <w:endnoteRef/>
      </w:r>
      <w:r>
        <w:t xml:space="preserve"> The conclusion of the paper </w:t>
      </w:r>
      <w:r w:rsidRPr="003C4905">
        <w:t>Subprime</w:t>
      </w:r>
      <w:r>
        <w:fldChar w:fldCharType="begin"/>
      </w:r>
      <w:r>
        <w:instrText xml:space="preserve"> XE "</w:instrText>
      </w:r>
      <w:r w:rsidRPr="007B2D35">
        <w:rPr>
          <w:rFonts w:cs="Times New Roman"/>
        </w:rPr>
        <w:instrText>Subprime</w:instrText>
      </w:r>
      <w:r>
        <w:instrText xml:space="preserve">" </w:instrText>
      </w:r>
      <w:r>
        <w:fldChar w:fldCharType="end"/>
      </w:r>
      <w:r w:rsidRPr="003C4905">
        <w:t xml:space="preserve"> Refinancing: Equity Extraction and Mortgage Termination</w:t>
      </w:r>
      <w:r>
        <w:t xml:space="preserve"> </w:t>
      </w:r>
      <w:sdt>
        <w:sdtPr>
          <w:id w:val="32673005"/>
          <w:citation/>
        </w:sdtPr>
        <w:sdtContent>
          <w:r>
            <w:fldChar w:fldCharType="begin"/>
          </w:r>
          <w:r>
            <w:instrText xml:space="preserve"> CITATION Sou06 \l 1033 </w:instrText>
          </w:r>
          <w:r>
            <w:fldChar w:fldCharType="separate"/>
          </w:r>
          <w:r>
            <w:rPr>
              <w:noProof/>
            </w:rPr>
            <w:t>(Chomsisengphet &amp; Pennington-Cross, 2006)</w:t>
          </w:r>
          <w:r>
            <w:rPr>
              <w:noProof/>
            </w:rPr>
            <w:fldChar w:fldCharType="end"/>
          </w:r>
        </w:sdtContent>
      </w:sdt>
      <w:r>
        <w:t xml:space="preserve"> is as follows, “</w:t>
      </w:r>
      <w:r w:rsidRPr="003C4905">
        <w:t>Consistent with survey evidence the propensity to extract equity</w:t>
      </w:r>
      <w:r>
        <w:fldChar w:fldCharType="begin"/>
      </w:r>
      <w:r>
        <w:instrText xml:space="preserve"> XE "</w:instrText>
      </w:r>
      <w:r w:rsidRPr="008D3E1B">
        <w:rPr>
          <w:rFonts w:cs="Times New Roman"/>
        </w:rPr>
        <w:instrText>equity</w:instrText>
      </w:r>
      <w:r>
        <w:instrText xml:space="preserve">" </w:instrText>
      </w:r>
      <w:r>
        <w:fldChar w:fldCharType="end"/>
      </w:r>
      <w:r w:rsidRPr="003C4905">
        <w:t xml:space="preserve"> while refinancing is sensitive to interest rates on other forms of consumer debt. After the loan is originated, our results indicate that cash-out refinances perform differently from non-cash-out refinances. For example, cash-outs are less likely to default or prepay, and the termination of cash-outs is more sensitive to changing interest rates and house prices.</w:t>
      </w:r>
      <w:r>
        <w:t>” The sensitivity to changes in interest rates is not surprising as borrowers will take the money if it is a good deal, and they will repay it when the deal is less favorable. The observation that these loans have lower default rates</w:t>
      </w:r>
      <w:r>
        <w:fldChar w:fldCharType="begin"/>
      </w:r>
      <w:r>
        <w:instrText xml:space="preserve"> XE "</w:instrText>
      </w:r>
      <w:r w:rsidRPr="00336602">
        <w:rPr>
          <w:rFonts w:cs="Times New Roman"/>
        </w:rPr>
        <w:instrText>default rates</w:instrText>
      </w:r>
      <w:r>
        <w:instrText xml:space="preserve">" </w:instrText>
      </w:r>
      <w:r>
        <w:fldChar w:fldCharType="end"/>
      </w:r>
      <w:r>
        <w:t xml:space="preserve"> and are less likely to be paid back early is quite surprising. This may have been an artifact of the bubble rally, and future data may show these loans do not perform as well as in previous years.</w:t>
      </w:r>
    </w:p>
  </w:endnote>
  <w:endnote w:id="37">
    <w:p w14:paraId="34141DA3" w14:textId="77777777" w:rsidR="009D5946" w:rsidRDefault="009D5946">
      <w:pPr>
        <w:pStyle w:val="EndnoteText"/>
      </w:pPr>
      <w:r>
        <w:rPr>
          <w:rStyle w:val="EndnoteReference"/>
        </w:rPr>
        <w:endnoteRef/>
      </w:r>
      <w:r>
        <w:t xml:space="preserve">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wrote a paper on Household Reactions to Changes in Housing Wealth </w:t>
      </w:r>
      <w:sdt>
        <w:sdtPr>
          <w:id w:val="32673006"/>
          <w:citation/>
        </w:sdtPr>
        <w:sdtContent>
          <w:r>
            <w:fldChar w:fldCharType="begin"/>
          </w:r>
          <w:r>
            <w:instrText xml:space="preserve"> CITATION Shi04 \l 1033 </w:instrText>
          </w:r>
          <w:r>
            <w:fldChar w:fldCharType="separate"/>
          </w:r>
          <w:r>
            <w:rPr>
              <w:noProof/>
            </w:rPr>
            <w:t>(Shiller, Household Reaction to Changes in Housing Wealth, 2004)</w:t>
          </w:r>
          <w:r>
            <w:rPr>
              <w:noProof/>
            </w:rPr>
            <w:fldChar w:fldCharType="end"/>
          </w:r>
        </w:sdtContent>
      </w:sdt>
      <w:r>
        <w:t>. He reached no definitive conclusions concerning the reactions to households to increasing home prices. At the time of his writing, the bubble was inflated enough to be obvious to him, and he does mention the bubble and its potential problems. The impact of mortgage equity</w:t>
      </w:r>
      <w:r>
        <w:fldChar w:fldCharType="begin"/>
      </w:r>
      <w:r>
        <w:instrText xml:space="preserve"> XE "</w:instrText>
      </w:r>
      <w:r w:rsidRPr="008D3E1B">
        <w:rPr>
          <w:rFonts w:cs="Times New Roman"/>
        </w:rPr>
        <w:instrText>equity</w:instrText>
      </w:r>
      <w:r>
        <w:instrText xml:space="preserve">" </w:instrText>
      </w:r>
      <w:r>
        <w:fldChar w:fldCharType="end"/>
      </w:r>
      <w:r>
        <w:t xml:space="preserve"> withdrawal had not reached absurd height in early 2004, but by 2006, the pattern of household spending had become fairly obvious. In 2007 Oxford professor John Muellbauer wrote Housing, Credit and Consumer Expenditures </w:t>
      </w:r>
      <w:sdt>
        <w:sdtPr>
          <w:id w:val="32673007"/>
          <w:citation/>
        </w:sdtPr>
        <w:sdtContent>
          <w:r>
            <w:fldChar w:fldCharType="begin"/>
          </w:r>
          <w:r>
            <w:instrText xml:space="preserve"> CITATION Mue07 \l 1033 </w:instrText>
          </w:r>
          <w:r>
            <w:fldChar w:fldCharType="separate"/>
          </w:r>
          <w:r>
            <w:rPr>
              <w:noProof/>
            </w:rPr>
            <w:t>(Muellbauer, 2007)</w:t>
          </w:r>
          <w:r>
            <w:rPr>
              <w:noProof/>
            </w:rPr>
            <w:fldChar w:fldCharType="end"/>
          </w:r>
        </w:sdtContent>
      </w:sdt>
      <w:r>
        <w:t>. His conclusion is that the spending “wealth effect” was insignificant in the past due to more restrictive credit policies which limited access to home equity (financial prudence on the part of lenders.) After the “liberalization” of credit markets and the dramatic increase in prices of the housing bubble, the consumer spending brought about by the wealth effect became pronounced. The wealth effect observed in the Great Housing Bubble was much larger than the wealth effect of the stock market bubble which preceded, and the effect was twice as large in the United States as it was in Great Britain.</w:t>
      </w:r>
    </w:p>
  </w:endnote>
  <w:endnote w:id="38">
    <w:p w14:paraId="02C1B755" w14:textId="77777777" w:rsidR="009D5946" w:rsidRDefault="009D5946" w:rsidP="007F792C">
      <w:pPr>
        <w:pStyle w:val="EndnoteText"/>
      </w:pPr>
      <w:r>
        <w:rPr>
          <w:rStyle w:val="EndnoteReference"/>
        </w:rPr>
        <w:endnoteRef/>
      </w:r>
      <w:r>
        <w:t xml:space="preserve"> There is a lack of scholarly studies on the financial results of home improvement projects </w:t>
      </w:r>
      <w:sdt>
        <w:sdtPr>
          <w:id w:val="32673004"/>
          <w:citation/>
        </w:sdtPr>
        <w:sdtContent>
          <w:r>
            <w:fldChar w:fldCharType="begin"/>
          </w:r>
          <w:r>
            <w:instrText xml:space="preserve"> CITATION Ker02 \l 1033 </w:instrText>
          </w:r>
          <w:r>
            <w:fldChar w:fldCharType="separate"/>
          </w:r>
          <w:r>
            <w:rPr>
              <w:noProof/>
            </w:rPr>
            <w:t>(Baker &amp; Kaul, 2002)</w:t>
          </w:r>
          <w:r>
            <w:rPr>
              <w:noProof/>
            </w:rPr>
            <w:fldChar w:fldCharType="end"/>
          </w:r>
        </w:sdtContent>
      </w:sdt>
      <w:r>
        <w:t>. Builder behavior is often revelatory of the state of the market. In most markets new home builders do not put in rear yard landscaping because they are not able to obtain a return on the investment. Also, the fact that builders have multitudes of upgrade options from a base package indicates the premium finishes do not provide a market return unless specifically requested by a purchaser. Builders can profit in that circumstance.</w:t>
      </w:r>
    </w:p>
  </w:endnote>
  <w:endnote w:id="39">
    <w:p w14:paraId="5CA2E56F" w14:textId="77777777" w:rsidR="009D5946" w:rsidRDefault="009D5946">
      <w:pPr>
        <w:pStyle w:val="EndnoteText"/>
      </w:pPr>
      <w:r>
        <w:rPr>
          <w:rStyle w:val="EndnoteReference"/>
        </w:rPr>
        <w:endnoteRef/>
      </w:r>
      <w:r>
        <w:t xml:space="preserve"> The evidence of consistent refinancing is anecdotal, but it is reinforced by national statistical trends from the US Governments Flow of Funds accounting. </w:t>
      </w:r>
    </w:p>
  </w:endnote>
  <w:endnote w:id="40">
    <w:p w14:paraId="7048BDF2" w14:textId="77777777" w:rsidR="009D5946" w:rsidRDefault="009D5946">
      <w:pPr>
        <w:pStyle w:val="EndnoteText"/>
      </w:pPr>
      <w:r>
        <w:rPr>
          <w:rStyle w:val="EndnoteReference"/>
        </w:rPr>
        <w:endnoteRef/>
      </w:r>
      <w:r>
        <w:t xml:space="preserve"> In the paper </w:t>
      </w:r>
      <w:sdt>
        <w:sdtPr>
          <w:id w:val="32673003"/>
          <w:citation/>
        </w:sdtPr>
        <w:sdtContent>
          <w:r>
            <w:fldChar w:fldCharType="begin"/>
          </w:r>
          <w:r>
            <w:instrText xml:space="preserve"> CITATION Lea071 \l 1033 </w:instrText>
          </w:r>
          <w:r>
            <w:fldChar w:fldCharType="separate"/>
          </w:r>
          <w:r>
            <w:rPr>
              <w:noProof/>
            </w:rPr>
            <w:t>(Leamer, Housing Is the Business Cycle, 2007)</w:t>
          </w:r>
          <w:r>
            <w:rPr>
              <w:noProof/>
            </w:rPr>
            <w:fldChar w:fldCharType="end"/>
          </w:r>
        </w:sdtContent>
      </w:sdt>
      <w:r>
        <w:t>, the author has graphs showing the loss of manufacturing jobs after the recession of 2001</w:t>
      </w:r>
      <w:r>
        <w:fldChar w:fldCharType="begin"/>
      </w:r>
      <w:r>
        <w:instrText xml:space="preserve"> XE "</w:instrText>
      </w:r>
      <w:r w:rsidRPr="002367D7">
        <w:rPr>
          <w:rFonts w:cs="Times New Roman"/>
        </w:rPr>
        <w:instrText>recession of 2001</w:instrText>
      </w:r>
      <w:r>
        <w:instrText xml:space="preserve">" </w:instrText>
      </w:r>
      <w:r>
        <w:fldChar w:fldCharType="end"/>
      </w:r>
      <w:r>
        <w:t>.</w:t>
      </w:r>
    </w:p>
  </w:endnote>
  <w:endnote w:id="41">
    <w:p w14:paraId="31ABEFF7" w14:textId="77777777" w:rsidR="009D5946" w:rsidRDefault="009D5946">
      <w:pPr>
        <w:pStyle w:val="EndnoteText"/>
      </w:pPr>
      <w:r>
        <w:rPr>
          <w:rStyle w:val="EndnoteReference"/>
        </w:rPr>
        <w:endnoteRef/>
      </w:r>
      <w:r>
        <w:t xml:space="preserve"> </w:t>
      </w:r>
      <w:sdt>
        <w:sdtPr>
          <w:id w:val="32673002"/>
          <w:citation/>
        </w:sdtPr>
        <w:sdtContent>
          <w:r>
            <w:fldChar w:fldCharType="begin"/>
          </w:r>
          <w:r>
            <w:instrText xml:space="preserve"> CITATION Edw99 \l 1033 </w:instrText>
          </w:r>
          <w:r>
            <w:fldChar w:fldCharType="separate"/>
          </w:r>
          <w:r>
            <w:rPr>
              <w:noProof/>
            </w:rPr>
            <w:t>(Gibbon, 1999)</w:t>
          </w:r>
          <w:r>
            <w:rPr>
              <w:noProof/>
            </w:rPr>
            <w:fldChar w:fldCharType="end"/>
          </w:r>
        </w:sdtContent>
      </w:sdt>
    </w:p>
  </w:endnote>
  <w:endnote w:id="42">
    <w:p w14:paraId="2C21A4BB" w14:textId="77777777" w:rsidR="009D5946" w:rsidRDefault="009D5946">
      <w:pPr>
        <w:pStyle w:val="EndnoteText"/>
      </w:pPr>
      <w:r>
        <w:rPr>
          <w:rStyle w:val="EndnoteReference"/>
        </w:rPr>
        <w:endnoteRef/>
      </w:r>
      <w:r>
        <w:t xml:space="preserve"> In the paper </w:t>
      </w:r>
      <w:r w:rsidRPr="00C74D86">
        <w:t xml:space="preserve">Innovations in Mortgage Markets and Increased Spending on Housing </w:t>
      </w:r>
      <w:sdt>
        <w:sdtPr>
          <w:id w:val="32672999"/>
          <w:citation/>
        </w:sdtPr>
        <w:sdtContent>
          <w:r>
            <w:fldChar w:fldCharType="begin"/>
          </w:r>
          <w:r>
            <w:instrText xml:space="preserve"> CITATION Mar071 \l 1033 </w:instrText>
          </w:r>
          <w:r>
            <w:fldChar w:fldCharType="separate"/>
          </w:r>
          <w:r>
            <w:rPr>
              <w:noProof/>
            </w:rPr>
            <w:t>(Doms &amp; Krainer, Innovations in Mortgage Markets and Increased Spending on Housing, 2007)</w:t>
          </w:r>
          <w:r>
            <w:rPr>
              <w:noProof/>
            </w:rPr>
            <w:fldChar w:fldCharType="end"/>
          </w:r>
        </w:sdtContent>
      </w:sdt>
      <w:r>
        <w:t>,</w:t>
      </w:r>
      <w:r w:rsidRPr="00C74D86">
        <w:t xml:space="preserve"> Mark Doms and John Krainer</w:t>
      </w:r>
      <w:r>
        <w:t xml:space="preserve"> document how financial innovation</w:t>
      </w:r>
      <w:r>
        <w:fldChar w:fldCharType="begin"/>
      </w:r>
      <w:r>
        <w:instrText xml:space="preserve"> XE "</w:instrText>
      </w:r>
      <w:r w:rsidRPr="007E7A1E">
        <w:rPr>
          <w:rFonts w:cs="Times New Roman"/>
        </w:rPr>
        <w:instrText>financial innovation</w:instrText>
      </w:r>
      <w:r>
        <w:instrText xml:space="preserve">" </w:instrText>
      </w:r>
      <w:r>
        <w:fldChar w:fldCharType="end"/>
      </w:r>
      <w:r>
        <w:t xml:space="preserve"> helped facilitate the housing bubble. Their abstract is as follows: “</w:t>
      </w:r>
      <w:r w:rsidRPr="00C74D86">
        <w:t>Innovations in the mortgage market since the mid-1990s have effectively reduced a number of financing constraints. Coinciding with these innovations, we document a significant change in the propensity for households to own their homes, as well as substantial increases in the share of household income devoted to housing. These changes in housing expenditures are especially large for those groups that faced the greatest financial constraints, and are robust across the changing composition of households and their geographic location. We present evidence that young, constrained households may have used newly designed mortgages to finance their increased expenditures on housing.</w:t>
      </w:r>
      <w:r>
        <w:t>” Notice the “innovation” reduced financing constraints. This is the definition of loose credit. They also note the increase in home ownership and the increase in debt-to-income</w:t>
      </w:r>
      <w:r>
        <w:fldChar w:fldCharType="begin"/>
      </w:r>
      <w:r>
        <w:instrText xml:space="preserve"> XE "</w:instrText>
      </w:r>
      <w:r w:rsidRPr="00991A9B">
        <w:rPr>
          <w:rFonts w:cs="Times New Roman"/>
        </w:rPr>
        <w:instrText>debt-to-income</w:instrText>
      </w:r>
      <w:r>
        <w:instrText xml:space="preserve">" </w:instrText>
      </w:r>
      <w:r>
        <w:fldChar w:fldCharType="end"/>
      </w:r>
      <w:r>
        <w:t xml:space="preserve"> ratios. The latter is a telltale sign of a housing market bubble. The exotic loans tended to be concentrated in younger households who used to be excluded from the housing market due to lack of downpayments</w:t>
      </w:r>
      <w:r>
        <w:fldChar w:fldCharType="begin"/>
      </w:r>
      <w:r>
        <w:instrText xml:space="preserve"> XE "</w:instrText>
      </w:r>
      <w:r w:rsidRPr="00BA03FA">
        <w:rPr>
          <w:rFonts w:cs="Times New Roman"/>
        </w:rPr>
        <w:instrText>downpayments</w:instrText>
      </w:r>
      <w:r>
        <w:instrText xml:space="preserve">" </w:instrText>
      </w:r>
      <w:r>
        <w:fldChar w:fldCharType="end"/>
      </w:r>
      <w:r>
        <w:t xml:space="preserve"> and insufficient income. Basically, exotic loans were given to persons who were not ready for home ownership, and the high default rates</w:t>
      </w:r>
      <w:r>
        <w:fldChar w:fldCharType="begin"/>
      </w:r>
      <w:r>
        <w:instrText xml:space="preserve"> XE "</w:instrText>
      </w:r>
      <w:r w:rsidRPr="00336602">
        <w:rPr>
          <w:rFonts w:cs="Times New Roman"/>
        </w:rPr>
        <w:instrText>default rates</w:instrText>
      </w:r>
      <w:r>
        <w:instrText xml:space="preserve">" </w:instrText>
      </w:r>
      <w:r>
        <w:fldChar w:fldCharType="end"/>
      </w:r>
      <w:r>
        <w:t xml:space="preserve"> among this group should not have been a surprise.</w:t>
      </w:r>
    </w:p>
  </w:endnote>
  <w:endnote w:id="43">
    <w:p w14:paraId="21B97726" w14:textId="77777777" w:rsidR="009D5946" w:rsidRDefault="009D5946" w:rsidP="00813A15">
      <w:pPr>
        <w:pStyle w:val="EndnoteText"/>
      </w:pPr>
      <w:r>
        <w:rPr>
          <w:rStyle w:val="EndnoteReference"/>
        </w:rPr>
        <w:endnoteRef/>
      </w:r>
      <w:r>
        <w:t xml:space="preserve"> In response to the dramatic increase in subprime delinquencies in 2007, the Federal Reserve</w:t>
      </w:r>
      <w:r>
        <w:fldChar w:fldCharType="begin"/>
      </w:r>
      <w:r>
        <w:instrText xml:space="preserve"> XE "</w:instrText>
      </w:r>
      <w:r w:rsidRPr="005F15E8">
        <w:rPr>
          <w:rFonts w:cs="Times New Roman"/>
        </w:rPr>
        <w:instrText>Federal Reserve</w:instrText>
      </w:r>
      <w:r>
        <w:instrText xml:space="preserve">" </w:instrText>
      </w:r>
      <w:r>
        <w:fldChar w:fldCharType="end"/>
      </w:r>
      <w:r>
        <w:t xml:space="preserve"> Bank of San Francisco commissioned a report on Subprime</w:t>
      </w:r>
      <w:r>
        <w:fldChar w:fldCharType="begin"/>
      </w:r>
      <w:r>
        <w:instrText xml:space="preserve"> XE "</w:instrText>
      </w:r>
      <w:r w:rsidRPr="007B2D35">
        <w:rPr>
          <w:rFonts w:cs="Times New Roman"/>
        </w:rPr>
        <w:instrText>Subprime</w:instrText>
      </w:r>
      <w:r>
        <w:instrText xml:space="preserve">" </w:instrText>
      </w:r>
      <w:r>
        <w:fldChar w:fldCharType="end"/>
      </w:r>
      <w:r>
        <w:t xml:space="preserve"> Mortgage Delinquency Rates </w:t>
      </w:r>
      <w:sdt>
        <w:sdtPr>
          <w:id w:val="32673000"/>
          <w:citation/>
        </w:sdtPr>
        <w:sdtContent>
          <w:r>
            <w:fldChar w:fldCharType="begin"/>
          </w:r>
          <w:r>
            <w:instrText xml:space="preserve"> CITATION Mar07 \l 1033 </w:instrText>
          </w:r>
          <w:r>
            <w:fldChar w:fldCharType="separate"/>
          </w:r>
          <w:r>
            <w:rPr>
              <w:noProof/>
            </w:rPr>
            <w:t>(Doms, Furlong, &amp; Krainer, Subprime Mortgage Delinquency Rates, 2007)</w:t>
          </w:r>
          <w:r>
            <w:rPr>
              <w:noProof/>
            </w:rPr>
            <w:fldChar w:fldCharType="end"/>
          </w:r>
        </w:sdtContent>
      </w:sdt>
      <w:r>
        <w:t>. The report’s conclusions were as follows: “</w:t>
      </w:r>
      <w:r w:rsidRPr="0004483D">
        <w:t>First, the riskiness of the subprime borrowing pool may have increased. Second, pockets of regional economic weakness may have helped push a larger proportion of subprime borrowers into delinquency. Third, for a variety of reasons, the recent history of local house price appreciation</w:t>
      </w:r>
      <w:r>
        <w:fldChar w:fldCharType="begin"/>
      </w:r>
      <w:r>
        <w:instrText xml:space="preserve"> XE "</w:instrText>
      </w:r>
      <w:r w:rsidRPr="009C5D12">
        <w:rPr>
          <w:rFonts w:cs="Times New Roman"/>
        </w:rPr>
        <w:instrText>appreciation</w:instrText>
      </w:r>
      <w:r>
        <w:instrText xml:space="preserve">" </w:instrText>
      </w:r>
      <w:r>
        <w:fldChar w:fldCharType="end"/>
      </w:r>
      <w:r w:rsidRPr="0004483D">
        <w:t xml:space="preserve"> and the degree of house price deceleration may have affected delinquency rates on subprime mortgages. While we find a role for all three candidate explanations, patterns in recent house price appreciation are far and away the best single predictor of delinquency levels and changes in delinquencies. Importantly, after controlling for the current level of house price appreciation, measures of house price deceleration remain significant predictors of changes in subprime delinquencies. The results point to a possible role for changes in house price expectations for explaining changes in delinquencies.</w:t>
      </w:r>
      <w:r>
        <w:t>” In later sections the relationship between default rates</w:t>
      </w:r>
      <w:r>
        <w:fldChar w:fldCharType="begin"/>
      </w:r>
      <w:r>
        <w:instrText xml:space="preserve"> XE "</w:instrText>
      </w:r>
      <w:r w:rsidRPr="00336602">
        <w:rPr>
          <w:rFonts w:cs="Times New Roman"/>
        </w:rPr>
        <w:instrText>default rates</w:instrText>
      </w:r>
      <w:r>
        <w:instrText xml:space="preserve">" </w:instrText>
      </w:r>
      <w:r>
        <w:fldChar w:fldCharType="end"/>
      </w:r>
      <w:r>
        <w:t xml:space="preserve"> and default losses is explored. When prices decline, default losses increase because lenders get less money from the collateral</w:t>
      </w:r>
      <w:r>
        <w:fldChar w:fldCharType="begin"/>
      </w:r>
      <w:r>
        <w:instrText xml:space="preserve"> XE "</w:instrText>
      </w:r>
      <w:r w:rsidRPr="00BD64A2">
        <w:rPr>
          <w:rFonts w:cs="Times New Roman"/>
        </w:rPr>
        <w:instrText>collateral</w:instrText>
      </w:r>
      <w:r>
        <w:instrText xml:space="preserve">" </w:instrText>
      </w:r>
      <w:r>
        <w:fldChar w:fldCharType="end"/>
      </w:r>
      <w:r>
        <w:t xml:space="preserve"> in a foreclosure</w:t>
      </w:r>
      <w:r>
        <w:fldChar w:fldCharType="begin"/>
      </w:r>
      <w:r>
        <w:instrText xml:space="preserve"> XE "</w:instrText>
      </w:r>
      <w:r w:rsidRPr="00011F5A">
        <w:rPr>
          <w:rFonts w:cs="Times New Roman"/>
        </w:rPr>
        <w:instrText>foreclosure</w:instrText>
      </w:r>
      <w:r>
        <w:instrText xml:space="preserve">" </w:instrText>
      </w:r>
      <w:r>
        <w:fldChar w:fldCharType="end"/>
      </w:r>
      <w:r>
        <w:t xml:space="preserve">. This report from the FRBSF demonstrates that lenders also face higher default rates, probably due to borrowers “giving up” when they owe more on their mortgage than their house is worth. These two phenomenon have a negative synergy. In a related report by </w:t>
      </w:r>
      <w:r w:rsidRPr="00ED4F24">
        <w:t>Kristopher Gerardi, Adam Hale Shapiro, and Paul S. Willen</w:t>
      </w:r>
      <w:r>
        <w:t xml:space="preserve"> titled</w:t>
      </w:r>
      <w:r w:rsidRPr="00ED4F24">
        <w:t xml:space="preserve"> Subprime Outcomes: Risky Mortgages, Homeownership Experiences, and Foreclosures</w:t>
      </w:r>
      <w:r>
        <w:t xml:space="preserve"> </w:t>
      </w:r>
      <w:sdt>
        <w:sdtPr>
          <w:id w:val="32673001"/>
          <w:citation/>
        </w:sdtPr>
        <w:sdtContent>
          <w:r>
            <w:fldChar w:fldCharType="begin"/>
          </w:r>
          <w:r>
            <w:instrText xml:space="preserve"> CITATION Kri07 \l 1033 </w:instrText>
          </w:r>
          <w:r>
            <w:fldChar w:fldCharType="separate"/>
          </w:r>
          <w:r>
            <w:rPr>
              <w:noProof/>
            </w:rPr>
            <w:t>(Gerardi, Shapiro, &amp; Willen, 2007)</w:t>
          </w:r>
          <w:r>
            <w:rPr>
              <w:noProof/>
            </w:rPr>
            <w:fldChar w:fldCharType="end"/>
          </w:r>
        </w:sdtContent>
      </w:sdt>
      <w:r>
        <w:t>, the authors make the following observations, “</w:t>
      </w:r>
      <w:r w:rsidRPr="00ED4F24">
        <w:t>First, homeownerships that begin with a subprime purchase mortgage end up in foreclosure almost 20 percent of the time, or more than 6 times as often as experiences that begin with prime purchase mortgages. Second, house price appreciation plays a dominant role in generating foreclosures. In fact, we attribute most of the dramatic rise in Massachusetts foreclosures during 2006 and 2007 to the decline in house prices that began in the summer of 2005.</w:t>
      </w:r>
      <w:r>
        <w:t>”</w:t>
      </w:r>
    </w:p>
  </w:endnote>
  <w:endnote w:id="44">
    <w:p w14:paraId="631C9EC8" w14:textId="77777777" w:rsidR="009D5946" w:rsidRDefault="009D5946">
      <w:pPr>
        <w:pStyle w:val="EndnoteText"/>
      </w:pPr>
      <w:r>
        <w:rPr>
          <w:rStyle w:val="EndnoteReference"/>
        </w:rPr>
        <w:endnoteRef/>
      </w:r>
      <w:r>
        <w:t xml:space="preserve"> In the paper </w:t>
      </w:r>
      <w:r w:rsidRPr="00550C63">
        <w:t>Unskilled and Unaware of It: How Difficulties in Recognizing One's Own Incompetence Lead to Inflated Self-Assessments</w:t>
      </w:r>
      <w:r>
        <w:t xml:space="preserve"> </w:t>
      </w:r>
      <w:sdt>
        <w:sdtPr>
          <w:id w:val="32672998"/>
          <w:citation/>
        </w:sdtPr>
        <w:sdtContent>
          <w:r>
            <w:fldChar w:fldCharType="begin"/>
          </w:r>
          <w:r>
            <w:instrText xml:space="preserve"> CITATION Jus99 \l 1033 </w:instrText>
          </w:r>
          <w:r>
            <w:fldChar w:fldCharType="separate"/>
          </w:r>
          <w:r>
            <w:rPr>
              <w:noProof/>
            </w:rPr>
            <w:t>(Kruger &amp; Dunning, 1999)</w:t>
          </w:r>
          <w:r>
            <w:rPr>
              <w:noProof/>
            </w:rPr>
            <w:fldChar w:fldCharType="end"/>
          </w:r>
        </w:sdtContent>
      </w:sdt>
      <w:r>
        <w:t>, the authors noted the tendency of individuals to overestimate their own competence and abilities. Their primary conclusion is as follows “</w:t>
      </w:r>
      <w:r w:rsidRPr="00550C63">
        <w:t>People tend to hold overly favorable views of their abilities in many social and intellectual domains. The authors suggest that this overestimation occurs, in part, because people who are unskilled in these domains suffer a dual burden: Not only do these people reach erroneous conclusions and make unfortunate choices, but their incompetence robs them of the metacognitive ability to realize it.</w:t>
      </w:r>
      <w:r>
        <w:t>” It is a perfect description of the general public and their relationship to complex financial agreements like Option ARMs.</w:t>
      </w:r>
    </w:p>
  </w:endnote>
  <w:endnote w:id="45">
    <w:p w14:paraId="5C043E6A" w14:textId="77777777" w:rsidR="009D5946" w:rsidRDefault="009D5946">
      <w:pPr>
        <w:pStyle w:val="EndnoteText"/>
      </w:pPr>
      <w:r>
        <w:rPr>
          <w:rStyle w:val="EndnoteReference"/>
        </w:rPr>
        <w:endnoteRef/>
      </w:r>
      <w:r>
        <w:t xml:space="preserve"> The author is a believer in the Austrian School of Economics. Two of the sources of research and understanding on the credit cycle</w:t>
      </w:r>
      <w:r>
        <w:fldChar w:fldCharType="begin"/>
      </w:r>
      <w:r>
        <w:instrText xml:space="preserve"> XE "</w:instrText>
      </w:r>
      <w:r w:rsidRPr="00E437D3">
        <w:rPr>
          <w:rFonts w:cs="Times New Roman"/>
        </w:rPr>
        <w:instrText>credit cycle</w:instrText>
      </w:r>
      <w:r>
        <w:instrText xml:space="preserve">" </w:instrText>
      </w:r>
      <w:r>
        <w:fldChar w:fldCharType="end"/>
      </w:r>
      <w:r>
        <w:t xml:space="preserve"> are The Hedge Fund Edge: Maximum Profit / Minimum Risk Global Trend Trading Strategies </w:t>
      </w:r>
      <w:sdt>
        <w:sdtPr>
          <w:id w:val="32672996"/>
          <w:citation/>
        </w:sdtPr>
        <w:sdtContent>
          <w:r>
            <w:fldChar w:fldCharType="begin"/>
          </w:r>
          <w:r>
            <w:instrText xml:space="preserve"> CITATION Mar99 \l 1033 </w:instrText>
          </w:r>
          <w:r>
            <w:fldChar w:fldCharType="separate"/>
          </w:r>
          <w:r>
            <w:rPr>
              <w:noProof/>
            </w:rPr>
            <w:t>(Boucher, 1999)</w:t>
          </w:r>
          <w:r>
            <w:rPr>
              <w:noProof/>
            </w:rPr>
            <w:fldChar w:fldCharType="end"/>
          </w:r>
        </w:sdtContent>
      </w:sdt>
      <w:r>
        <w:t xml:space="preserve">, and </w:t>
      </w:r>
      <w:r w:rsidRPr="00460DF9">
        <w:t>Money, Bank Credit, and Economic Cycles</w:t>
      </w:r>
      <w:r>
        <w:t xml:space="preserve"> </w:t>
      </w:r>
      <w:sdt>
        <w:sdtPr>
          <w:id w:val="32672997"/>
          <w:citation/>
        </w:sdtPr>
        <w:sdtContent>
          <w:r>
            <w:fldChar w:fldCharType="begin"/>
          </w:r>
          <w:r>
            <w:instrText xml:space="preserve"> CITATION Jes06 \l 1033 </w:instrText>
          </w:r>
          <w:r>
            <w:fldChar w:fldCharType="separate"/>
          </w:r>
          <w:r>
            <w:rPr>
              <w:noProof/>
            </w:rPr>
            <w:t>(Soto, 2006)</w:t>
          </w:r>
          <w:r>
            <w:rPr>
              <w:noProof/>
            </w:rPr>
            <w:fldChar w:fldCharType="end"/>
          </w:r>
        </w:sdtContent>
      </w:sdt>
      <w:r>
        <w:t xml:space="preserve">. </w:t>
      </w:r>
    </w:p>
  </w:endnote>
  <w:endnote w:id="46">
    <w:p w14:paraId="29DB4798" w14:textId="77777777" w:rsidR="009D5946" w:rsidRDefault="009D5946">
      <w:pPr>
        <w:pStyle w:val="EndnoteText"/>
      </w:pPr>
      <w:r>
        <w:rPr>
          <w:rStyle w:val="EndnoteReference"/>
        </w:rPr>
        <w:endnoteRef/>
      </w:r>
      <w:r>
        <w:t xml:space="preserve"> There are a number of research papers discussing the pros and cons of various methodologies for calculating equivalent rent. </w:t>
      </w:r>
      <w:r w:rsidRPr="0066121E">
        <w:t>Hedonic Estimates of the Cost of Housing Services: Rental and Owner-Occupied Units</w:t>
      </w:r>
      <w:r>
        <w:t xml:space="preserve"> </w:t>
      </w:r>
      <w:sdt>
        <w:sdtPr>
          <w:id w:val="32672994"/>
          <w:citation/>
        </w:sdtPr>
        <w:sdtContent>
          <w:r>
            <w:fldChar w:fldCharType="begin"/>
          </w:r>
          <w:r>
            <w:instrText xml:space="preserve"> CITATION The04 \l 1033 </w:instrText>
          </w:r>
          <w:r>
            <w:fldChar w:fldCharType="separate"/>
          </w:r>
          <w:r>
            <w:rPr>
              <w:noProof/>
            </w:rPr>
            <w:t>(Crone &amp; Nakamura, 2004)</w:t>
          </w:r>
          <w:r>
            <w:rPr>
              <w:noProof/>
            </w:rPr>
            <w:fldChar w:fldCharType="end"/>
          </w:r>
        </w:sdtContent>
      </w:sdt>
      <w:r>
        <w:t xml:space="preserve"> </w:t>
      </w:r>
      <w:r w:rsidRPr="0066121E">
        <w:t>Treatment of Owner-Occupied Housing in the CPI</w:t>
      </w:r>
      <w:r>
        <w:fldChar w:fldCharType="begin"/>
      </w:r>
      <w:r>
        <w:instrText xml:space="preserve"> XE "</w:instrText>
      </w:r>
      <w:r w:rsidRPr="00ED6E11">
        <w:rPr>
          <w:rFonts w:cs="Times New Roman"/>
        </w:rPr>
        <w:instrText>CPI</w:instrText>
      </w:r>
      <w:r>
        <w:instrText xml:space="preserve">" </w:instrText>
      </w:r>
      <w:r>
        <w:fldChar w:fldCharType="end"/>
      </w:r>
      <w:r>
        <w:t xml:space="preserve"> </w:t>
      </w:r>
      <w:sdt>
        <w:sdtPr>
          <w:id w:val="32672995"/>
          <w:citation/>
        </w:sdtPr>
        <w:sdtContent>
          <w:r>
            <w:fldChar w:fldCharType="begin"/>
          </w:r>
          <w:r>
            <w:instrText xml:space="preserve"> CITATION Rob05 \l 1033 </w:instrText>
          </w:r>
          <w:r>
            <w:fldChar w:fldCharType="separate"/>
          </w:r>
          <w:r>
            <w:rPr>
              <w:noProof/>
            </w:rPr>
            <w:t>(Poole, Ptacek, &amp; Verbrugge, 2005)</w:t>
          </w:r>
          <w:r>
            <w:rPr>
              <w:noProof/>
            </w:rPr>
            <w:fldChar w:fldCharType="end"/>
          </w:r>
        </w:sdtContent>
      </w:sdt>
      <w:r>
        <w:t>.</w:t>
      </w:r>
    </w:p>
  </w:endnote>
  <w:endnote w:id="47">
    <w:p w14:paraId="5C5658F3" w14:textId="77777777" w:rsidR="009D5946" w:rsidRDefault="009D5946">
      <w:pPr>
        <w:pStyle w:val="EndnoteText"/>
      </w:pPr>
      <w:r>
        <w:rPr>
          <w:rStyle w:val="EndnoteReference"/>
        </w:rPr>
        <w:endnoteRef/>
      </w:r>
      <w:r>
        <w:t xml:space="preserve"> </w:t>
      </w:r>
      <w:r w:rsidRPr="00EF0EDA">
        <w:t>Robert Shiller</w:t>
      </w:r>
      <w:r>
        <w:fldChar w:fldCharType="begin"/>
      </w:r>
      <w:r>
        <w:instrText xml:space="preserve"> XE "</w:instrText>
      </w:r>
      <w:r w:rsidRPr="00064AF4">
        <w:rPr>
          <w:rFonts w:cs="Times New Roman"/>
        </w:rPr>
        <w:instrText>Robert Shiller</w:instrText>
      </w:r>
      <w:r>
        <w:instrText xml:space="preserve">" </w:instrText>
      </w:r>
      <w:r>
        <w:fldChar w:fldCharType="end"/>
      </w:r>
      <w:r w:rsidRPr="00EF0EDA">
        <w:t xml:space="preserve"> noted “that real owners’ equivalent rent and real building costs track each other fairly well, as one might expect. But neither of them tracks real home prices at all, suggesting that some other factor – I will argue market psychology – plays an important role in determining home prices.”</w:t>
      </w:r>
    </w:p>
  </w:endnote>
  <w:endnote w:id="48">
    <w:p w14:paraId="779F4E19" w14:textId="77777777" w:rsidR="009D5946" w:rsidRDefault="009D5946">
      <w:pPr>
        <w:pStyle w:val="EndnoteText"/>
      </w:pPr>
      <w:r>
        <w:rPr>
          <w:rStyle w:val="EndnoteReference"/>
        </w:rPr>
        <w:endnoteRef/>
      </w:r>
      <w:r>
        <w:t xml:space="preserve"> Depending on the market, rental rates grow at a rate around 1% over the rate of inflation. Rental rates are closely aligned with income growth, and in markets where income growth is strong, rental rates increase at approximately the same rate.</w:t>
      </w:r>
    </w:p>
  </w:endnote>
  <w:endnote w:id="49">
    <w:p w14:paraId="3583FD88" w14:textId="77777777" w:rsidR="009D5946" w:rsidRDefault="009D5946">
      <w:pPr>
        <w:pStyle w:val="EndnoteText"/>
      </w:pPr>
      <w:r>
        <w:rPr>
          <w:rStyle w:val="EndnoteReference"/>
        </w:rPr>
        <w:endnoteRef/>
      </w:r>
      <w:r>
        <w:t xml:space="preserve"> John Krainer, chief economist for the Federal Reserve</w:t>
      </w:r>
      <w:r>
        <w:fldChar w:fldCharType="begin"/>
      </w:r>
      <w:r>
        <w:instrText xml:space="preserve"> XE "</w:instrText>
      </w:r>
      <w:r w:rsidRPr="005F15E8">
        <w:rPr>
          <w:rFonts w:cs="Times New Roman"/>
        </w:rPr>
        <w:instrText>Federal Reserve</w:instrText>
      </w:r>
      <w:r>
        <w:instrText xml:space="preserve">" </w:instrText>
      </w:r>
      <w:r>
        <w:fldChar w:fldCharType="end"/>
      </w:r>
      <w:r>
        <w:t xml:space="preserve"> Bank of San Francisco, pointed out in 2004 “</w:t>
      </w:r>
      <w:r w:rsidRPr="004C22F7">
        <w:t>The price-rent ratio for the U.S. and many regional markets is now much higher than its historical average value.</w:t>
      </w:r>
      <w:r>
        <w:t xml:space="preserve">” </w:t>
      </w:r>
      <w:sdt>
        <w:sdtPr>
          <w:id w:val="32672993"/>
          <w:citation/>
        </w:sdtPr>
        <w:sdtContent>
          <w:r>
            <w:fldChar w:fldCharType="begin"/>
          </w:r>
          <w:r>
            <w:instrText xml:space="preserve"> CITATION Joh04 \l 1033 </w:instrText>
          </w:r>
          <w:r>
            <w:fldChar w:fldCharType="separate"/>
          </w:r>
          <w:r>
            <w:rPr>
              <w:noProof/>
            </w:rPr>
            <w:t>(Krainer &amp; Wei, House Prices and Fundamental Value, 2004)</w:t>
          </w:r>
          <w:r>
            <w:rPr>
              <w:noProof/>
            </w:rPr>
            <w:fldChar w:fldCharType="end"/>
          </w:r>
        </w:sdtContent>
      </w:sdt>
      <w:r>
        <w:t xml:space="preserve"> This is one of the first papers (other than those by Robert Shiller</w:t>
      </w:r>
      <w:r>
        <w:fldChar w:fldCharType="begin"/>
      </w:r>
      <w:r>
        <w:instrText xml:space="preserve"> XE "</w:instrText>
      </w:r>
      <w:r w:rsidRPr="00064AF4">
        <w:rPr>
          <w:rFonts w:cs="Times New Roman"/>
        </w:rPr>
        <w:instrText>Robert Shiller</w:instrText>
      </w:r>
      <w:r>
        <w:instrText xml:space="preserve">" </w:instrText>
      </w:r>
      <w:r>
        <w:fldChar w:fldCharType="end"/>
      </w:r>
      <w:r>
        <w:t>) to recognize the data was pointing to a housing bubble.</w:t>
      </w:r>
    </w:p>
  </w:endnote>
  <w:endnote w:id="50">
    <w:p w14:paraId="23A22C31" w14:textId="77777777" w:rsidR="009D5946" w:rsidRDefault="009D5946" w:rsidP="00E75F2F">
      <w:pPr>
        <w:pStyle w:val="EndnoteText"/>
        <w:jc w:val="left"/>
      </w:pPr>
      <w:r>
        <w:rPr>
          <w:rStyle w:val="EndnoteReference"/>
        </w:rPr>
        <w:endnoteRef/>
      </w:r>
      <w:r>
        <w:t xml:space="preserve"> The full text of the Proposition 13 law can be found at </w:t>
      </w:r>
      <w:r w:rsidRPr="001F47A8">
        <w:t>http://www.leginfo.ca.gov/.const/.article_13A</w:t>
      </w:r>
    </w:p>
  </w:endnote>
  <w:endnote w:id="51">
    <w:p w14:paraId="1F8608DA" w14:textId="77777777" w:rsidR="009D5946" w:rsidRDefault="009D5946">
      <w:pPr>
        <w:pStyle w:val="EndnoteText"/>
      </w:pPr>
      <w:r>
        <w:rPr>
          <w:rStyle w:val="EndnoteReference"/>
        </w:rPr>
        <w:endnoteRef/>
      </w:r>
      <w:r>
        <w:t xml:space="preserve"> </w:t>
      </w:r>
      <w:r w:rsidRPr="00EF0EDA">
        <w:t>In California, the first half of regular secured property tax bills are due November 1st, and delinquent after December 10th; the second half are due February 1st, and delinquent after April 10th each year. If the delinquent date falls on a Saturday, Sunday, or government holiday, then the due date is the following business day.</w:t>
      </w:r>
    </w:p>
  </w:endnote>
  <w:endnote w:id="52">
    <w:p w14:paraId="740E5DBF" w14:textId="77777777" w:rsidR="009D5946" w:rsidRDefault="009D5946">
      <w:pPr>
        <w:pStyle w:val="EndnoteText"/>
      </w:pPr>
      <w:r>
        <w:rPr>
          <w:rStyle w:val="EndnoteReference"/>
        </w:rPr>
        <w:endnoteRef/>
      </w:r>
      <w:r>
        <w:t xml:space="preserve"> All information regarding tax rates comes from the Internal Revenue Service. </w:t>
      </w:r>
      <w:r w:rsidRPr="001F47A8">
        <w:t>http://www.irs.gov/</w:t>
      </w:r>
    </w:p>
  </w:endnote>
  <w:endnote w:id="53">
    <w:p w14:paraId="662F5E52" w14:textId="77777777" w:rsidR="009D5946" w:rsidRDefault="009D5946">
      <w:pPr>
        <w:pStyle w:val="EndnoteText"/>
      </w:pPr>
      <w:r>
        <w:rPr>
          <w:rStyle w:val="EndnoteReference"/>
        </w:rPr>
        <w:endnoteRef/>
      </w:r>
      <w:r>
        <w:t xml:space="preserve"> There are many studies that have mentioned the use of price-to-rent</w:t>
      </w:r>
      <w:r>
        <w:fldChar w:fldCharType="begin"/>
      </w:r>
      <w:r>
        <w:instrText xml:space="preserve"> XE "</w:instrText>
      </w:r>
      <w:r w:rsidRPr="0007121C">
        <w:rPr>
          <w:rFonts w:cs="Times New Roman"/>
        </w:rPr>
        <w:instrText>price-to-rent</w:instrText>
      </w:r>
      <w:r>
        <w:instrText xml:space="preserve">" </w:instrText>
      </w:r>
      <w:r>
        <w:fldChar w:fldCharType="end"/>
      </w:r>
      <w:r>
        <w:t xml:space="preserve"> ratios as being similar to price-to-earnings ratios of stocks</w:t>
      </w:r>
      <w:r>
        <w:fldChar w:fldCharType="begin"/>
      </w:r>
      <w:r>
        <w:instrText xml:space="preserve"> XE "</w:instrText>
      </w:r>
      <w:r w:rsidRPr="00D753F0">
        <w:rPr>
          <w:rFonts w:cs="Times New Roman"/>
        </w:rPr>
        <w:instrText>stocks</w:instrText>
      </w:r>
      <w:r>
        <w:instrText xml:space="preserve">" </w:instrText>
      </w:r>
      <w:r>
        <w:fldChar w:fldCharType="end"/>
      </w:r>
      <w:r>
        <w:t xml:space="preserve">. Some of the studies are good, and some are not. Bubble, bubble, toil and trouble is of the latter variety </w:t>
      </w:r>
      <w:sdt>
        <w:sdtPr>
          <w:id w:val="32672992"/>
          <w:citation/>
        </w:sdtPr>
        <w:sdtContent>
          <w:r>
            <w:fldChar w:fldCharType="begin"/>
          </w:r>
          <w:r>
            <w:instrText xml:space="preserve"> CITATION Ros06 \l 1033  </w:instrText>
          </w:r>
          <w:r>
            <w:fldChar w:fldCharType="separate"/>
          </w:r>
          <w:r>
            <w:rPr>
              <w:noProof/>
            </w:rPr>
            <w:t>(Haines &amp; Rosen, 2006)</w:t>
          </w:r>
          <w:r>
            <w:rPr>
              <w:noProof/>
            </w:rPr>
            <w:fldChar w:fldCharType="end"/>
          </w:r>
        </w:sdtContent>
      </w:sdt>
      <w:r>
        <w:t>. Typical of these studies is that they will look at the data, see the obvious signs of a bubble, and proceed to dismiss the obvious as something else. Even though the national data for price-to-rent clearly shows a bubble, even in their own graphs, the authors dismiss the idea because “all real estate is local.” The paper was written for the Federal Reserve</w:t>
      </w:r>
      <w:r>
        <w:fldChar w:fldCharType="begin"/>
      </w:r>
      <w:r>
        <w:instrText xml:space="preserve"> XE "</w:instrText>
      </w:r>
      <w:r w:rsidRPr="005F15E8">
        <w:rPr>
          <w:rFonts w:cs="Times New Roman"/>
        </w:rPr>
        <w:instrText>Federal Reserve</w:instrText>
      </w:r>
      <w:r>
        <w:instrText xml:space="preserve">" </w:instrText>
      </w:r>
      <w:r>
        <w:fldChar w:fldCharType="end"/>
      </w:r>
      <w:r>
        <w:t>, but it could have been written for the National Association of Realtors</w:t>
      </w:r>
      <w:r>
        <w:fldChar w:fldCharType="begin"/>
      </w:r>
      <w:r>
        <w:instrText xml:space="preserve"> XE "</w:instrText>
      </w:r>
      <w:r w:rsidRPr="00D5186C">
        <w:rPr>
          <w:rFonts w:cs="Times New Roman"/>
        </w:rPr>
        <w:instrText>National Association of Realtors</w:instrText>
      </w:r>
      <w:r>
        <w:instrText xml:space="preserve">" </w:instrText>
      </w:r>
      <w:r>
        <w:fldChar w:fldCharType="end"/>
      </w:r>
      <w:r>
        <w:t>. Another silly statement they make is “Thus, what appears to be a bubble in some markets might just be a reflection of normally high volatility in those markets.” This is like saying “what appears to be a bubble isn’t a bubble because bubbles are normal in these markets.” When the authors can look right at the data and not understand what they are seeing, there is little hope the paper will draw the right conclusions.</w:t>
      </w:r>
    </w:p>
  </w:endnote>
  <w:endnote w:id="54">
    <w:p w14:paraId="42426C3F" w14:textId="77777777" w:rsidR="009D5946" w:rsidRDefault="009D5946">
      <w:pPr>
        <w:pStyle w:val="EndnoteText"/>
      </w:pPr>
      <w:r>
        <w:rPr>
          <w:rStyle w:val="EndnoteReference"/>
        </w:rPr>
        <w:endnoteRef/>
      </w:r>
      <w:r>
        <w:t xml:space="preserve"> The study </w:t>
      </w:r>
      <w:r w:rsidRPr="00040D67">
        <w:t>A Trend and Variance Decomposition of the Rent-Price Ratio in Housing Markets</w:t>
      </w:r>
      <w:r>
        <w:t xml:space="preserve"> by </w:t>
      </w:r>
      <w:r w:rsidRPr="00040D67">
        <w:t>Sean D. Campbell, Morris A. Davis, Joshua Gallin, and Robert F. Martin</w:t>
      </w:r>
      <w:r>
        <w:t xml:space="preserve"> </w:t>
      </w:r>
      <w:sdt>
        <w:sdtPr>
          <w:id w:val="32672991"/>
          <w:citation/>
        </w:sdtPr>
        <w:sdtContent>
          <w:r>
            <w:fldChar w:fldCharType="begin"/>
          </w:r>
          <w:r>
            <w:instrText xml:space="preserve"> CITATION Sea05 \l 1033  </w:instrText>
          </w:r>
          <w:r>
            <w:fldChar w:fldCharType="separate"/>
          </w:r>
          <w:r>
            <w:rPr>
              <w:noProof/>
            </w:rPr>
            <w:t>(Campbell, Davis, Gallin, &amp; Martin, 2005)</w:t>
          </w:r>
          <w:r>
            <w:rPr>
              <w:noProof/>
            </w:rPr>
            <w:fldChar w:fldCharType="end"/>
          </w:r>
        </w:sdtContent>
      </w:sdt>
      <w:r>
        <w:t xml:space="preserve"> uses method of estimating the investment premium</w:t>
      </w:r>
      <w:r>
        <w:fldChar w:fldCharType="begin"/>
      </w:r>
      <w:r>
        <w:instrText xml:space="preserve"> XE "</w:instrText>
      </w:r>
      <w:r w:rsidRPr="00D32E3D">
        <w:rPr>
          <w:rFonts w:cs="Times New Roman"/>
        </w:rPr>
        <w:instrText>investment premium</w:instrText>
      </w:r>
      <w:r>
        <w:instrText xml:space="preserve">" </w:instrText>
      </w:r>
      <w:r>
        <w:fldChar w:fldCharType="end"/>
      </w:r>
      <w:r>
        <w:t xml:space="preserve"> people pay for homes in bubble markets based on the expectation of future rental growth. This entire approach is flawed as it assumes people are investing based on cash flows. This would be a rational approach, but most people who buy in financial manias know little or nothing about cashflow or how to value it. The real reason they are “investing” is to capture speculative price changes. Trying to determine a fundamental valuation based on cashflow is an interesting exercise in math and statistics, but it completely fails to capture the real motivation behind buyers in the marketplace.</w:t>
      </w:r>
    </w:p>
  </w:endnote>
  <w:endnote w:id="55">
    <w:p w14:paraId="093F7B6A" w14:textId="77777777" w:rsidR="009D5946" w:rsidRDefault="009D5946">
      <w:pPr>
        <w:pStyle w:val="EndnoteText"/>
      </w:pPr>
      <w:r>
        <w:rPr>
          <w:rStyle w:val="EndnoteReference"/>
        </w:rPr>
        <w:endnoteRef/>
      </w:r>
      <w:r>
        <w:t xml:space="preserve"> In the article “</w:t>
      </w:r>
      <w:r w:rsidRPr="00F87DF7">
        <w:t>Are CAP Rates Still a Valid Indicator of Value?</w:t>
      </w:r>
      <w:r>
        <w:t xml:space="preserve">” </w:t>
      </w:r>
      <w:sdt>
        <w:sdtPr>
          <w:id w:val="32672990"/>
          <w:citation/>
        </w:sdtPr>
        <w:sdtContent>
          <w:r>
            <w:fldChar w:fldCharType="begin"/>
          </w:r>
          <w:r>
            <w:instrText xml:space="preserve"> CITATION Cli05 \l 1033 </w:instrText>
          </w:r>
          <w:r>
            <w:fldChar w:fldCharType="separate"/>
          </w:r>
          <w:r>
            <w:rPr>
              <w:noProof/>
            </w:rPr>
            <w:t>(Hockley, 2005)</w:t>
          </w:r>
          <w:r>
            <w:rPr>
              <w:noProof/>
            </w:rPr>
            <w:fldChar w:fldCharType="end"/>
          </w:r>
        </w:sdtContent>
      </w:sdt>
      <w:r>
        <w:t>, the author noted “On the West Coast, California investors have driven the price of investments to levels never before seen. California CAP rates are hovering between 4 percent and 7 percent, even with no or low increases in rent. Investors are betting on appreciation</w:t>
      </w:r>
      <w:r>
        <w:fldChar w:fldCharType="begin"/>
      </w:r>
      <w:r>
        <w:instrText xml:space="preserve"> XE "</w:instrText>
      </w:r>
      <w:r w:rsidRPr="009C5D12">
        <w:rPr>
          <w:rFonts w:cs="Times New Roman"/>
        </w:rPr>
        <w:instrText>appreciation</w:instrText>
      </w:r>
      <w:r>
        <w:instrText xml:space="preserve">" </w:instrText>
      </w:r>
      <w:r>
        <w:fldChar w:fldCharType="end"/>
      </w:r>
      <w:r>
        <w:t xml:space="preserve"> gains.”</w:t>
      </w:r>
    </w:p>
  </w:endnote>
  <w:endnote w:id="56">
    <w:p w14:paraId="636E52C5" w14:textId="77777777" w:rsidR="009D5946" w:rsidRDefault="009D5946" w:rsidP="009251F7">
      <w:pPr>
        <w:pStyle w:val="EndnoteText"/>
      </w:pPr>
      <w:r>
        <w:rPr>
          <w:rStyle w:val="EndnoteReference"/>
        </w:rPr>
        <w:endnoteRef/>
      </w:r>
      <w:r>
        <w:t xml:space="preserve">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has been studying homebuyer behavior since the late 1980s. His surveys have consistently show the general public believes houses will appreciate in value at more than double their recorded historical rate.</w:t>
      </w:r>
    </w:p>
  </w:endnote>
  <w:endnote w:id="57">
    <w:p w14:paraId="1A6A316D" w14:textId="77777777" w:rsidR="009D5946" w:rsidRDefault="009D5946">
      <w:pPr>
        <w:pStyle w:val="EndnoteText"/>
      </w:pPr>
      <w:r>
        <w:rPr>
          <w:rStyle w:val="EndnoteReference"/>
        </w:rPr>
        <w:endnoteRef/>
      </w:r>
      <w:r>
        <w:t xml:space="preserve"> The 1.4% rate of house price appreciation</w:t>
      </w:r>
      <w:r>
        <w:fldChar w:fldCharType="begin"/>
      </w:r>
      <w:r>
        <w:instrText xml:space="preserve"> XE "</w:instrText>
      </w:r>
      <w:r w:rsidRPr="009C5D12">
        <w:rPr>
          <w:rFonts w:cs="Times New Roman"/>
        </w:rPr>
        <w:instrText>appreciation</w:instrText>
      </w:r>
      <w:r>
        <w:instrText xml:space="preserve">" </w:instrText>
      </w:r>
      <w:r>
        <w:fldChar w:fldCharType="end"/>
      </w:r>
      <w:r>
        <w:t xml:space="preserve"> over the rate of inflation is based on the US Census Bureau measurement of house price and the US Department of Labor</w:t>
      </w:r>
      <w:r>
        <w:fldChar w:fldCharType="begin"/>
      </w:r>
      <w:r>
        <w:instrText xml:space="preserve"> XE "</w:instrText>
      </w:r>
      <w:r w:rsidRPr="0091021A">
        <w:rPr>
          <w:rFonts w:cs="Times New Roman"/>
        </w:rPr>
        <w:instrText>Department of Labor</w:instrText>
      </w:r>
      <w:r>
        <w:instrText xml:space="preserve">" </w:instrText>
      </w:r>
      <w:r>
        <w:fldChar w:fldCharType="end"/>
      </w:r>
      <w:r>
        <w:t>’s Consumer Price Index.</w:t>
      </w:r>
    </w:p>
  </w:endnote>
  <w:endnote w:id="58">
    <w:p w14:paraId="76F6DE9D" w14:textId="77777777" w:rsidR="009D5946" w:rsidRDefault="009D5946" w:rsidP="0007562D">
      <w:pPr>
        <w:pStyle w:val="EndnoteText"/>
      </w:pPr>
      <w:r>
        <w:rPr>
          <w:rStyle w:val="EndnoteReference"/>
        </w:rPr>
        <w:endnoteRef/>
      </w:r>
      <w:r>
        <w:t xml:space="preserve"> In their paper </w:t>
      </w:r>
      <w:r w:rsidRPr="001B3D96">
        <w:t>Loss Aversion in Riskless Choice: A Reference-Dependent Model</w:t>
      </w:r>
      <w:r>
        <w:t xml:space="preserve"> </w:t>
      </w:r>
      <w:sdt>
        <w:sdtPr>
          <w:id w:val="32672981"/>
          <w:citation/>
        </w:sdtPr>
        <w:sdtContent>
          <w:r>
            <w:fldChar w:fldCharType="begin"/>
          </w:r>
          <w:r>
            <w:instrText xml:space="preserve"> CITATION Tve91 \l 1033 </w:instrText>
          </w:r>
          <w:r>
            <w:fldChar w:fldCharType="separate"/>
          </w:r>
          <w:r>
            <w:rPr>
              <w:noProof/>
            </w:rPr>
            <w:t>(Tversky &amp; Kahneman, 1991)</w:t>
          </w:r>
          <w:r>
            <w:rPr>
              <w:noProof/>
            </w:rPr>
            <w:fldChar w:fldCharType="end"/>
          </w:r>
        </w:sdtContent>
      </w:sdt>
      <w:r>
        <w:t>, the authors discuss the premise that losses and disadvantages have greater impact on preferences than gains and advantages. This explains much of the unusual behavior of sellers in price declines.</w:t>
      </w:r>
    </w:p>
  </w:endnote>
  <w:endnote w:id="59">
    <w:p w14:paraId="77C719D4" w14:textId="77777777" w:rsidR="009D5946" w:rsidRDefault="009D5946">
      <w:pPr>
        <w:pStyle w:val="EndnoteText"/>
      </w:pPr>
      <w:r>
        <w:rPr>
          <w:rStyle w:val="EndnoteReference"/>
        </w:rPr>
        <w:endnoteRef/>
      </w:r>
      <w:r>
        <w:t xml:space="preserve"> Many in the academic community do not seem to understand the true nature of land prices. In their paper </w:t>
      </w:r>
      <w:r w:rsidRPr="00AF6045">
        <w:t>The Price of Residential Land in Large U.S. Cities</w:t>
      </w:r>
      <w:r>
        <w:t xml:space="preserve"> </w:t>
      </w:r>
      <w:sdt>
        <w:sdtPr>
          <w:id w:val="32672980"/>
          <w:citation/>
        </w:sdtPr>
        <w:sdtContent>
          <w:r>
            <w:fldChar w:fldCharType="begin"/>
          </w:r>
          <w:r>
            <w:instrText xml:space="preserve"> CITATION Mor06 \l 1033 </w:instrText>
          </w:r>
          <w:r>
            <w:fldChar w:fldCharType="separate"/>
          </w:r>
          <w:r>
            <w:rPr>
              <w:noProof/>
            </w:rPr>
            <w:t>(Davis &amp; Palumbo, 2006)</w:t>
          </w:r>
          <w:r>
            <w:rPr>
              <w:noProof/>
            </w:rPr>
            <w:fldChar w:fldCharType="end"/>
          </w:r>
        </w:sdtContent>
      </w:sdt>
      <w:r>
        <w:t xml:space="preserve"> </w:t>
      </w:r>
      <w:r w:rsidRPr="00AF6045">
        <w:t>Morris A. Davis; Michael G. Palumbo</w:t>
      </w:r>
      <w:r>
        <w:t xml:space="preserve"> talk about residential land prices as being a determinant of house prices rather than the other way around. This mistake concerning the valuation of land is prevalent in the general public, but it is surprising to see academics continue to respond to this fallacy. </w:t>
      </w:r>
    </w:p>
  </w:endnote>
  <w:endnote w:id="60">
    <w:p w14:paraId="2C36D054" w14:textId="77777777" w:rsidR="009D5946" w:rsidRDefault="009D5946">
      <w:pPr>
        <w:pStyle w:val="EndnoteText"/>
      </w:pPr>
      <w:r>
        <w:rPr>
          <w:rStyle w:val="EndnoteReference"/>
        </w:rPr>
        <w:endnoteRef/>
      </w:r>
      <w:r>
        <w:t xml:space="preserve"> The author has worked with many builders in Southern California. At one time, the author shared an office with the former Division President of Taylor Woodrow Homes who at the time was the President of the Orange County</w:t>
      </w:r>
      <w:r>
        <w:fldChar w:fldCharType="begin"/>
      </w:r>
      <w:r>
        <w:instrText xml:space="preserve"> XE "</w:instrText>
      </w:r>
      <w:r w:rsidRPr="0005034B">
        <w:rPr>
          <w:rFonts w:cs="Times New Roman"/>
        </w:rPr>
        <w:instrText>Orange County</w:instrText>
      </w:r>
      <w:r>
        <w:instrText xml:space="preserve">" </w:instrText>
      </w:r>
      <w:r>
        <w:fldChar w:fldCharType="end"/>
      </w:r>
      <w:r>
        <w:t xml:space="preserve"> Building Industry Association. The $85 SF is anecdotal, but it is a reliable number from multiple sources. </w:t>
      </w:r>
    </w:p>
  </w:endnote>
  <w:endnote w:id="61">
    <w:p w14:paraId="4DE2F929" w14:textId="77777777" w:rsidR="009D5946" w:rsidRDefault="009D5946">
      <w:pPr>
        <w:pStyle w:val="EndnoteText"/>
      </w:pPr>
      <w:r>
        <w:rPr>
          <w:rStyle w:val="EndnoteReference"/>
        </w:rPr>
        <w:endnoteRef/>
      </w:r>
      <w:r>
        <w:t xml:space="preserve"> There were numerous news stories in 2007 of impairment charges from various national builders.</w:t>
      </w:r>
    </w:p>
  </w:endnote>
  <w:endnote w:id="62">
    <w:p w14:paraId="177D8126" w14:textId="77777777" w:rsidR="009D5946" w:rsidRDefault="009D5946" w:rsidP="00E75F2F">
      <w:pPr>
        <w:pStyle w:val="EndnoteText"/>
        <w:jc w:val="left"/>
      </w:pPr>
      <w:r>
        <w:rPr>
          <w:rStyle w:val="EndnoteReference"/>
        </w:rPr>
        <w:endnoteRef/>
      </w:r>
      <w:r>
        <w:t xml:space="preserve"> The Village of Woodbury</w:t>
      </w:r>
      <w:r>
        <w:fldChar w:fldCharType="begin"/>
      </w:r>
      <w:r>
        <w:instrText xml:space="preserve"> XE "</w:instrText>
      </w:r>
      <w:r w:rsidRPr="00F40421">
        <w:rPr>
          <w:rFonts w:cs="Times New Roman"/>
        </w:rPr>
        <w:instrText>Woodbury</w:instrText>
      </w:r>
      <w:r>
        <w:instrText xml:space="preserve">" </w:instrText>
      </w:r>
      <w:r>
        <w:fldChar w:fldCharType="end"/>
      </w:r>
      <w:r>
        <w:t xml:space="preserve"> information can be found on the Irvine Company website: </w:t>
      </w:r>
      <w:r w:rsidRPr="00D76581">
        <w:t>http://www.villagesofirvine.com/VILLAGES-AND-RESIDENCES/Woodbury-Overview.aspx</w:t>
      </w:r>
    </w:p>
  </w:endnote>
  <w:endnote w:id="63">
    <w:p w14:paraId="44D04DD2" w14:textId="77777777" w:rsidR="009D5946" w:rsidRDefault="009D5946">
      <w:pPr>
        <w:pStyle w:val="EndnoteText"/>
      </w:pPr>
      <w:r>
        <w:rPr>
          <w:rStyle w:val="EndnoteReference"/>
        </w:rPr>
        <w:endnoteRef/>
      </w:r>
      <w:r>
        <w:t xml:space="preserve"> The author was involved with the analysis of a project that was purchased as raw land for $10,000,000 in 2001 in Riverside County, California. The owner sold the project to a major homebuilder in three phases in 2004 and 2005 for a total of $95,000,000. </w:t>
      </w:r>
    </w:p>
  </w:endnote>
  <w:endnote w:id="64">
    <w:p w14:paraId="064641EA" w14:textId="77777777" w:rsidR="009D5946" w:rsidRDefault="009D5946">
      <w:pPr>
        <w:pStyle w:val="EndnoteText"/>
      </w:pPr>
      <w:r>
        <w:rPr>
          <w:rStyle w:val="EndnoteReference"/>
        </w:rPr>
        <w:endnoteRef/>
      </w:r>
      <w:r>
        <w:t xml:space="preserve"> Most participants in the housing market believe changes in interest rates are responsible for changes in housing prices </w:t>
      </w:r>
      <w:sdt>
        <w:sdtPr>
          <w:id w:val="32672979"/>
          <w:citation/>
        </w:sdtPr>
        <w:sdtContent>
          <w:r>
            <w:fldChar w:fldCharType="begin"/>
          </w:r>
          <w:r>
            <w:instrText xml:space="preserve"> CITATION Kar88 \l 1033  </w:instrText>
          </w:r>
          <w:r>
            <w:fldChar w:fldCharType="separate"/>
          </w:r>
          <w:r>
            <w:rPr>
              <w:noProof/>
            </w:rPr>
            <w:t>(Case &amp; Shiller, The Behavior of Home Buyers in Boom and Post-Boom Markets, 1988)</w:t>
          </w:r>
          <w:r>
            <w:rPr>
              <w:noProof/>
            </w:rPr>
            <w:fldChar w:fldCharType="end"/>
          </w:r>
        </w:sdtContent>
      </w:sdt>
      <w:r>
        <w:t>. There is actually very little correlation between interest rates and house prices. Interest rates are very important for determining the amount a borrower can obtain in a loan, but other factors are more critical to determining the actual price of real estate.</w:t>
      </w:r>
    </w:p>
  </w:endnote>
  <w:endnote w:id="65">
    <w:p w14:paraId="505B7291" w14:textId="77777777" w:rsidR="009D5946" w:rsidRDefault="009D5946">
      <w:pPr>
        <w:pStyle w:val="EndnoteText"/>
      </w:pPr>
      <w:r>
        <w:rPr>
          <w:rStyle w:val="EndnoteReference"/>
        </w:rPr>
        <w:endnoteRef/>
      </w:r>
      <w:r>
        <w:t xml:space="preserve"> Most of the technical data on the secondary market found in this section comes from the paper </w:t>
      </w:r>
      <w:r w:rsidRPr="00C44961">
        <w:t>Fussing and Fuming over Fannie and Freddie: How Much Smoke, How Much Fire?</w:t>
      </w:r>
      <w:r>
        <w:t xml:space="preserve"> </w:t>
      </w:r>
      <w:sdt>
        <w:sdtPr>
          <w:id w:val="32672976"/>
          <w:citation/>
        </w:sdtPr>
        <w:sdtContent>
          <w:r>
            <w:fldChar w:fldCharType="begin"/>
          </w:r>
          <w:r>
            <w:instrText xml:space="preserve"> CITATION Fra05 \l 1033 </w:instrText>
          </w:r>
          <w:r>
            <w:fldChar w:fldCharType="separate"/>
          </w:r>
          <w:r>
            <w:rPr>
              <w:noProof/>
            </w:rPr>
            <w:t>(Frame &amp; White, 2005)</w:t>
          </w:r>
          <w:r>
            <w:rPr>
              <w:noProof/>
            </w:rPr>
            <w:fldChar w:fldCharType="end"/>
          </w:r>
        </w:sdtContent>
      </w:sdt>
      <w:r>
        <w:t>. Another paper with excellent historical background on the evolution of the secondary mortgage market</w:t>
      </w:r>
      <w:r>
        <w:fldChar w:fldCharType="begin"/>
      </w:r>
      <w:r>
        <w:instrText xml:space="preserve"> XE "</w:instrText>
      </w:r>
      <w:r w:rsidRPr="000C097A">
        <w:rPr>
          <w:rFonts w:cs="Times New Roman"/>
        </w:rPr>
        <w:instrText>secondary mortgage market</w:instrText>
      </w:r>
      <w:r>
        <w:instrText xml:space="preserve">" </w:instrText>
      </w:r>
      <w:r>
        <w:fldChar w:fldCharType="end"/>
      </w:r>
      <w:r>
        <w:t xml:space="preserve"> is </w:t>
      </w:r>
      <w:r w:rsidRPr="00AC6B9A">
        <w:t>The Housing Finance Revolution</w:t>
      </w:r>
      <w:r>
        <w:t xml:space="preserve"> </w:t>
      </w:r>
      <w:sdt>
        <w:sdtPr>
          <w:id w:val="32672977"/>
          <w:citation/>
        </w:sdtPr>
        <w:sdtContent>
          <w:r>
            <w:fldChar w:fldCharType="begin"/>
          </w:r>
          <w:r>
            <w:instrText xml:space="preserve"> CITATION Ric07 \l 1033 </w:instrText>
          </w:r>
          <w:r>
            <w:fldChar w:fldCharType="separate"/>
          </w:r>
          <w:r>
            <w:rPr>
              <w:noProof/>
            </w:rPr>
            <w:t>(Green &amp; Wachter, 2007)</w:t>
          </w:r>
          <w:r>
            <w:rPr>
              <w:noProof/>
            </w:rPr>
            <w:fldChar w:fldCharType="end"/>
          </w:r>
        </w:sdtContent>
      </w:sdt>
      <w:r w:rsidRPr="00AC6B9A">
        <w:t xml:space="preserve"> by Richard Green and Susan Wachter</w:t>
      </w:r>
      <w:r>
        <w:t xml:space="preserve">. Perhaps the finest overview of the functioning of the secondary mortgage market with respect to subprime is </w:t>
      </w:r>
      <w:r w:rsidRPr="00DE439D">
        <w:t>Understanding the Securitization of Subprime</w:t>
      </w:r>
      <w:r>
        <w:fldChar w:fldCharType="begin"/>
      </w:r>
      <w:r>
        <w:instrText xml:space="preserve"> XE "</w:instrText>
      </w:r>
      <w:r w:rsidRPr="007B2D35">
        <w:rPr>
          <w:rFonts w:cs="Times New Roman"/>
        </w:rPr>
        <w:instrText>Subprime</w:instrText>
      </w:r>
      <w:r>
        <w:instrText xml:space="preserve">" </w:instrText>
      </w:r>
      <w:r>
        <w:fldChar w:fldCharType="end"/>
      </w:r>
      <w:r w:rsidRPr="00DE439D">
        <w:t xml:space="preserve"> Mortgage Credit by Adam B. Ashcraft and Til Schuermann</w:t>
      </w:r>
      <w:r>
        <w:t xml:space="preserve"> </w:t>
      </w:r>
      <w:sdt>
        <w:sdtPr>
          <w:id w:val="32672978"/>
          <w:citation/>
        </w:sdtPr>
        <w:sdtContent>
          <w:r>
            <w:fldChar w:fldCharType="begin"/>
          </w:r>
          <w:r>
            <w:instrText xml:space="preserve"> CITATION Ada08 \l 1033 </w:instrText>
          </w:r>
          <w:r>
            <w:fldChar w:fldCharType="separate"/>
          </w:r>
          <w:r>
            <w:rPr>
              <w:noProof/>
            </w:rPr>
            <w:t>(Ashcraft &amp; Schuermann, 2008)</w:t>
          </w:r>
          <w:r>
            <w:rPr>
              <w:noProof/>
            </w:rPr>
            <w:fldChar w:fldCharType="end"/>
          </w:r>
        </w:sdtContent>
      </w:sdt>
      <w:r>
        <w:t>.</w:t>
      </w:r>
    </w:p>
  </w:endnote>
  <w:endnote w:id="66">
    <w:p w14:paraId="5F47063B" w14:textId="77777777" w:rsidR="009D5946" w:rsidRDefault="009D5946">
      <w:pPr>
        <w:pStyle w:val="EndnoteText"/>
      </w:pPr>
      <w:r>
        <w:rPr>
          <w:rStyle w:val="EndnoteReference"/>
        </w:rPr>
        <w:endnoteRef/>
      </w:r>
      <w:r>
        <w:t xml:space="preserve"> In the paper Who Holds the Toxic Waste? An Investigation of CMO Holdings </w:t>
      </w:r>
      <w:sdt>
        <w:sdtPr>
          <w:id w:val="32672975"/>
          <w:citation/>
        </w:sdtPr>
        <w:sdtContent>
          <w:r>
            <w:fldChar w:fldCharType="begin"/>
          </w:r>
          <w:r>
            <w:instrText xml:space="preserve"> CITATION Jos061 \l 1033 </w:instrText>
          </w:r>
          <w:r>
            <w:fldChar w:fldCharType="separate"/>
          </w:r>
          <w:r>
            <w:rPr>
              <w:noProof/>
            </w:rPr>
            <w:t>(Haubrich &amp; Lucas, 2006)</w:t>
          </w:r>
          <w:r>
            <w:rPr>
              <w:noProof/>
            </w:rPr>
            <w:fldChar w:fldCharType="end"/>
          </w:r>
        </w:sdtContent>
      </w:sdt>
      <w:r>
        <w:t>, the authors provide a good background on the CMO (CDO</w:t>
      </w:r>
      <w:r>
        <w:fldChar w:fldCharType="begin"/>
      </w:r>
      <w:r>
        <w:instrText xml:space="preserve"> XE "</w:instrText>
      </w:r>
      <w:r w:rsidRPr="00F20A0C">
        <w:rPr>
          <w:rFonts w:cs="Times New Roman"/>
        </w:rPr>
        <w:instrText>CDO</w:instrText>
      </w:r>
      <w:r>
        <w:instrText xml:space="preserve">" </w:instrText>
      </w:r>
      <w:r>
        <w:fldChar w:fldCharType="end"/>
      </w:r>
      <w:r>
        <w:t xml:space="preserve"> by another name) market. Their analysis of who holds the bad paper is suspect due to lack of data. Also, many “insurers” were not insurance companies. These were private, unregulated firms who often had little financial ability to make good on their obligations.</w:t>
      </w:r>
    </w:p>
  </w:endnote>
  <w:endnote w:id="67">
    <w:p w14:paraId="42C6F24E" w14:textId="77777777" w:rsidR="009D5946" w:rsidRDefault="009D5946">
      <w:pPr>
        <w:pStyle w:val="EndnoteText"/>
      </w:pPr>
      <w:r>
        <w:rPr>
          <w:rStyle w:val="EndnoteReference"/>
        </w:rPr>
        <w:endnoteRef/>
      </w:r>
      <w:r>
        <w:t xml:space="preserve"> </w:t>
      </w:r>
      <w:sdt>
        <w:sdtPr>
          <w:id w:val="32672974"/>
          <w:citation/>
        </w:sdtPr>
        <w:sdtContent>
          <w:r>
            <w:fldChar w:fldCharType="begin"/>
          </w:r>
          <w:r>
            <w:instrText xml:space="preserve"> CITATION Sor94 \l 1033 </w:instrText>
          </w:r>
          <w:r>
            <w:fldChar w:fldCharType="separate"/>
          </w:r>
          <w:r>
            <w:rPr>
              <w:noProof/>
            </w:rPr>
            <w:t>(Soros, 1994)</w:t>
          </w:r>
          <w:r>
            <w:rPr>
              <w:noProof/>
            </w:rPr>
            <w:fldChar w:fldCharType="end"/>
          </w:r>
        </w:sdtContent>
      </w:sdt>
    </w:p>
  </w:endnote>
  <w:endnote w:id="68">
    <w:p w14:paraId="654A7140" w14:textId="77777777" w:rsidR="009D5946" w:rsidRDefault="009D5946">
      <w:pPr>
        <w:pStyle w:val="EndnoteText"/>
      </w:pPr>
      <w:r>
        <w:rPr>
          <w:rStyle w:val="EndnoteReference"/>
        </w:rPr>
        <w:endnoteRef/>
      </w:r>
      <w:r>
        <w:t xml:space="preserve"> </w:t>
      </w:r>
      <w:sdt>
        <w:sdtPr>
          <w:id w:val="32672971"/>
          <w:citation/>
        </w:sdtPr>
        <w:sdtContent>
          <w:r>
            <w:fldChar w:fldCharType="begin"/>
          </w:r>
          <w:r>
            <w:instrText xml:space="preserve"> CITATION Ric04 \l 1033 </w:instrText>
          </w:r>
          <w:r>
            <w:fldChar w:fldCharType="separate"/>
          </w:r>
          <w:r>
            <w:rPr>
              <w:noProof/>
            </w:rPr>
            <w:t>(Burdekin &amp; Siklos, 2004)</w:t>
          </w:r>
          <w:r>
            <w:rPr>
              <w:noProof/>
            </w:rPr>
            <w:fldChar w:fldCharType="end"/>
          </w:r>
        </w:sdtContent>
      </w:sdt>
    </w:p>
  </w:endnote>
  <w:endnote w:id="69">
    <w:p w14:paraId="73E7990F" w14:textId="77777777" w:rsidR="009D5946" w:rsidRDefault="009D5946">
      <w:pPr>
        <w:pStyle w:val="EndnoteText"/>
      </w:pPr>
      <w:r>
        <w:rPr>
          <w:rStyle w:val="EndnoteReference"/>
        </w:rPr>
        <w:endnoteRef/>
      </w:r>
      <w:r>
        <w:t xml:space="preserve"> Even if a homeowner’s house is worth less than the mortgage, there is still option value in the property. If the homeowners is not far underwater, it may not take much time for values to return and provide them with equity</w:t>
      </w:r>
      <w:r>
        <w:fldChar w:fldCharType="begin"/>
      </w:r>
      <w:r>
        <w:instrText xml:space="preserve"> XE "</w:instrText>
      </w:r>
      <w:r w:rsidRPr="008D3E1B">
        <w:rPr>
          <w:rFonts w:cs="Times New Roman"/>
        </w:rPr>
        <w:instrText>equity</w:instrText>
      </w:r>
      <w:r>
        <w:instrText xml:space="preserve">" </w:instrText>
      </w:r>
      <w:r>
        <w:fldChar w:fldCharType="end"/>
      </w:r>
      <w:r>
        <w:t xml:space="preserve"> in the property.</w:t>
      </w:r>
    </w:p>
  </w:endnote>
  <w:endnote w:id="70">
    <w:p w14:paraId="16E7DB79" w14:textId="77777777" w:rsidR="009D5946" w:rsidRDefault="009D5946">
      <w:pPr>
        <w:pStyle w:val="EndnoteText"/>
      </w:pPr>
      <w:r>
        <w:rPr>
          <w:rStyle w:val="EndnoteReference"/>
        </w:rPr>
        <w:endnoteRef/>
      </w:r>
      <w:r>
        <w:t xml:space="preserve"> Robert Shiller</w:t>
      </w:r>
      <w:r>
        <w:fldChar w:fldCharType="begin"/>
      </w:r>
      <w:r>
        <w:instrText xml:space="preserve"> XE "</w:instrText>
      </w:r>
      <w:r w:rsidRPr="00064AF4">
        <w:rPr>
          <w:rFonts w:cs="Times New Roman"/>
        </w:rPr>
        <w:instrText>Robert Shiller</w:instrText>
      </w:r>
      <w:r>
        <w:instrText xml:space="preserve">" </w:instrText>
      </w:r>
      <w:r>
        <w:fldChar w:fldCharType="end"/>
      </w:r>
      <w:r>
        <w:t>’s surveys of market attitudes in 1989 showed 95% of respondents in the bubble markets of San Francisco and Orange County</w:t>
      </w:r>
      <w:r>
        <w:fldChar w:fldCharType="begin"/>
      </w:r>
      <w:r>
        <w:instrText xml:space="preserve"> XE "</w:instrText>
      </w:r>
      <w:r w:rsidRPr="0005034B">
        <w:rPr>
          <w:rFonts w:cs="Times New Roman"/>
        </w:rPr>
        <w:instrText>Orange County</w:instrText>
      </w:r>
      <w:r>
        <w:instrText xml:space="preserve">" </w:instrText>
      </w:r>
      <w:r>
        <w:fldChar w:fldCharType="end"/>
      </w:r>
      <w:r>
        <w:t xml:space="preserve"> said they thought of their purchase as an investment at least in part. Also, the tendency to view housing as an investment is a defining characteristic of a housing bubble </w:t>
      </w:r>
      <w:sdt>
        <w:sdtPr>
          <w:id w:val="32672970"/>
          <w:citation/>
        </w:sdtPr>
        <w:sdtContent>
          <w:r>
            <w:fldChar w:fldCharType="begin"/>
          </w:r>
          <w:r>
            <w:instrText xml:space="preserve"> CITATION Kar04 \l 1033  </w:instrText>
          </w:r>
          <w:r>
            <w:fldChar w:fldCharType="separate"/>
          </w:r>
          <w:r>
            <w:rPr>
              <w:noProof/>
            </w:rPr>
            <w:t>(Case &amp; Shiller, Is There a Bubble in the Housing Market, 2004)</w:t>
          </w:r>
          <w:r>
            <w:rPr>
              <w:noProof/>
            </w:rPr>
            <w:fldChar w:fldCharType="end"/>
          </w:r>
        </w:sdtContent>
      </w:sdt>
      <w:r>
        <w:t>. Since housing bubbles portend of disastrous declines, the investment motive as a risk to CDOs is very real.</w:t>
      </w:r>
    </w:p>
  </w:endnote>
  <w:endnote w:id="71">
    <w:p w14:paraId="57DB7092" w14:textId="77777777" w:rsidR="009D5946" w:rsidRDefault="009D5946">
      <w:pPr>
        <w:pStyle w:val="EndnoteText"/>
      </w:pPr>
      <w:r>
        <w:rPr>
          <w:rStyle w:val="EndnoteReference"/>
        </w:rPr>
        <w:endnoteRef/>
      </w:r>
      <w:r>
        <w:t xml:space="preserve"> FHA</w:t>
      </w:r>
      <w:r>
        <w:fldChar w:fldCharType="begin"/>
      </w:r>
      <w:r>
        <w:instrText xml:space="preserve"> XE "</w:instrText>
      </w:r>
      <w:r w:rsidRPr="00EA0044">
        <w:rPr>
          <w:rFonts w:cs="Times New Roman"/>
        </w:rPr>
        <w:instrText>FHA</w:instrText>
      </w:r>
      <w:r>
        <w:instrText xml:space="preserve">" </w:instrText>
      </w:r>
      <w:r>
        <w:fldChar w:fldCharType="end"/>
      </w:r>
      <w:r>
        <w:t xml:space="preserve"> Guidelines for appraisals only require the use of the income approach</w:t>
      </w:r>
      <w:r>
        <w:fldChar w:fldCharType="begin"/>
      </w:r>
      <w:r>
        <w:instrText xml:space="preserve"> XE "</w:instrText>
      </w:r>
      <w:r w:rsidRPr="00F97F1B">
        <w:rPr>
          <w:rFonts w:cs="Times New Roman"/>
        </w:rPr>
        <w:instrText>income approach</w:instrText>
      </w:r>
      <w:r>
        <w:instrText xml:space="preserve">" </w:instrText>
      </w:r>
      <w:r>
        <w:fldChar w:fldCharType="end"/>
      </w:r>
      <w:r>
        <w:t xml:space="preserve"> for income producing properties.</w:t>
      </w:r>
    </w:p>
  </w:endnote>
  <w:endnote w:id="72">
    <w:p w14:paraId="187A730C" w14:textId="77777777" w:rsidR="009D5946" w:rsidRDefault="009D5946">
      <w:pPr>
        <w:pStyle w:val="EndnoteText"/>
      </w:pPr>
      <w:r>
        <w:rPr>
          <w:rStyle w:val="EndnoteReference"/>
        </w:rPr>
        <w:endnoteRef/>
      </w:r>
      <w:r>
        <w:t xml:space="preserve"> Real Estate prices in California have bubbled 3 times since the 1970s. After prices peaked in the late 70s and then again in the late 80s, prices declined until they came back into alignment with historic fundamental valuations. This is strong confirmation of the theory of buyers waiting for rental equivalence before purchasing when prices drop.</w:t>
      </w:r>
    </w:p>
  </w:endnote>
  <w:endnote w:id="73">
    <w:p w14:paraId="2C9C5D51" w14:textId="77777777" w:rsidR="009D5946" w:rsidRDefault="009D5946">
      <w:pPr>
        <w:pStyle w:val="EndnoteText"/>
      </w:pPr>
      <w:r>
        <w:rPr>
          <w:rStyle w:val="EndnoteReference"/>
        </w:rPr>
        <w:endnoteRef/>
      </w:r>
      <w:r>
        <w:t xml:space="preserve"> The Dutch tulip bulb mania was documented in the book Extraordinarily Popular Delusions and the Madness of Crowds </w:t>
      </w:r>
      <w:sdt>
        <w:sdtPr>
          <w:id w:val="32672968"/>
          <w:citation/>
        </w:sdtPr>
        <w:sdtContent>
          <w:r>
            <w:fldChar w:fldCharType="begin"/>
          </w:r>
          <w:r>
            <w:instrText xml:space="preserve"> CITATION Cha96 \l 1033 </w:instrText>
          </w:r>
          <w:r>
            <w:fldChar w:fldCharType="separate"/>
          </w:r>
          <w:r>
            <w:rPr>
              <w:noProof/>
            </w:rPr>
            <w:t>(Mackay, Vega, &amp; Fridson, 1996)</w:t>
          </w:r>
          <w:r>
            <w:rPr>
              <w:noProof/>
            </w:rPr>
            <w:fldChar w:fldCharType="end"/>
          </w:r>
        </w:sdtContent>
      </w:sdt>
      <w:r>
        <w:t xml:space="preserve">. The activities associated with the tulip mania have long been held as the archetype of a speculative bubble. Peter Garber in his paper Tulipmania </w:t>
      </w:r>
      <w:sdt>
        <w:sdtPr>
          <w:id w:val="32672969"/>
          <w:citation/>
        </w:sdtPr>
        <w:sdtContent>
          <w:r>
            <w:fldChar w:fldCharType="begin"/>
          </w:r>
          <w:r>
            <w:instrText xml:space="preserve"> CITATION Pet89 \l 1033 </w:instrText>
          </w:r>
          <w:r>
            <w:fldChar w:fldCharType="separate"/>
          </w:r>
          <w:r>
            <w:rPr>
              <w:noProof/>
            </w:rPr>
            <w:t>(Garber, 1989)</w:t>
          </w:r>
          <w:r>
            <w:rPr>
              <w:noProof/>
            </w:rPr>
            <w:fldChar w:fldCharType="end"/>
          </w:r>
        </w:sdtContent>
      </w:sdt>
      <w:r>
        <w:t xml:space="preserve"> lays out the case that speculation in the Dutch tulip market in 1634-1637 was not necessarily irrational exuberance</w:t>
      </w:r>
      <w:r>
        <w:fldChar w:fldCharType="begin"/>
      </w:r>
      <w:r>
        <w:instrText xml:space="preserve"> XE "</w:instrText>
      </w:r>
      <w:r w:rsidRPr="00FD3A30">
        <w:rPr>
          <w:rFonts w:cs="Times New Roman"/>
        </w:rPr>
        <w:instrText>irrational exuberance</w:instrText>
      </w:r>
      <w:r>
        <w:instrText xml:space="preserve">" </w:instrText>
      </w:r>
      <w:r>
        <w:fldChar w:fldCharType="end"/>
      </w:r>
      <w:r>
        <w:t>. He draws these conclusions based on the similar behavior of modern agricultural markets for rare flowers. The assumption behind his conclusions is that modern markets do not display symptoms of irrational exuberance which is highly suspect. Markets dealing with very rare commodities</w:t>
      </w:r>
      <w:r>
        <w:fldChar w:fldCharType="begin"/>
      </w:r>
      <w:r>
        <w:instrText xml:space="preserve"> XE "</w:instrText>
      </w:r>
      <w:r w:rsidRPr="00E862A6">
        <w:rPr>
          <w:rFonts w:cs="Times New Roman"/>
        </w:rPr>
        <w:instrText>commodities</w:instrText>
      </w:r>
      <w:r>
        <w:instrText xml:space="preserve">" </w:instrText>
      </w:r>
      <w:r>
        <w:fldChar w:fldCharType="end"/>
      </w:r>
      <w:r>
        <w:t xml:space="preserve"> are always subject to wild price swings due to irrational exuberance because the commodity in question truly is rare. This plays to one of the central fallacies of irrational exuberance that the market is experiencing a severe shortage. Of course, like any market, even if the commodity is rare, if the demand is fickle and prone to irrational exuberance, there is a strong detachment from fundamental valuations due to excessive speculation.</w:t>
      </w:r>
    </w:p>
  </w:endnote>
  <w:endnote w:id="74">
    <w:p w14:paraId="05B4AA9F" w14:textId="77777777" w:rsidR="009D5946" w:rsidRDefault="009D5946">
      <w:pPr>
        <w:pStyle w:val="EndnoteText"/>
      </w:pPr>
      <w:r>
        <w:rPr>
          <w:rStyle w:val="EndnoteReference"/>
        </w:rPr>
        <w:endnoteRef/>
      </w:r>
      <w:r>
        <w:t xml:space="preserve"> There are circumstances where FICO</w:t>
      </w:r>
      <w:r>
        <w:fldChar w:fldCharType="begin"/>
      </w:r>
      <w:r>
        <w:instrText xml:space="preserve"> XE "</w:instrText>
      </w:r>
      <w:r w:rsidRPr="006E6D09">
        <w:rPr>
          <w:rFonts w:cs="Times New Roman"/>
        </w:rPr>
        <w:instrText>FICO</w:instrText>
      </w:r>
      <w:r>
        <w:instrText xml:space="preserve">" </w:instrText>
      </w:r>
      <w:r>
        <w:fldChar w:fldCharType="end"/>
      </w:r>
      <w:r>
        <w:t xml:space="preserve"> scores of responsible citizens may characterize them as subprime. Some people do not use credit or maintain credit lines. They are very responsible, but their credit scores would make them subprime. Also, people who go through divorce, illness, a job loss or some other financial problem may temporarily become subprime. Responsible citizens who become subprime can generally recover their FICO scores in a short period of time. In fact, the original business plan for subprime was based on this idea.</w:t>
      </w:r>
    </w:p>
  </w:endnote>
  <w:endnote w:id="75">
    <w:p w14:paraId="7F024018" w14:textId="77777777" w:rsidR="009D5946" w:rsidRDefault="009D5946">
      <w:pPr>
        <w:pStyle w:val="EndnoteText"/>
      </w:pPr>
      <w:r>
        <w:rPr>
          <w:rStyle w:val="EndnoteReference"/>
        </w:rPr>
        <w:endnoteRef/>
      </w:r>
      <w:r>
        <w:t xml:space="preserve"> There were some valiant attempts during the bubble to determine if the price increases really were a bubble. The literature of the time almost universally missed it despite the obvious signs in the data. In the paper </w:t>
      </w:r>
      <w:r w:rsidRPr="0022713A">
        <w:t>Assessing High House Prices: Bubbles, Fundamentals, and Misperceptions</w:t>
      </w:r>
      <w:r>
        <w:t xml:space="preserve"> </w:t>
      </w:r>
      <w:sdt>
        <w:sdtPr>
          <w:id w:val="32672966"/>
          <w:citation/>
        </w:sdtPr>
        <w:sdtContent>
          <w:r>
            <w:fldChar w:fldCharType="begin"/>
          </w:r>
          <w:r>
            <w:instrText xml:space="preserve"> CITATION Cha05 \l 1033 </w:instrText>
          </w:r>
          <w:r>
            <w:fldChar w:fldCharType="separate"/>
          </w:r>
          <w:r>
            <w:rPr>
              <w:noProof/>
            </w:rPr>
            <w:t>(Himmelberg, Mayer, &amp; Sinai, 2005)</w:t>
          </w:r>
          <w:r>
            <w:rPr>
              <w:noProof/>
            </w:rPr>
            <w:fldChar w:fldCharType="end"/>
          </w:r>
        </w:sdtContent>
      </w:sdt>
      <w:r>
        <w:t xml:space="preserve"> the authors used almost the same approach to the analysis presented in this writing and reached the opposite conclusion, “</w:t>
      </w:r>
      <w:r w:rsidRPr="0022713A">
        <w:t>As of the end of 2004, our analysis reveals little evidence of a housing bubble. In high appreciation</w:t>
      </w:r>
      <w:r>
        <w:fldChar w:fldCharType="begin"/>
      </w:r>
      <w:r>
        <w:instrText xml:space="preserve"> XE "</w:instrText>
      </w:r>
      <w:r w:rsidRPr="009C5D12">
        <w:rPr>
          <w:rFonts w:cs="Times New Roman"/>
        </w:rPr>
        <w:instrText>appreciation</w:instrText>
      </w:r>
      <w:r>
        <w:instrText xml:space="preserve">" </w:instrText>
      </w:r>
      <w:r>
        <w:fldChar w:fldCharType="end"/>
      </w:r>
      <w:r w:rsidRPr="0022713A">
        <w:t xml:space="preserve"> markets like San Francisco, Boston, and New York, current housing prices are not cheap, but our calculations do not reveal large price increases in excess of fundamentals.</w:t>
      </w:r>
      <w:r>
        <w:t>” By the end of 2004, the data was unambiguously in support of a financial bubble</w:t>
      </w:r>
      <w:r>
        <w:fldChar w:fldCharType="begin"/>
      </w:r>
      <w:r>
        <w:instrText xml:space="preserve"> XE "</w:instrText>
      </w:r>
      <w:r w:rsidRPr="005E11A5">
        <w:rPr>
          <w:rFonts w:cs="Times New Roman"/>
        </w:rPr>
        <w:instrText>financial bubble</w:instrText>
      </w:r>
      <w:r>
        <w:instrText xml:space="preserve">" </w:instrText>
      </w:r>
      <w:r>
        <w:fldChar w:fldCharType="end"/>
      </w:r>
      <w:r>
        <w:t>. One of the few authors who recognized the problems early on was John Krainer an economist with the Federal Reserve</w:t>
      </w:r>
      <w:r>
        <w:fldChar w:fldCharType="begin"/>
      </w:r>
      <w:r>
        <w:instrText xml:space="preserve"> XE "</w:instrText>
      </w:r>
      <w:r w:rsidRPr="005F15E8">
        <w:rPr>
          <w:rFonts w:cs="Times New Roman"/>
        </w:rPr>
        <w:instrText>Federal Reserve</w:instrText>
      </w:r>
      <w:r>
        <w:instrText xml:space="preserve">" </w:instrText>
      </w:r>
      <w:r>
        <w:fldChar w:fldCharType="end"/>
      </w:r>
      <w:r>
        <w:t xml:space="preserve"> Board of San Francisco </w:t>
      </w:r>
      <w:sdt>
        <w:sdtPr>
          <w:id w:val="32672967"/>
          <w:citation/>
        </w:sdtPr>
        <w:sdtContent>
          <w:r>
            <w:fldChar w:fldCharType="begin"/>
          </w:r>
          <w:r>
            <w:instrText xml:space="preserve"> CITATION Joh032 \l 1033 </w:instrText>
          </w:r>
          <w:r>
            <w:fldChar w:fldCharType="separate"/>
          </w:r>
          <w:r>
            <w:rPr>
              <w:noProof/>
            </w:rPr>
            <w:t>(Krainer, House Price Bubbles, 2003)</w:t>
          </w:r>
          <w:r>
            <w:rPr>
              <w:noProof/>
            </w:rPr>
            <w:fldChar w:fldCharType="end"/>
          </w:r>
        </w:sdtContent>
      </w:sdt>
      <w:r>
        <w:t>.</w:t>
      </w:r>
    </w:p>
  </w:endnote>
  <w:endnote w:id="76">
    <w:p w14:paraId="1461CA9D" w14:textId="77777777" w:rsidR="009D5946" w:rsidRDefault="009D5946">
      <w:pPr>
        <w:pStyle w:val="EndnoteText"/>
      </w:pPr>
      <w:r>
        <w:rPr>
          <w:rStyle w:val="EndnoteReference"/>
        </w:rPr>
        <w:endnoteRef/>
      </w:r>
      <w:r>
        <w:t xml:space="preserve"> Jordan Rappaport provides an overview of the various methods of house price measurement in A Guide to Aggregate House Price Measures </w:t>
      </w:r>
      <w:sdt>
        <w:sdtPr>
          <w:id w:val="32672965"/>
          <w:citation/>
        </w:sdtPr>
        <w:sdtContent>
          <w:r>
            <w:fldChar w:fldCharType="begin"/>
          </w:r>
          <w:r>
            <w:instrText xml:space="preserve"> CITATION Jor06 \l 1033 </w:instrText>
          </w:r>
          <w:r>
            <w:fldChar w:fldCharType="separate"/>
          </w:r>
          <w:r>
            <w:rPr>
              <w:noProof/>
            </w:rPr>
            <w:t>(Rappaport, 2006)</w:t>
          </w:r>
          <w:r>
            <w:rPr>
              <w:noProof/>
            </w:rPr>
            <w:fldChar w:fldCharType="end"/>
          </w:r>
        </w:sdtContent>
      </w:sdt>
      <w:r>
        <w:t>.</w:t>
      </w:r>
    </w:p>
  </w:endnote>
  <w:endnote w:id="77">
    <w:p w14:paraId="06A6A01C" w14:textId="77777777" w:rsidR="009D5946" w:rsidRDefault="009D5946">
      <w:pPr>
        <w:pStyle w:val="EndnoteText"/>
      </w:pPr>
      <w:r>
        <w:rPr>
          <w:rStyle w:val="EndnoteReference"/>
        </w:rPr>
        <w:endnoteRef/>
      </w:r>
      <w:r>
        <w:t xml:space="preserve">  In the paper </w:t>
      </w:r>
      <w:r w:rsidRPr="003B4054">
        <w:t>A Note on the Differences between the OFHEO and S&amp;P/Case-Shiller</w:t>
      </w:r>
      <w:r>
        <w:fldChar w:fldCharType="begin"/>
      </w:r>
      <w:r>
        <w:instrText xml:space="preserve"> XE "</w:instrText>
      </w:r>
      <w:r w:rsidRPr="00346C49">
        <w:rPr>
          <w:rFonts w:cs="Times New Roman"/>
        </w:rPr>
        <w:instrText>S&amp;P/Case-Shiller</w:instrText>
      </w:r>
      <w:r>
        <w:instrText xml:space="preserve">" </w:instrText>
      </w:r>
      <w:r>
        <w:fldChar w:fldCharType="end"/>
      </w:r>
      <w:r w:rsidRPr="003B4054">
        <w:t xml:space="preserve"> House Price Indexes by Andrew Leventis</w:t>
      </w:r>
      <w:sdt>
        <w:sdtPr>
          <w:id w:val="32672964"/>
          <w:citation/>
        </w:sdtPr>
        <w:sdtContent>
          <w:r>
            <w:fldChar w:fldCharType="begin"/>
          </w:r>
          <w:r>
            <w:instrText xml:space="preserve"> CITATION And07 \l 1033 </w:instrText>
          </w:r>
          <w:r>
            <w:fldChar w:fldCharType="separate"/>
          </w:r>
          <w:r>
            <w:rPr>
              <w:noProof/>
            </w:rPr>
            <w:t xml:space="preserve"> (Leventis, 2007)</w:t>
          </w:r>
          <w:r>
            <w:rPr>
              <w:noProof/>
            </w:rPr>
            <w:fldChar w:fldCharType="end"/>
          </w:r>
        </w:sdtContent>
      </w:sdt>
      <w:r>
        <w:t>, the author makes the following observation: “</w:t>
      </w:r>
      <w:r w:rsidRPr="003B4054">
        <w:t>OFHEO’s House Price Indexes (the “HPI”) and home price indexes produced by S&amp;P/Case-Shiller are constructed using the same basic methodology. Both use the repeat-valuations framework initially proposed in the 1960s and later enhanced by Karl Case</w:t>
      </w:r>
      <w:r>
        <w:fldChar w:fldCharType="begin"/>
      </w:r>
      <w:r>
        <w:instrText xml:space="preserve"> XE "</w:instrText>
      </w:r>
      <w:r w:rsidRPr="00D83148">
        <w:rPr>
          <w:rFonts w:cs="Times New Roman"/>
        </w:rPr>
        <w:instrText>Karl Case</w:instrText>
      </w:r>
      <w:r>
        <w:instrText xml:space="preserve">" </w:instrText>
      </w:r>
      <w:r>
        <w:fldChar w:fldCharType="end"/>
      </w:r>
      <w:r w:rsidRPr="003B4054">
        <w:t xml:space="preserve"> and Robert Shiller</w:t>
      </w:r>
      <w:r>
        <w:fldChar w:fldCharType="begin"/>
      </w:r>
      <w:r>
        <w:instrText xml:space="preserve"> XE "</w:instrText>
      </w:r>
      <w:r w:rsidRPr="00064AF4">
        <w:rPr>
          <w:rFonts w:cs="Times New Roman"/>
        </w:rPr>
        <w:instrText>Robert Shiller</w:instrText>
      </w:r>
      <w:r>
        <w:instrText xml:space="preserve">" </w:instrText>
      </w:r>
      <w:r>
        <w:fldChar w:fldCharType="end"/>
      </w:r>
      <w:r w:rsidRPr="003B4054">
        <w:t>. Important differences between the indexes remain, however. The two models use different data sources and implement the mechanics of the basic algorithm in distinct ways.</w:t>
      </w:r>
      <w:r>
        <w:t>”</w:t>
      </w:r>
    </w:p>
  </w:endnote>
  <w:endnote w:id="78">
    <w:p w14:paraId="4159190E" w14:textId="77777777" w:rsidR="009D5946" w:rsidRDefault="009D5946">
      <w:pPr>
        <w:pStyle w:val="EndnoteText"/>
      </w:pPr>
      <w:r>
        <w:rPr>
          <w:rStyle w:val="EndnoteReference"/>
        </w:rPr>
        <w:endnoteRef/>
      </w:r>
      <w:r>
        <w:t xml:space="preserve"> </w:t>
      </w:r>
      <w:r w:rsidRPr="00771F6B">
        <w:t>Praveen Kujal and Vernon L. Smith noticed an interesting phenomenon in the studies of perceptions of fairness</w:t>
      </w:r>
      <w:r>
        <w:t xml:space="preserve"> in their paper </w:t>
      </w:r>
      <w:sdt>
        <w:sdtPr>
          <w:id w:val="32672962"/>
          <w:citation/>
        </w:sdtPr>
        <w:sdtContent>
          <w:r>
            <w:fldChar w:fldCharType="begin"/>
          </w:r>
          <w:r>
            <w:instrText xml:space="preserve"> CITATION Smi03 \l 1033 </w:instrText>
          </w:r>
          <w:r>
            <w:fldChar w:fldCharType="separate"/>
          </w:r>
          <w:r>
            <w:rPr>
              <w:noProof/>
            </w:rPr>
            <w:t>(Kujal &amp; Smith, Fairness and Short Run Price Adjustment in Posted Offer Markets, 2003)</w:t>
          </w:r>
          <w:r>
            <w:rPr>
              <w:noProof/>
            </w:rPr>
            <w:fldChar w:fldCharType="end"/>
          </w:r>
        </w:sdtContent>
      </w:sdt>
      <w:r>
        <w:t>, “</w:t>
      </w:r>
      <w:r w:rsidRPr="00771F6B">
        <w:t>perceptions of fairness</w:t>
      </w:r>
      <w:r>
        <w:t xml:space="preserve"> </w:t>
      </w:r>
      <w:r w:rsidRPr="00771F6B">
        <w:t>cause people to resist price increases following abrupt changes in conditions with no cost justification.</w:t>
      </w:r>
      <w:r>
        <w:t xml:space="preserve"> </w:t>
      </w:r>
      <w:r w:rsidRPr="00771F6B">
        <w:t>Fairness is thus interpreted as being a result of expectations that are not sustainable.</w:t>
      </w:r>
      <w:r>
        <w:t>” This implies that people have an intuitive sense that nothing is justifying the dramatic increase in prices during a bubble rally. There is no perception of fairness because houses are not any better, nor are houses any more expensive to build. The increase in prices has no justification in cost. Carl Case and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also noticed the same behavior among sellers in financial manias who felt guilty that the buyer paid so much </w:t>
      </w:r>
      <w:sdt>
        <w:sdtPr>
          <w:id w:val="32672963"/>
          <w:citation/>
        </w:sdtPr>
        <w:sdtContent>
          <w:r>
            <w:fldChar w:fldCharType="begin"/>
          </w:r>
          <w:r>
            <w:instrText xml:space="preserve"> CITATION Kar88 \l 1033 </w:instrText>
          </w:r>
          <w:r>
            <w:fldChar w:fldCharType="separate"/>
          </w:r>
          <w:r>
            <w:rPr>
              <w:noProof/>
            </w:rPr>
            <w:t>(Case &amp; Shiller, The Behavior of Home Buyers in Boom and Post-Boom Markets, 1988)</w:t>
          </w:r>
          <w:r>
            <w:rPr>
              <w:noProof/>
            </w:rPr>
            <w:fldChar w:fldCharType="end"/>
          </w:r>
        </w:sdtContent>
      </w:sdt>
      <w:r>
        <w:t xml:space="preserve">. </w:t>
      </w:r>
    </w:p>
  </w:endnote>
  <w:endnote w:id="79">
    <w:p w14:paraId="1223017C" w14:textId="77777777" w:rsidR="009D5946" w:rsidRDefault="009D5946" w:rsidP="002B6617">
      <w:pPr>
        <w:pStyle w:val="EndnoteText"/>
      </w:pPr>
      <w:r>
        <w:rPr>
          <w:rStyle w:val="EndnoteReference"/>
        </w:rPr>
        <w:endnoteRef/>
      </w:r>
      <w:r>
        <w:t xml:space="preserve">  In the paper Are House Prices the Next “Bubble?” </w:t>
      </w:r>
      <w:sdt>
        <w:sdtPr>
          <w:id w:val="32672960"/>
          <w:citation/>
        </w:sdtPr>
        <w:sdtContent>
          <w:r>
            <w:fldChar w:fldCharType="begin"/>
          </w:r>
          <w:r>
            <w:instrText xml:space="preserve"> CITATION Jon04 \l 1033 </w:instrText>
          </w:r>
          <w:r>
            <w:fldChar w:fldCharType="separate"/>
          </w:r>
          <w:r>
            <w:rPr>
              <w:noProof/>
            </w:rPr>
            <w:t>(McCarthy &amp; Peach, 2004)</w:t>
          </w:r>
          <w:r>
            <w:rPr>
              <w:noProof/>
            </w:rPr>
            <w:fldChar w:fldCharType="end"/>
          </w:r>
        </w:sdtContent>
      </w:sdt>
      <w:r>
        <w:t xml:space="preserve"> the authors completely missed the implications of the rising price-to-income</w:t>
      </w:r>
      <w:r>
        <w:fldChar w:fldCharType="begin"/>
      </w:r>
      <w:r>
        <w:instrText xml:space="preserve"> XE "</w:instrText>
      </w:r>
      <w:r w:rsidRPr="008121A2">
        <w:rPr>
          <w:rFonts w:cs="Times New Roman"/>
        </w:rPr>
        <w:instrText>price-to-income</w:instrText>
      </w:r>
      <w:r>
        <w:instrText xml:space="preserve">" </w:instrText>
      </w:r>
      <w:r>
        <w:fldChar w:fldCharType="end"/>
      </w:r>
      <w:r>
        <w:t xml:space="preserve"> ratio. Some amount of the increase in price (less than 50%) nationally can be attributed to lower interest rates. The authors make the statement, “</w:t>
      </w:r>
      <w:r w:rsidRPr="00E95432">
        <w:t>The marked upturn in home prices is largely attributable to strong market fundamentals: Home prices have essentially moved in line with increases in family income and declines in nominal mortgage interest rates.</w:t>
      </w:r>
      <w:r>
        <w:t>” An analysis of the impact on lower interest rates on actual payments and debt-to-income</w:t>
      </w:r>
      <w:r>
        <w:fldChar w:fldCharType="begin"/>
      </w:r>
      <w:r>
        <w:instrText xml:space="preserve"> XE "</w:instrText>
      </w:r>
      <w:r w:rsidRPr="00991A9B">
        <w:rPr>
          <w:rFonts w:cs="Times New Roman"/>
        </w:rPr>
        <w:instrText>debt-to-income</w:instrText>
      </w:r>
      <w:r>
        <w:instrText xml:space="preserve">" </w:instrText>
      </w:r>
      <w:r>
        <w:fldChar w:fldCharType="end"/>
      </w:r>
      <w:r>
        <w:t xml:space="preserve"> ratios would have revealed their conclusion erroneous, but no such analysis was undertaken. In the paper </w:t>
      </w:r>
      <w:sdt>
        <w:sdtPr>
          <w:id w:val="32672961"/>
          <w:citation/>
        </w:sdtPr>
        <w:sdtContent>
          <w:r>
            <w:fldChar w:fldCharType="begin"/>
          </w:r>
          <w:r>
            <w:instrText xml:space="preserve"> CITATION Jos03 \l 1033 </w:instrText>
          </w:r>
          <w:r>
            <w:fldChar w:fldCharType="separate"/>
          </w:r>
          <w:r>
            <w:rPr>
              <w:noProof/>
            </w:rPr>
            <w:t>(Gallin, The Long-Run Relationship between House Prices and Income: Evidence from Local Housing Markets, 2003)</w:t>
          </w:r>
          <w:r>
            <w:rPr>
              <w:noProof/>
            </w:rPr>
            <w:fldChar w:fldCharType="end"/>
          </w:r>
        </w:sdtContent>
      </w:sdt>
      <w:r>
        <w:t xml:space="preserve"> Joshua Gallin reaches the following, completely erroneous conclusion, “</w:t>
      </w:r>
      <w:r w:rsidRPr="00F917A9">
        <w:t xml:space="preserve">More formally, many in the housing literature argue that house prices and income are cointegrated. </w:t>
      </w:r>
      <w:r w:rsidRPr="00635AA0">
        <w:t xml:space="preserve">In this paper, I show that the data do not support this view. Standard </w:t>
      </w:r>
      <w:r w:rsidRPr="00F917A9">
        <w:t xml:space="preserve">tests using 27 years of national-level data do not </w:t>
      </w:r>
      <w:r>
        <w:t>fi</w:t>
      </w:r>
      <w:r w:rsidRPr="00F917A9">
        <w:t>nd evidence of cointegration.</w:t>
      </w:r>
      <w:r>
        <w:t>”</w:t>
      </w:r>
    </w:p>
  </w:endnote>
  <w:endnote w:id="80">
    <w:p w14:paraId="63FCABE4" w14:textId="77777777" w:rsidR="009D5946" w:rsidRDefault="009D5946" w:rsidP="00534962">
      <w:pPr>
        <w:pStyle w:val="EndnoteText"/>
      </w:pPr>
      <w:r>
        <w:rPr>
          <w:rStyle w:val="EndnoteReference"/>
        </w:rPr>
        <w:endnoteRef/>
      </w:r>
      <w:r>
        <w:t xml:space="preserve"> The paper for the Federal Reserve</w:t>
      </w:r>
      <w:r>
        <w:fldChar w:fldCharType="begin"/>
      </w:r>
      <w:r>
        <w:instrText xml:space="preserve"> XE "</w:instrText>
      </w:r>
      <w:r w:rsidRPr="005F15E8">
        <w:rPr>
          <w:rFonts w:cs="Times New Roman"/>
        </w:rPr>
        <w:instrText>Federal Reserve</w:instrText>
      </w:r>
      <w:r>
        <w:instrText xml:space="preserve">" </w:instrText>
      </w:r>
      <w:r>
        <w:fldChar w:fldCharType="end"/>
      </w:r>
      <w:r>
        <w:t xml:space="preserve"> Board by Joshua Gallin, </w:t>
      </w:r>
      <w:sdt>
        <w:sdtPr>
          <w:id w:val="32672957"/>
          <w:citation/>
        </w:sdtPr>
        <w:sdtContent>
          <w:r>
            <w:fldChar w:fldCharType="begin"/>
          </w:r>
          <w:r>
            <w:instrText xml:space="preserve"> CITATION Jos04 \l 1033 </w:instrText>
          </w:r>
          <w:r>
            <w:fldChar w:fldCharType="separate"/>
          </w:r>
          <w:r>
            <w:rPr>
              <w:noProof/>
            </w:rPr>
            <w:t>(Gallin, The Long-Run Relationship between House Prices and Rents, 2004)</w:t>
          </w:r>
          <w:r>
            <w:rPr>
              <w:noProof/>
            </w:rPr>
            <w:fldChar w:fldCharType="end"/>
          </w:r>
        </w:sdtContent>
      </w:sdt>
      <w:r>
        <w:t xml:space="preserve"> demonstrates there is a relationship between these variables long term. What is interesting is the Mr. Gallin did not reach the same conclusion with respects to the relationship between house prices and income </w:t>
      </w:r>
      <w:sdt>
        <w:sdtPr>
          <w:id w:val="32672958"/>
          <w:citation/>
        </w:sdtPr>
        <w:sdtContent>
          <w:r>
            <w:fldChar w:fldCharType="begin"/>
          </w:r>
          <w:r>
            <w:instrText xml:space="preserve"> CITATION Jos06 \l 1033 </w:instrText>
          </w:r>
          <w:r>
            <w:fldChar w:fldCharType="separate"/>
          </w:r>
          <w:r>
            <w:rPr>
              <w:noProof/>
            </w:rPr>
            <w:t>(Gallin, The Long-Run Relationship between House Prices and Income: Evidence from Local Housing Markets., 2006)</w:t>
          </w:r>
          <w:r>
            <w:rPr>
              <w:noProof/>
            </w:rPr>
            <w:fldChar w:fldCharType="end"/>
          </w:r>
        </w:sdtContent>
      </w:sdt>
      <w:r>
        <w:t xml:space="preserve"> despite the fact that rents and income track each other very closely.</w:t>
      </w:r>
    </w:p>
  </w:endnote>
  <w:endnote w:id="81">
    <w:p w14:paraId="6F5B2C5B" w14:textId="77777777" w:rsidR="009D5946" w:rsidRDefault="009D5946" w:rsidP="00534962">
      <w:pPr>
        <w:pStyle w:val="EndnoteText"/>
      </w:pPr>
      <w:r>
        <w:rPr>
          <w:rStyle w:val="EndnoteReference"/>
        </w:rPr>
        <w:endnoteRef/>
      </w:r>
      <w:r>
        <w:t xml:space="preserve"> In the paper Housing: Boom or Bubble </w:t>
      </w:r>
      <w:sdt>
        <w:sdtPr>
          <w:id w:val="32672959"/>
          <w:citation/>
        </w:sdtPr>
        <w:sdtContent>
          <w:r>
            <w:fldChar w:fldCharType="begin"/>
          </w:r>
          <w:r>
            <w:instrText xml:space="preserve"> CITATION Tim07 \l 1033 </w:instrText>
          </w:r>
          <w:r>
            <w:fldChar w:fldCharType="separate"/>
          </w:r>
          <w:r>
            <w:rPr>
              <w:noProof/>
            </w:rPr>
            <w:t>(Schiller, 2007)</w:t>
          </w:r>
          <w:r>
            <w:rPr>
              <w:noProof/>
            </w:rPr>
            <w:fldChar w:fldCharType="end"/>
          </w:r>
        </w:sdtContent>
      </w:sdt>
      <w:r>
        <w:t>, author Tim Schiller shows a chart on page 17 that looks very similar to the one in this work (He used a different data source, but the results were almost the same.) The chart shows the obvious sign of a massive housing bubble with prices showing a deviation in the price-to-rent</w:t>
      </w:r>
      <w:r>
        <w:fldChar w:fldCharType="begin"/>
      </w:r>
      <w:r>
        <w:instrText xml:space="preserve"> XE "</w:instrText>
      </w:r>
      <w:r w:rsidRPr="0007121C">
        <w:rPr>
          <w:rFonts w:cs="Times New Roman"/>
        </w:rPr>
        <w:instrText>price-to-rent</w:instrText>
      </w:r>
      <w:r>
        <w:instrText xml:space="preserve">" </w:instrText>
      </w:r>
      <w:r>
        <w:fldChar w:fldCharType="end"/>
      </w:r>
      <w:r>
        <w:t xml:space="preserve"> relationship 5 times the previous high of the coastal bubble of the early 1990s. Despite the visual appearance of the chart, he goes on to say the rally in prices was supported by fundamentals. Obviously, he was proven wrong. There is a history of scholarly papers on the price-to-income</w:t>
      </w:r>
      <w:r>
        <w:fldChar w:fldCharType="begin"/>
      </w:r>
      <w:r>
        <w:instrText xml:space="preserve"> XE "</w:instrText>
      </w:r>
      <w:r w:rsidRPr="008121A2">
        <w:rPr>
          <w:rFonts w:cs="Times New Roman"/>
        </w:rPr>
        <w:instrText>price-to-income</w:instrText>
      </w:r>
      <w:r>
        <w:instrText xml:space="preserve">" </w:instrText>
      </w:r>
      <w:r>
        <w:fldChar w:fldCharType="end"/>
      </w:r>
      <w:r>
        <w:t xml:space="preserve"> ratio that completely missed the housing bubble. </w:t>
      </w:r>
    </w:p>
  </w:endnote>
  <w:endnote w:id="82">
    <w:p w14:paraId="17C199CB" w14:textId="77777777" w:rsidR="009D5946" w:rsidRDefault="009D5946">
      <w:pPr>
        <w:pStyle w:val="EndnoteText"/>
      </w:pPr>
      <w:r>
        <w:rPr>
          <w:rStyle w:val="EndnoteReference"/>
        </w:rPr>
        <w:endnoteRef/>
      </w:r>
      <w:r>
        <w:t xml:space="preserve"> </w:t>
      </w:r>
      <w:r w:rsidRPr="00F83931">
        <w:t>Praveen Kujal and Vernon L. Smith noted in The Endowment Effect</w:t>
      </w:r>
      <w:r>
        <w:t xml:space="preserve"> </w:t>
      </w:r>
      <w:sdt>
        <w:sdtPr>
          <w:id w:val="32672956"/>
          <w:citation/>
        </w:sdtPr>
        <w:sdtContent>
          <w:r>
            <w:fldChar w:fldCharType="begin"/>
          </w:r>
          <w:r>
            <w:instrText xml:space="preserve"> CITATION Pra91 \l 1033 </w:instrText>
          </w:r>
          <w:r>
            <w:fldChar w:fldCharType="separate"/>
          </w:r>
          <w:r>
            <w:rPr>
              <w:noProof/>
            </w:rPr>
            <w:t>(Kujal &amp; Smith, The Endowment Effect, 1991)</w:t>
          </w:r>
          <w:r>
            <w:rPr>
              <w:noProof/>
            </w:rPr>
            <w:fldChar w:fldCharType="end"/>
          </w:r>
        </w:sdtContent>
      </w:sdt>
      <w:r w:rsidRPr="00F83931">
        <w:t xml:space="preserve"> that even small changes in the bid/ask spread results in a large decline in transaction volume.</w:t>
      </w:r>
    </w:p>
  </w:endnote>
  <w:endnote w:id="83">
    <w:p w14:paraId="7935C873" w14:textId="77777777" w:rsidR="009D5946" w:rsidRDefault="009D5946">
      <w:pPr>
        <w:pStyle w:val="EndnoteText"/>
      </w:pPr>
      <w:r>
        <w:rPr>
          <w:rStyle w:val="EndnoteReference"/>
        </w:rPr>
        <w:endnoteRef/>
      </w:r>
      <w:r>
        <w:t xml:space="preserve">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noted that the causes of a major turning point signifying the popping of a real estate bubble are “fuzzy.” </w:t>
      </w:r>
      <w:sdt>
        <w:sdtPr>
          <w:id w:val="32672955"/>
          <w:citation/>
        </w:sdtPr>
        <w:sdtContent>
          <w:r>
            <w:fldChar w:fldCharType="begin"/>
          </w:r>
          <w:r>
            <w:instrText xml:space="preserve"> CITATION Rob071 \l 1033 </w:instrText>
          </w:r>
          <w:r>
            <w:fldChar w:fldCharType="separate"/>
          </w:r>
          <w:r>
            <w:rPr>
              <w:noProof/>
            </w:rPr>
            <w:t>(Shiller, Historic Turning Points in Real Estate, 2007)</w:t>
          </w:r>
          <w:r>
            <w:rPr>
              <w:noProof/>
            </w:rPr>
            <w:fldChar w:fldCharType="end"/>
          </w:r>
        </w:sdtContent>
      </w:sdt>
      <w:r>
        <w:t xml:space="preserve"> Any events associated with the end of a speculative bubble may be simply coincidental.</w:t>
      </w:r>
    </w:p>
  </w:endnote>
  <w:endnote w:id="84">
    <w:p w14:paraId="1F57DD77" w14:textId="77777777" w:rsidR="009D5946" w:rsidRDefault="009D5946">
      <w:pPr>
        <w:pStyle w:val="EndnoteText"/>
      </w:pPr>
      <w:r>
        <w:rPr>
          <w:rStyle w:val="EndnoteReference"/>
        </w:rPr>
        <w:endnoteRef/>
      </w:r>
      <w:r>
        <w:t xml:space="preserve"> Federal Reserve</w:t>
      </w:r>
      <w:r>
        <w:fldChar w:fldCharType="begin"/>
      </w:r>
      <w:r>
        <w:instrText xml:space="preserve"> XE "</w:instrText>
      </w:r>
      <w:r w:rsidRPr="005F15E8">
        <w:rPr>
          <w:rFonts w:cs="Times New Roman"/>
        </w:rPr>
        <w:instrText>Federal Reserve</w:instrText>
      </w:r>
      <w:r>
        <w:instrText xml:space="preserve">" </w:instrText>
      </w:r>
      <w:r>
        <w:fldChar w:fldCharType="end"/>
      </w:r>
      <w:r>
        <w:t xml:space="preserve"> Chairman Ben Bernanke</w:t>
      </w:r>
      <w:r>
        <w:fldChar w:fldCharType="begin"/>
      </w:r>
      <w:r>
        <w:instrText xml:space="preserve"> XE "</w:instrText>
      </w:r>
      <w:r w:rsidRPr="00EE313F">
        <w:rPr>
          <w:rFonts w:cs="Times New Roman"/>
        </w:rPr>
        <w:instrText>Ben Bernanke</w:instrText>
      </w:r>
      <w:r>
        <w:instrText xml:space="preserve">" </w:instrText>
      </w:r>
      <w:r>
        <w:fldChar w:fldCharType="end"/>
      </w:r>
      <w:r>
        <w:t xml:space="preserve"> gave a speech </w:t>
      </w:r>
      <w:sdt>
        <w:sdtPr>
          <w:id w:val="32672954"/>
          <w:citation/>
        </w:sdtPr>
        <w:sdtContent>
          <w:r>
            <w:fldChar w:fldCharType="begin"/>
          </w:r>
          <w:r>
            <w:instrText xml:space="preserve"> CITATION Ben07 \l 1033 </w:instrText>
          </w:r>
          <w:r>
            <w:fldChar w:fldCharType="separate"/>
          </w:r>
          <w:r>
            <w:rPr>
              <w:noProof/>
            </w:rPr>
            <w:t>(Bernanke B. , 2007)</w:t>
          </w:r>
          <w:r>
            <w:rPr>
              <w:noProof/>
            </w:rPr>
            <w:fldChar w:fldCharType="end"/>
          </w:r>
        </w:sdtContent>
      </w:sdt>
      <w:r>
        <w:t xml:space="preserve"> in front of the Joint Economic Committee of the U.S. Congress on March 28, 2007 when he claimed, “</w:t>
      </w:r>
      <w:r w:rsidRPr="00AC6D02">
        <w:t>Although the turmoil in the subprime mortgage market has created severe financial problems for many individuals and families, the implications of these developments for the housing market as a whole are less clear. The ongoing tightening of lending standards, although an appropriate market response, will reduce somewhat the effective demand for housing, and foreclosed properties will add to the inventories of unsold homes. At this juncture, however, the impact on the broader economy and financial markets of the problems in the subprime market seems likely to be contained. In particular, mortgages to prime borrowers and fixed-rate mortgages to all classes of borrowers continue to perform well, with low rates of delinquency.</w:t>
      </w:r>
      <w:r>
        <w:t>” In short, the FED</w:t>
      </w:r>
      <w:r>
        <w:fldChar w:fldCharType="begin"/>
      </w:r>
      <w:r>
        <w:instrText xml:space="preserve"> XE "</w:instrText>
      </w:r>
      <w:r w:rsidRPr="00A95B0B">
        <w:rPr>
          <w:rFonts w:cs="Times New Roman"/>
        </w:rPr>
        <w:instrText>FED</w:instrText>
      </w:r>
      <w:r>
        <w:instrText xml:space="preserve">" </w:instrText>
      </w:r>
      <w:r>
        <w:fldChar w:fldCharType="end"/>
      </w:r>
      <w:r>
        <w:t xml:space="preserve"> Chairman completely missed the scale and scope of the problem. Either that, or he knew how bad the problem was and chose to lie for public relations impact.</w:t>
      </w:r>
    </w:p>
  </w:endnote>
  <w:endnote w:id="85">
    <w:p w14:paraId="08D7D11C" w14:textId="77777777" w:rsidR="009D5946" w:rsidRDefault="009D5946">
      <w:pPr>
        <w:pStyle w:val="EndnoteText"/>
      </w:pPr>
      <w:r>
        <w:rPr>
          <w:rStyle w:val="EndnoteReference"/>
        </w:rPr>
        <w:endnoteRef/>
      </w:r>
      <w:r>
        <w:t xml:space="preserve"> According to Credit Suisse</w:t>
      </w:r>
      <w:r>
        <w:fldChar w:fldCharType="begin"/>
      </w:r>
      <w:r>
        <w:instrText xml:space="preserve"> XE "</w:instrText>
      </w:r>
      <w:r w:rsidRPr="00402D53">
        <w:rPr>
          <w:rFonts w:cs="Times New Roman"/>
        </w:rPr>
        <w:instrText>Credit Suisse</w:instrText>
      </w:r>
      <w:r>
        <w:instrText xml:space="preserve">" </w:instrText>
      </w:r>
      <w:r>
        <w:fldChar w:fldCharType="end"/>
      </w:r>
      <w:r>
        <w:t>, 80% of subprime loans were the 2/28</w:t>
      </w:r>
      <w:r>
        <w:fldChar w:fldCharType="begin"/>
      </w:r>
      <w:r>
        <w:instrText xml:space="preserve"> XE "</w:instrText>
      </w:r>
      <w:r w:rsidRPr="00103CC1">
        <w:rPr>
          <w:rFonts w:cs="Times New Roman"/>
        </w:rPr>
        <w:instrText>2/28</w:instrText>
      </w:r>
      <w:r>
        <w:instrText xml:space="preserve">" </w:instrText>
      </w:r>
      <w:r>
        <w:fldChar w:fldCharType="end"/>
      </w:r>
      <w:r>
        <w:t xml:space="preserve"> variety.</w:t>
      </w:r>
    </w:p>
  </w:endnote>
  <w:endnote w:id="86">
    <w:p w14:paraId="5A7DDF76" w14:textId="77777777" w:rsidR="009D5946" w:rsidRDefault="009D5946">
      <w:pPr>
        <w:pStyle w:val="EndnoteText"/>
      </w:pPr>
      <w:r>
        <w:rPr>
          <w:rStyle w:val="EndnoteReference"/>
        </w:rPr>
        <w:endnoteRef/>
      </w:r>
      <w:r>
        <w:t xml:space="preserve"> The information on New Century</w:t>
      </w:r>
      <w:r>
        <w:fldChar w:fldCharType="begin"/>
      </w:r>
      <w:r>
        <w:instrText xml:space="preserve"> XE "</w:instrText>
      </w:r>
      <w:r w:rsidRPr="00C24401">
        <w:rPr>
          <w:rFonts w:cs="Times New Roman"/>
        </w:rPr>
        <w:instrText>New Century</w:instrText>
      </w:r>
      <w:r>
        <w:instrText xml:space="preserve">" </w:instrText>
      </w:r>
      <w:r>
        <w:fldChar w:fldCharType="end"/>
      </w:r>
      <w:r>
        <w:t xml:space="preserve"> Financial comes from their website.</w:t>
      </w:r>
    </w:p>
  </w:endnote>
  <w:endnote w:id="87">
    <w:p w14:paraId="29F285DD" w14:textId="77777777" w:rsidR="009D5946" w:rsidRDefault="009D5946">
      <w:pPr>
        <w:pStyle w:val="EndnoteText"/>
      </w:pPr>
      <w:r>
        <w:rPr>
          <w:rStyle w:val="EndnoteReference"/>
        </w:rPr>
        <w:endnoteRef/>
      </w:r>
      <w:r>
        <w:t xml:space="preserve"> Studies have shown people feel less need to save when house prices are increasing in value </w:t>
      </w:r>
      <w:sdt>
        <w:sdtPr>
          <w:id w:val="32672953"/>
          <w:citation/>
        </w:sdtPr>
        <w:sdtContent>
          <w:r>
            <w:fldChar w:fldCharType="begin"/>
          </w:r>
          <w:r>
            <w:instrText xml:space="preserve"> CITATION Dea02 \l 1033 </w:instrText>
          </w:r>
          <w:r>
            <w:fldChar w:fldCharType="separate"/>
          </w:r>
          <w:r>
            <w:rPr>
              <w:noProof/>
            </w:rPr>
            <w:t>(Baker D. , 2002)</w:t>
          </w:r>
          <w:r>
            <w:rPr>
              <w:noProof/>
            </w:rPr>
            <w:fldChar w:fldCharType="end"/>
          </w:r>
        </w:sdtContent>
      </w:sdt>
      <w:r>
        <w:t>.</w:t>
      </w:r>
    </w:p>
  </w:endnote>
  <w:endnote w:id="88">
    <w:p w14:paraId="58063A83" w14:textId="77777777" w:rsidR="009D5946" w:rsidRDefault="009D5946">
      <w:pPr>
        <w:pStyle w:val="EndnoteText"/>
      </w:pPr>
      <w:r>
        <w:rPr>
          <w:rStyle w:val="EndnoteReference"/>
        </w:rPr>
        <w:endnoteRef/>
      </w:r>
      <w:r>
        <w:t xml:space="preserve"> Social psychology is an important factor in the transmission of booms and speculative mania</w:t>
      </w:r>
      <w:r>
        <w:fldChar w:fldCharType="begin"/>
      </w:r>
      <w:r>
        <w:instrText xml:space="preserve"> XE "</w:instrText>
      </w:r>
      <w:r w:rsidRPr="009244C7">
        <w:rPr>
          <w:rFonts w:cs="Times New Roman"/>
        </w:rPr>
        <w:instrText>speculative mania</w:instrText>
      </w:r>
      <w:r>
        <w:instrText xml:space="preserve">" </w:instrText>
      </w:r>
      <w:r>
        <w:fldChar w:fldCharType="end"/>
      </w:r>
      <w:r>
        <w:t xml:space="preserve">; however, the perception of this fact by market participants is not common. Most individuals attribute price increases to some fundamental factor whereas the actual price movements are driven mostly by mass psychology. </w:t>
      </w:r>
      <w:sdt>
        <w:sdtPr>
          <w:id w:val="32672951"/>
          <w:citation/>
        </w:sdtPr>
        <w:sdtContent>
          <w:r>
            <w:fldChar w:fldCharType="begin"/>
          </w:r>
          <w:r>
            <w:instrText xml:space="preserve"> CITATION Kar88 \l 1033  </w:instrText>
          </w:r>
          <w:r>
            <w:fldChar w:fldCharType="separate"/>
          </w:r>
          <w:r>
            <w:rPr>
              <w:noProof/>
            </w:rPr>
            <w:t>(Case &amp; Shiller, The Behavior of Home Buyers in Boom and Post-Boom Markets, 1988)</w:t>
          </w:r>
          <w:r>
            <w:rPr>
              <w:noProof/>
            </w:rPr>
            <w:fldChar w:fldCharType="end"/>
          </w:r>
        </w:sdtContent>
      </w:sdt>
    </w:p>
  </w:endnote>
  <w:endnote w:id="89">
    <w:p w14:paraId="01FF9B85" w14:textId="77777777" w:rsidR="009D5946" w:rsidRDefault="009D5946">
      <w:pPr>
        <w:pStyle w:val="EndnoteText"/>
      </w:pPr>
      <w:r>
        <w:rPr>
          <w:rStyle w:val="EndnoteReference"/>
        </w:rPr>
        <w:endnoteRef/>
      </w:r>
      <w:r>
        <w:t xml:space="preserve"> Karl Case</w:t>
      </w:r>
      <w:r>
        <w:fldChar w:fldCharType="begin"/>
      </w:r>
      <w:r>
        <w:instrText xml:space="preserve"> XE "</w:instrText>
      </w:r>
      <w:r w:rsidRPr="00D83148">
        <w:rPr>
          <w:rFonts w:cs="Times New Roman"/>
        </w:rPr>
        <w:instrText>Karl Case</w:instrText>
      </w:r>
      <w:r>
        <w:instrText xml:space="preserve">" </w:instrText>
      </w:r>
      <w:r>
        <w:fldChar w:fldCharType="end"/>
      </w:r>
      <w:r>
        <w:t xml:space="preserve"> and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noted </w:t>
      </w:r>
      <w:sdt>
        <w:sdtPr>
          <w:id w:val="32672950"/>
          <w:citation/>
        </w:sdtPr>
        <w:sdtContent>
          <w:r>
            <w:fldChar w:fldCharType="begin"/>
          </w:r>
          <w:r>
            <w:instrText xml:space="preserve"> CITATION Kar04 \l 1033  </w:instrText>
          </w:r>
          <w:r>
            <w:fldChar w:fldCharType="separate"/>
          </w:r>
          <w:r>
            <w:rPr>
              <w:noProof/>
            </w:rPr>
            <w:t>(Case &amp; Shiller, Is There a Bubble in the Housing Market, 2004)</w:t>
          </w:r>
          <w:r>
            <w:rPr>
              <w:noProof/>
            </w:rPr>
            <w:fldChar w:fldCharType="end"/>
          </w:r>
        </w:sdtContent>
      </w:sdt>
      <w:r>
        <w:t xml:space="preserve"> 90% or more of households expected house prices to increase in the following year during price rallies. It is the expectation of 10-year appreciation</w:t>
      </w:r>
      <w:r>
        <w:fldChar w:fldCharType="begin"/>
      </w:r>
      <w:r>
        <w:instrText xml:space="preserve"> XE "</w:instrText>
      </w:r>
      <w:r w:rsidRPr="009C5D12">
        <w:rPr>
          <w:rFonts w:cs="Times New Roman"/>
        </w:rPr>
        <w:instrText>appreciation</w:instrText>
      </w:r>
      <w:r>
        <w:instrText xml:space="preserve">" </w:instrText>
      </w:r>
      <w:r>
        <w:fldChar w:fldCharType="end"/>
      </w:r>
      <w:r>
        <w:t xml:space="preserve"> that is most striking. Market participants in the coastal bubble markets expected a 10-year average annual increase of near 15%. This would mean a tripling of prices over a 10-year period.</w:t>
      </w:r>
    </w:p>
  </w:endnote>
  <w:endnote w:id="90">
    <w:p w14:paraId="45FDEE52" w14:textId="77777777" w:rsidR="009D5946" w:rsidRDefault="009D5946">
      <w:pPr>
        <w:pStyle w:val="EndnoteText"/>
      </w:pPr>
      <w:r>
        <w:rPr>
          <w:rStyle w:val="EndnoteReference"/>
        </w:rPr>
        <w:endnoteRef/>
      </w:r>
      <w:r>
        <w:t xml:space="preserve"> </w:t>
      </w:r>
      <w:sdt>
        <w:sdtPr>
          <w:id w:val="32672949"/>
          <w:citation/>
        </w:sdtPr>
        <w:sdtContent>
          <w:r>
            <w:fldChar w:fldCharType="begin"/>
          </w:r>
          <w:r>
            <w:instrText xml:space="preserve"> CITATION Rob04 \l 1033 </w:instrText>
          </w:r>
          <w:r>
            <w:fldChar w:fldCharType="separate"/>
          </w:r>
          <w:r>
            <w:rPr>
              <w:noProof/>
            </w:rPr>
            <w:t>(Miles, 2004)</w:t>
          </w:r>
          <w:r>
            <w:rPr>
              <w:noProof/>
            </w:rPr>
            <w:fldChar w:fldCharType="end"/>
          </w:r>
        </w:sdtContent>
      </w:sdt>
    </w:p>
  </w:endnote>
  <w:endnote w:id="91">
    <w:p w14:paraId="39AC91B0" w14:textId="77777777" w:rsidR="009D5946" w:rsidRDefault="009D5946" w:rsidP="00C55849">
      <w:pPr>
        <w:pStyle w:val="EndnoteText"/>
      </w:pPr>
      <w:r>
        <w:rPr>
          <w:rStyle w:val="EndnoteReference"/>
        </w:rPr>
        <w:endnoteRef/>
      </w:r>
      <w:r>
        <w:t xml:space="preserve"> In the paper Investor Psychology and Security Market Under- and Overreactions </w:t>
      </w:r>
      <w:sdt>
        <w:sdtPr>
          <w:id w:val="32672948"/>
          <w:citation/>
        </w:sdtPr>
        <w:sdtContent>
          <w:r>
            <w:fldChar w:fldCharType="begin"/>
          </w:r>
          <w:r>
            <w:instrText xml:space="preserve"> CITATION Ken98 \l 1033 </w:instrText>
          </w:r>
          <w:r>
            <w:fldChar w:fldCharType="separate"/>
          </w:r>
          <w:r>
            <w:rPr>
              <w:noProof/>
            </w:rPr>
            <w:t>(Daniel, Hirshleifer, &amp; Subrahmanyam, 1998)</w:t>
          </w:r>
          <w:r>
            <w:rPr>
              <w:noProof/>
            </w:rPr>
            <w:fldChar w:fldCharType="end"/>
          </w:r>
        </w:sdtContent>
      </w:sdt>
      <w:r>
        <w:t xml:space="preserve">, the authors document that investors have two biases which negatively impact their financial decisions: first, they have an overreliance on private information and analysis with regards to asset prices, and they have a biased self-attribution or belief in themselves that causes them to be overconfident in their investment outcomes. In short, people go into denial because they are overconfident about the direction of the trade. </w:t>
      </w:r>
    </w:p>
  </w:endnote>
  <w:endnote w:id="92">
    <w:p w14:paraId="2C5DEBE0" w14:textId="77777777" w:rsidR="009D5946" w:rsidRDefault="009D5946">
      <w:pPr>
        <w:pStyle w:val="EndnoteText"/>
      </w:pPr>
      <w:r>
        <w:rPr>
          <w:rStyle w:val="EndnoteReference"/>
        </w:rPr>
        <w:endnoteRef/>
      </w:r>
      <w:r>
        <w:t xml:space="preserve"> The best books for understanding the mindset of a professional trader are the books by author Mark Douglas </w:t>
      </w:r>
      <w:sdt>
        <w:sdtPr>
          <w:id w:val="32672946"/>
          <w:citation/>
        </w:sdtPr>
        <w:sdtContent>
          <w:r>
            <w:fldChar w:fldCharType="begin"/>
          </w:r>
          <w:r>
            <w:instrText xml:space="preserve"> CITATION Mar90 \l 1033 </w:instrText>
          </w:r>
          <w:r>
            <w:fldChar w:fldCharType="separate"/>
          </w:r>
          <w:r>
            <w:rPr>
              <w:noProof/>
            </w:rPr>
            <w:t>(Douglas, The Disciplined Trader, Developing Winning Attitudes, 1990)</w:t>
          </w:r>
          <w:r>
            <w:rPr>
              <w:noProof/>
            </w:rPr>
            <w:fldChar w:fldCharType="end"/>
          </w:r>
        </w:sdtContent>
      </w:sdt>
      <w:r>
        <w:t xml:space="preserve"> and </w:t>
      </w:r>
      <w:sdt>
        <w:sdtPr>
          <w:id w:val="32672947"/>
          <w:citation/>
        </w:sdtPr>
        <w:sdtContent>
          <w:r>
            <w:fldChar w:fldCharType="begin"/>
          </w:r>
          <w:r>
            <w:instrText xml:space="preserve"> CITATION Mar00 \l 1033 </w:instrText>
          </w:r>
          <w:r>
            <w:fldChar w:fldCharType="separate"/>
          </w:r>
          <w:r>
            <w:rPr>
              <w:noProof/>
            </w:rPr>
            <w:t>(Douglas, Trading in the Zone, 2000)</w:t>
          </w:r>
          <w:r>
            <w:rPr>
              <w:noProof/>
            </w:rPr>
            <w:fldChar w:fldCharType="end"/>
          </w:r>
        </w:sdtContent>
      </w:sdt>
      <w:r>
        <w:t>. He lays out the emotional issues of trading in great detail.</w:t>
      </w:r>
    </w:p>
  </w:endnote>
  <w:endnote w:id="93">
    <w:p w14:paraId="2A2EA92C" w14:textId="77777777" w:rsidR="009D5946" w:rsidRDefault="009D5946">
      <w:pPr>
        <w:pStyle w:val="EndnoteText"/>
      </w:pPr>
      <w:r>
        <w:rPr>
          <w:rStyle w:val="EndnoteReference"/>
        </w:rPr>
        <w:endnoteRef/>
      </w:r>
      <w:r>
        <w:t xml:space="preserve"> </w:t>
      </w:r>
      <w:sdt>
        <w:sdtPr>
          <w:id w:val="32672945"/>
          <w:citation/>
        </w:sdtPr>
        <w:sdtContent>
          <w:r>
            <w:fldChar w:fldCharType="begin"/>
          </w:r>
          <w:r>
            <w:instrText xml:space="preserve"> CITATION Min06 \l 1033 </w:instrText>
          </w:r>
          <w:r>
            <w:fldChar w:fldCharType="separate"/>
          </w:r>
          <w:r>
            <w:rPr>
              <w:noProof/>
            </w:rPr>
            <w:t>(Mints, 2006)</w:t>
          </w:r>
          <w:r>
            <w:rPr>
              <w:noProof/>
            </w:rPr>
            <w:fldChar w:fldCharType="end"/>
          </w:r>
        </w:sdtContent>
      </w:sdt>
      <w:r>
        <w:t xml:space="preserve"> According to Victor Mints in his study of the Moscow housing market, the number of vacant houses held for sale by speculators showed the same pattern as the United States.</w:t>
      </w:r>
    </w:p>
  </w:endnote>
  <w:endnote w:id="94">
    <w:p w14:paraId="5B1CCAAF" w14:textId="77777777" w:rsidR="009D5946" w:rsidRDefault="009D5946">
      <w:pPr>
        <w:pStyle w:val="EndnoteText"/>
      </w:pPr>
      <w:r>
        <w:rPr>
          <w:rStyle w:val="EndnoteReference"/>
        </w:rPr>
        <w:endnoteRef/>
      </w:r>
      <w:r>
        <w:t xml:space="preserve"> In their paper Prospect Theory: an Analysis of Decision under Risk </w:t>
      </w:r>
      <w:sdt>
        <w:sdtPr>
          <w:id w:val="32672944"/>
          <w:citation/>
        </w:sdtPr>
        <w:sdtContent>
          <w:r>
            <w:fldChar w:fldCharType="begin"/>
          </w:r>
          <w:r>
            <w:instrText xml:space="preserve"> CITATION Kah79 \l 1033 </w:instrText>
          </w:r>
          <w:r>
            <w:fldChar w:fldCharType="separate"/>
          </w:r>
          <w:r>
            <w:rPr>
              <w:noProof/>
            </w:rPr>
            <w:t>(Kahneman &amp; Tversky, Prospect Theory: An Analysis of Decision under Risk, 1979)</w:t>
          </w:r>
          <w:r>
            <w:rPr>
              <w:noProof/>
            </w:rPr>
            <w:fldChar w:fldCharType="end"/>
          </w:r>
        </w:sdtContent>
      </w:sdt>
      <w:r>
        <w:t>, the authors note a tendency of people to overweight low probability events which contributes to the attractiveness of insurance and gambling. Toward the end of the rally of the Great Housing Bubble when prices stopped rising, it became apparent that a resurgent rally was not very likely; however, many still bought in anticipation of this rally because 100% financing</w:t>
      </w:r>
      <w:r>
        <w:fldChar w:fldCharType="begin"/>
      </w:r>
      <w:r>
        <w:instrText xml:space="preserve"> XE "</w:instrText>
      </w:r>
      <w:r w:rsidRPr="000A50DE">
        <w:rPr>
          <w:rFonts w:cs="Times New Roman"/>
        </w:rPr>
        <w:instrText>100% financing</w:instrText>
      </w:r>
      <w:r>
        <w:instrText xml:space="preserve">" </w:instrText>
      </w:r>
      <w:r>
        <w:fldChar w:fldCharType="end"/>
      </w:r>
      <w:r>
        <w:t xml:space="preserve"> was available and they tended to overweight the probability of a rally. </w:t>
      </w:r>
    </w:p>
  </w:endnote>
  <w:endnote w:id="95">
    <w:p w14:paraId="7A988346" w14:textId="77777777" w:rsidR="009D5946" w:rsidRDefault="009D5946">
      <w:pPr>
        <w:pStyle w:val="EndnoteText"/>
      </w:pPr>
      <w:r>
        <w:rPr>
          <w:rStyle w:val="EndnoteReference"/>
        </w:rPr>
        <w:endnoteRef/>
      </w:r>
      <w:r>
        <w:t xml:space="preserve"> In the paper </w:t>
      </w:r>
      <w:r w:rsidRPr="004877DD">
        <w:t xml:space="preserve">Moral Hazard in Home Equity Conversion </w:t>
      </w:r>
      <w:sdt>
        <w:sdtPr>
          <w:id w:val="32672943"/>
          <w:citation/>
        </w:sdtPr>
        <w:sdtContent>
          <w:r>
            <w:fldChar w:fldCharType="begin"/>
          </w:r>
          <w:r>
            <w:instrText xml:space="preserve"> CITATION Rob981 \l 1033 </w:instrText>
          </w:r>
          <w:r>
            <w:fldChar w:fldCharType="separate"/>
          </w:r>
          <w:r>
            <w:rPr>
              <w:noProof/>
            </w:rPr>
            <w:t>(Shiller &amp; N.Weiss, Moral Hazard in Home Equity Conversion, 1998)</w:t>
          </w:r>
          <w:r>
            <w:rPr>
              <w:noProof/>
            </w:rPr>
            <w:fldChar w:fldCharType="end"/>
          </w:r>
        </w:sdtContent>
      </w:sdt>
      <w:r>
        <w:t>,</w:t>
      </w:r>
      <w:r w:rsidRPr="004877DD">
        <w:t xml:space="preserve"> Robert J. Shiller and Allan N.Weiss</w:t>
      </w:r>
      <w:r>
        <w:t xml:space="preserve"> document the moral hazard issues in cash-out refinancing as follows “</w:t>
      </w:r>
      <w:r w:rsidRPr="004877DD">
        <w:t>Home equity</w:t>
      </w:r>
      <w:r>
        <w:fldChar w:fldCharType="begin"/>
      </w:r>
      <w:r>
        <w:instrText xml:space="preserve"> XE "</w:instrText>
      </w:r>
      <w:r w:rsidRPr="008D3E1B">
        <w:rPr>
          <w:rFonts w:cs="Times New Roman"/>
        </w:rPr>
        <w:instrText>equity</w:instrText>
      </w:r>
      <w:r>
        <w:instrText xml:space="preserve">" </w:instrText>
      </w:r>
      <w:r>
        <w:fldChar w:fldCharType="end"/>
      </w:r>
      <w:r w:rsidRPr="004877DD">
        <w:t xml:space="preserve"> conversion as presently constituted or proposed usually does not deal well with the potential problem of moral hazard. Once homeowners know that the risk of poor market performance of their homes is borne by investors, they have an incentive to neglect to take steps to maintain the homes’ values. They may thus create serious future losses for the investors.</w:t>
      </w:r>
      <w:r>
        <w:t>” They miss the most serious problem resulting in lender losses, the predatory “put” exercised by borrowers. There are clearly moral hazards in cash-out refinancing; they are even more severe than the ones documented in this paper.</w:t>
      </w:r>
    </w:p>
  </w:endnote>
  <w:endnote w:id="96">
    <w:p w14:paraId="47F0FD41" w14:textId="77777777" w:rsidR="009D5946" w:rsidRDefault="009D5946" w:rsidP="00E75F2F">
      <w:pPr>
        <w:pStyle w:val="EndnoteText"/>
        <w:jc w:val="left"/>
      </w:pPr>
      <w:r>
        <w:rPr>
          <w:rStyle w:val="EndnoteReference"/>
        </w:rPr>
        <w:endnoteRef/>
      </w:r>
      <w:r>
        <w:t xml:space="preserve"> The author has a difficult time believing that a God would intervene in a financial market based on the purchase of an idol. It is not surprising a superstition like this one would spring up once houses started to be traded more frequently. There are myths about the practice going back hundreds of years, but references to the practice only go back to the early 1980s – a time corresponding to the slump after the first California real estate bubble. </w:t>
      </w:r>
      <w:r w:rsidRPr="00364802">
        <w:t>http://www.snopes.com/luck/stjoseph.asp</w:t>
      </w:r>
    </w:p>
  </w:endnote>
  <w:endnote w:id="97">
    <w:p w14:paraId="033084F4" w14:textId="77777777" w:rsidR="009D5946" w:rsidRDefault="009D5946" w:rsidP="00534962">
      <w:pPr>
        <w:pStyle w:val="EndnoteText"/>
      </w:pPr>
      <w:r>
        <w:rPr>
          <w:rStyle w:val="EndnoteReference"/>
        </w:rPr>
        <w:endnoteRef/>
      </w:r>
      <w:r>
        <w:t xml:space="preserve"> Much of the history of the Efficient Markets theory is outlined in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’s paper </w:t>
      </w:r>
      <w:sdt>
        <w:sdtPr>
          <w:id w:val="32672941"/>
          <w:citation/>
        </w:sdtPr>
        <w:sdtContent>
          <w:r>
            <w:fldChar w:fldCharType="begin"/>
          </w:r>
          <w:r>
            <w:instrText xml:space="preserve"> CITATION Rob02 \l 1033 </w:instrText>
          </w:r>
          <w:r>
            <w:fldChar w:fldCharType="separate"/>
          </w:r>
          <w:r>
            <w:rPr>
              <w:noProof/>
            </w:rPr>
            <w:t>(Shiller, From Efficient Market Theory to Behavioral Finance, 2002)</w:t>
          </w:r>
          <w:r>
            <w:rPr>
              <w:noProof/>
            </w:rPr>
            <w:fldChar w:fldCharType="end"/>
          </w:r>
        </w:sdtContent>
      </w:sdt>
      <w:r>
        <w:t>, “</w:t>
      </w:r>
      <w:r w:rsidRPr="00683CA3">
        <w:t>The efficient markets theory</w:t>
      </w:r>
      <w:r>
        <w:fldChar w:fldCharType="begin"/>
      </w:r>
      <w:r>
        <w:instrText xml:space="preserve"> XE "</w:instrText>
      </w:r>
      <w:r w:rsidRPr="00715992">
        <w:rPr>
          <w:rFonts w:cs="Times New Roman"/>
        </w:rPr>
        <w:instrText>efficient markets theory</w:instrText>
      </w:r>
      <w:r>
        <w:instrText xml:space="preserve">" </w:instrText>
      </w:r>
      <w:r>
        <w:fldChar w:fldCharType="end"/>
      </w:r>
      <w:r w:rsidRPr="00683CA3">
        <w:t xml:space="preserve"> reached the height of its dominance in academic circles around the 1970s. Faith in this theory was eroded by a succession of discoveries of anomalies, many in the 1980s, and of evidence of excess volatility of returns. Finance literature in this decade and after suggests a more nuanced view of the value of the efficient markets theory, and, starting in the 1990s, a blossoming of research on behavioral finance. Some important developments in the 1990s and recently include feedback theories, models of the interaction of smart money with ordinary investors, and evidence on obstacles to smart money.</w:t>
      </w:r>
      <w:r>
        <w:t xml:space="preserve">” One of the groundbreaking papers of the early 1990s that influenced the change in economics thinking from efficient markets to behavioral finance was the work by David Porter and Vernon Smith </w:t>
      </w:r>
      <w:sdt>
        <w:sdtPr>
          <w:id w:val="32672942"/>
          <w:citation/>
        </w:sdtPr>
        <w:sdtContent>
          <w:r>
            <w:fldChar w:fldCharType="begin"/>
          </w:r>
          <w:r>
            <w:instrText xml:space="preserve"> CITATION Dav92 \l 1033 </w:instrText>
          </w:r>
          <w:r>
            <w:fldChar w:fldCharType="separate"/>
          </w:r>
          <w:r>
            <w:rPr>
              <w:noProof/>
            </w:rPr>
            <w:t>(Porter &amp; Smith, 1992)</w:t>
          </w:r>
          <w:r>
            <w:rPr>
              <w:noProof/>
            </w:rPr>
            <w:fldChar w:fldCharType="end"/>
          </w:r>
        </w:sdtContent>
      </w:sdt>
      <w:r>
        <w:t xml:space="preserve"> on Price Expectations in Experimental Asset Markets with Futures Contracting. In this paper, the authors demonstrated the volatility of returns was excessive as prices detached greatly from fundamental values and stayed detached for extended periods of time. </w:t>
      </w:r>
    </w:p>
  </w:endnote>
  <w:endnote w:id="98">
    <w:p w14:paraId="77692C0D" w14:textId="77777777" w:rsidR="009D5946" w:rsidRDefault="009D5946" w:rsidP="006E0DBF">
      <w:pPr>
        <w:pStyle w:val="EndnoteText"/>
      </w:pPr>
      <w:r>
        <w:rPr>
          <w:rStyle w:val="EndnoteReference"/>
        </w:rPr>
        <w:endnoteRef/>
      </w:r>
      <w:r>
        <w:t xml:space="preserve"> In the paper Anomalies: The Endowment Effect, Loss Aversion, and Status Quo Bias </w:t>
      </w:r>
      <w:sdt>
        <w:sdtPr>
          <w:id w:val="32672940"/>
          <w:citation/>
        </w:sdtPr>
        <w:sdtContent>
          <w:r>
            <w:fldChar w:fldCharType="begin"/>
          </w:r>
          <w:r>
            <w:instrText xml:space="preserve"> CITATION Dan91 \l 1033 </w:instrText>
          </w:r>
          <w:r>
            <w:fldChar w:fldCharType="separate"/>
          </w:r>
          <w:r>
            <w:rPr>
              <w:noProof/>
            </w:rPr>
            <w:t>(Kahneman, Knetsch, &amp; Thaler, The Endowment Effect, Loss Aversion, and Status Quo Bias, 1991)</w:t>
          </w:r>
          <w:r>
            <w:rPr>
              <w:noProof/>
            </w:rPr>
            <w:fldChar w:fldCharType="end"/>
          </w:r>
        </w:sdtContent>
      </w:sdt>
      <w:r>
        <w:t>, the authors, Daniel Kahneman, Jack L. Knetsch, and Richard H. Thaler, begin to lay the foundations for behavioral finance theory by documenting the many anomalies the efficient markets theory</w:t>
      </w:r>
      <w:r>
        <w:fldChar w:fldCharType="begin"/>
      </w:r>
      <w:r>
        <w:instrText xml:space="preserve"> XE "</w:instrText>
      </w:r>
      <w:r w:rsidRPr="00715992">
        <w:rPr>
          <w:rFonts w:cs="Times New Roman"/>
        </w:rPr>
        <w:instrText>efficient markets theory</w:instrText>
      </w:r>
      <w:r>
        <w:instrText xml:space="preserve">" </w:instrText>
      </w:r>
      <w:r>
        <w:fldChar w:fldCharType="end"/>
      </w:r>
      <w:r>
        <w:t xml:space="preserve"> could not explain, “Economics can be distinguished from other social sciences by the belief that most (all?) behavior can be explained by assuming that agents have stable, well-defined preferences and make rational choices consistent with those preferences in markets that (eventually) clear. An empirical result qualifies as an anomaly if' it is difficult to "rationalize," or if implausible assumptions are necessary to explain it within the paradigm.”</w:t>
      </w:r>
    </w:p>
  </w:endnote>
  <w:endnote w:id="99">
    <w:p w14:paraId="18CBDD66" w14:textId="77777777" w:rsidR="009D5946" w:rsidRDefault="009D5946">
      <w:pPr>
        <w:pStyle w:val="EndnoteText"/>
      </w:pPr>
      <w:r>
        <w:rPr>
          <w:rStyle w:val="EndnoteReference"/>
        </w:rPr>
        <w:endnoteRef/>
      </w:r>
      <w:r>
        <w:t xml:space="preserve"> In the paper </w:t>
      </w:r>
      <w:r w:rsidRPr="00F63300">
        <w:t xml:space="preserve">Learning from the Behavior of Others: Conformity, Fads, and Informational Cascades </w:t>
      </w:r>
      <w:sdt>
        <w:sdtPr>
          <w:id w:val="32672938"/>
          <w:citation/>
        </w:sdtPr>
        <w:sdtContent>
          <w:r>
            <w:fldChar w:fldCharType="begin"/>
          </w:r>
          <w:r>
            <w:instrText xml:space="preserve"> CITATION Sus98 \l 1033 </w:instrText>
          </w:r>
          <w:r>
            <w:fldChar w:fldCharType="separate"/>
          </w:r>
          <w:r>
            <w:rPr>
              <w:noProof/>
            </w:rPr>
            <w:t>(Bikhchandani, Hirshleifer, &amp; Welch, 1998)</w:t>
          </w:r>
          <w:r>
            <w:rPr>
              <w:noProof/>
            </w:rPr>
            <w:fldChar w:fldCharType="end"/>
          </w:r>
        </w:sdtContent>
      </w:sdt>
      <w:r>
        <w:t xml:space="preserve">, the authors, </w:t>
      </w:r>
      <w:r w:rsidRPr="00F63300">
        <w:t>Sushil Bikhchandani, David Hirshleifer and Ivo Welch</w:t>
      </w:r>
      <w:r>
        <w:t>, describe the phenomenon of herd behavior and observational learning. Much of human learning is accomplished through observation and imitation of others. This valuable survival skill results in the herd behavior observed in financial markets. It is the driving force behind the price-to-price feedback loop responsible for irrational exuberance</w:t>
      </w:r>
      <w:r>
        <w:fldChar w:fldCharType="begin"/>
      </w:r>
      <w:r>
        <w:instrText xml:space="preserve"> XE "</w:instrText>
      </w:r>
      <w:r w:rsidRPr="00FD3A30">
        <w:rPr>
          <w:rFonts w:cs="Times New Roman"/>
        </w:rPr>
        <w:instrText>irrational exuberance</w:instrText>
      </w:r>
      <w:r>
        <w:instrText xml:space="preserve">" </w:instrText>
      </w:r>
      <w:r>
        <w:fldChar w:fldCharType="end"/>
      </w:r>
      <w:r>
        <w:t>.</w:t>
      </w:r>
    </w:p>
  </w:endnote>
  <w:endnote w:id="100">
    <w:p w14:paraId="5FF94108" w14:textId="77777777" w:rsidR="009D5946" w:rsidRDefault="009D5946">
      <w:pPr>
        <w:pStyle w:val="EndnoteText"/>
      </w:pPr>
      <w:r>
        <w:rPr>
          <w:rStyle w:val="EndnoteReference"/>
        </w:rPr>
        <w:endnoteRef/>
      </w:r>
      <w:r>
        <w:t xml:space="preserve"> In House Prices, Fundamentals and Bubbles </w:t>
      </w:r>
      <w:sdt>
        <w:sdtPr>
          <w:id w:val="32672939"/>
          <w:citation/>
        </w:sdtPr>
        <w:sdtContent>
          <w:r>
            <w:fldChar w:fldCharType="begin"/>
          </w:r>
          <w:r>
            <w:instrText xml:space="preserve"> CITATION Ang06 \l 1033  </w:instrText>
          </w:r>
          <w:r>
            <w:fldChar w:fldCharType="separate"/>
          </w:r>
          <w:r>
            <w:rPr>
              <w:noProof/>
            </w:rPr>
            <w:t>(Black, Fraser, &amp; Hoesli, 2006)</w:t>
          </w:r>
          <w:r>
            <w:rPr>
              <w:noProof/>
            </w:rPr>
            <w:fldChar w:fldCharType="end"/>
          </w:r>
        </w:sdtContent>
      </w:sdt>
      <w:r>
        <w:t>, the behavior of momentum investors is characterized as evidence against rationality in the marketplace. For the typical amateur speculator this is certainly true, but for momentum traders who have learned how to buy and sell to profit from the momentum, it is a rational and profitable method of speculation.</w:t>
      </w:r>
    </w:p>
  </w:endnote>
  <w:endnote w:id="101">
    <w:p w14:paraId="7840CBD6" w14:textId="77777777" w:rsidR="009D5946" w:rsidRDefault="009D5946" w:rsidP="0035183E">
      <w:pPr>
        <w:pStyle w:val="EndnoteText"/>
      </w:pPr>
      <w:r>
        <w:rPr>
          <w:rStyle w:val="EndnoteReference"/>
        </w:rPr>
        <w:endnoteRef/>
      </w:r>
      <w:r>
        <w:t xml:space="preserve"> In Risk and Return in the U.S. Housing Market: A Cross-Sectional Asset-Pricing Approach </w:t>
      </w:r>
      <w:sdt>
        <w:sdtPr>
          <w:id w:val="32672937"/>
          <w:citation/>
        </w:sdtPr>
        <w:sdtContent>
          <w:r>
            <w:fldChar w:fldCharType="begin"/>
          </w:r>
          <w:r>
            <w:instrText xml:space="preserve"> CITATION Sus06 \l 1033  </w:instrText>
          </w:r>
          <w:r>
            <w:fldChar w:fldCharType="separate"/>
          </w:r>
          <w:r>
            <w:rPr>
              <w:noProof/>
            </w:rPr>
            <w:t>(Cannon, Miller, &amp; Pandher, 2006)</w:t>
          </w:r>
          <w:r>
            <w:rPr>
              <w:noProof/>
            </w:rPr>
            <w:fldChar w:fldCharType="end"/>
          </w:r>
        </w:sdtContent>
      </w:sdt>
      <w:r>
        <w:t>, the authors noted a 10% increase in volatility with each 2.48% increase in annual returns. This strongly suggests bubble volatility occurs just because prices are rising.</w:t>
      </w:r>
    </w:p>
  </w:endnote>
  <w:endnote w:id="102">
    <w:p w14:paraId="68D8BB37" w14:textId="77777777" w:rsidR="009D5946" w:rsidRDefault="009D5946" w:rsidP="00E75F2F">
      <w:pPr>
        <w:pStyle w:val="EndnoteText"/>
        <w:jc w:val="left"/>
      </w:pPr>
      <w:r>
        <w:rPr>
          <w:rStyle w:val="EndnoteReference"/>
        </w:rPr>
        <w:endnoteRef/>
      </w:r>
      <w:r>
        <w:t xml:space="preserve"> An article in Real Estate Journal.com (</w:t>
      </w:r>
      <w:r w:rsidRPr="003C75DA">
        <w:t>http://www.realestatejournal.com/buysell/markettrends/20050106-capell.html</w:t>
      </w:r>
      <w:r>
        <w:t xml:space="preserve">) from the Greed stage in the bubble anecdotally documents properties selling for over list and realtors telling clients to write emotional letters to sellers </w:t>
      </w:r>
      <w:sdt>
        <w:sdtPr>
          <w:id w:val="32672936"/>
          <w:citation/>
        </w:sdtPr>
        <w:sdtContent>
          <w:r>
            <w:fldChar w:fldCharType="begin"/>
          </w:r>
          <w:r>
            <w:instrText xml:space="preserve"> CITATION Per04 \l 1033 </w:instrText>
          </w:r>
          <w:r>
            <w:fldChar w:fldCharType="separate"/>
          </w:r>
          <w:r>
            <w:rPr>
              <w:noProof/>
            </w:rPr>
            <w:t>(Capell, 2004)</w:t>
          </w:r>
          <w:r>
            <w:rPr>
              <w:noProof/>
            </w:rPr>
            <w:fldChar w:fldCharType="end"/>
          </w:r>
        </w:sdtContent>
      </w:sdt>
      <w:r>
        <w:t>.</w:t>
      </w:r>
    </w:p>
  </w:endnote>
  <w:endnote w:id="103">
    <w:p w14:paraId="5D930B2A" w14:textId="77777777" w:rsidR="009D5946" w:rsidRDefault="009D5946">
      <w:pPr>
        <w:pStyle w:val="EndnoteText"/>
      </w:pPr>
      <w:r>
        <w:rPr>
          <w:rStyle w:val="EndnoteReference"/>
        </w:rPr>
        <w:endnoteRef/>
      </w:r>
      <w:r>
        <w:t xml:space="preserve"> Karl Case</w:t>
      </w:r>
      <w:r>
        <w:fldChar w:fldCharType="begin"/>
      </w:r>
      <w:r>
        <w:instrText xml:space="preserve"> XE "</w:instrText>
      </w:r>
      <w:r w:rsidRPr="00D83148">
        <w:rPr>
          <w:rFonts w:cs="Times New Roman"/>
        </w:rPr>
        <w:instrText>Karl Case</w:instrText>
      </w:r>
      <w:r>
        <w:instrText xml:space="preserve">" </w:instrText>
      </w:r>
      <w:r>
        <w:fldChar w:fldCharType="end"/>
      </w:r>
      <w:r>
        <w:t xml:space="preserve"> and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noted </w:t>
      </w:r>
      <w:sdt>
        <w:sdtPr>
          <w:id w:val="32672935"/>
          <w:citation/>
        </w:sdtPr>
        <w:sdtContent>
          <w:r>
            <w:fldChar w:fldCharType="begin"/>
          </w:r>
          <w:r>
            <w:instrText xml:space="preserve"> CITATION Kar88 \l 1033  </w:instrText>
          </w:r>
          <w:r>
            <w:fldChar w:fldCharType="separate"/>
          </w:r>
          <w:r>
            <w:rPr>
              <w:noProof/>
            </w:rPr>
            <w:t>(Case &amp; Shiller, The Behavior of Home Buyers in Boom and Post-Boom Markets, 1988)</w:t>
          </w:r>
          <w:r>
            <w:rPr>
              <w:noProof/>
            </w:rPr>
            <w:fldChar w:fldCharType="end"/>
          </w:r>
        </w:sdtContent>
      </w:sdt>
      <w:r>
        <w:t xml:space="preserve"> that prices in the early 80s leveled off, but they did not decline at the conclusion of the first California housing bubble of the late 1970s. This convinced people that prices could not decline and that if they just waited long enough prices would come back. This belief caused people to bid up prices even higher in the coastal bubble of the late 1980s. When the decline of that bubble (25%) was forgotten, market participants inflated the Great Housing Bubble.</w:t>
      </w:r>
    </w:p>
  </w:endnote>
  <w:endnote w:id="104">
    <w:p w14:paraId="6D203075" w14:textId="77777777" w:rsidR="009D5946" w:rsidRDefault="009D5946">
      <w:pPr>
        <w:pStyle w:val="EndnoteText"/>
      </w:pPr>
      <w:r>
        <w:rPr>
          <w:rStyle w:val="EndnoteReference"/>
        </w:rPr>
        <w:endnoteRef/>
      </w:r>
      <w:r>
        <w:t xml:space="preserve"> In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’s studies, very few market participants said they would lower their prices until they found a buyer </w:t>
      </w:r>
      <w:sdt>
        <w:sdtPr>
          <w:id w:val="32672934"/>
          <w:citation/>
        </w:sdtPr>
        <w:sdtContent>
          <w:r>
            <w:fldChar w:fldCharType="begin"/>
          </w:r>
          <w:r>
            <w:instrText xml:space="preserve"> CITATION Kar88 \l 1033  </w:instrText>
          </w:r>
          <w:r>
            <w:fldChar w:fldCharType="separate"/>
          </w:r>
          <w:r>
            <w:rPr>
              <w:noProof/>
            </w:rPr>
            <w:t>(Case &amp; Shiller, The Behavior of Home Buyers in Boom and Post-Boom Markets, 1988)</w:t>
          </w:r>
          <w:r>
            <w:rPr>
              <w:noProof/>
            </w:rPr>
            <w:fldChar w:fldCharType="end"/>
          </w:r>
        </w:sdtContent>
      </w:sdt>
      <w:r>
        <w:t>.</w:t>
      </w:r>
    </w:p>
  </w:endnote>
  <w:endnote w:id="105">
    <w:p w14:paraId="06EFEF6B" w14:textId="77777777" w:rsidR="009D5946" w:rsidRDefault="009D5946">
      <w:pPr>
        <w:pStyle w:val="EndnoteText"/>
      </w:pPr>
      <w:r>
        <w:rPr>
          <w:rStyle w:val="EndnoteReference"/>
        </w:rPr>
        <w:endnoteRef/>
      </w:r>
      <w:r>
        <w:t xml:space="preserve"> </w:t>
      </w:r>
      <w:sdt>
        <w:sdtPr>
          <w:id w:val="32672933"/>
          <w:citation/>
        </w:sdtPr>
        <w:sdtContent>
          <w:r>
            <w:fldChar w:fldCharType="begin"/>
          </w:r>
          <w:r>
            <w:instrText xml:space="preserve"> CITATION Geo50 \l 1033 </w:instrText>
          </w:r>
          <w:r>
            <w:fldChar w:fldCharType="separate"/>
          </w:r>
          <w:r>
            <w:rPr>
              <w:noProof/>
            </w:rPr>
            <w:t>(Orwell, 1950)</w:t>
          </w:r>
          <w:r>
            <w:rPr>
              <w:noProof/>
            </w:rPr>
            <w:fldChar w:fldCharType="end"/>
          </w:r>
        </w:sdtContent>
      </w:sdt>
    </w:p>
  </w:endnote>
  <w:endnote w:id="106">
    <w:p w14:paraId="3DC0998A" w14:textId="77777777" w:rsidR="009D5946" w:rsidRDefault="009D5946">
      <w:pPr>
        <w:pStyle w:val="EndnoteText"/>
      </w:pPr>
      <w:r>
        <w:rPr>
          <w:rStyle w:val="EndnoteReference"/>
        </w:rPr>
        <w:endnoteRef/>
      </w:r>
      <w:r>
        <w:t xml:space="preserve"> Vernon L. Smith noted in Human Nature: An Economic Perspective that “We should all love rich people, because they consume such a small percentage of their accumulation, leaving almost all of it to work in the economy and make the rest of us better off.” </w:t>
      </w:r>
      <w:sdt>
        <w:sdtPr>
          <w:id w:val="32672932"/>
          <w:citation/>
        </w:sdtPr>
        <w:sdtContent>
          <w:r>
            <w:fldChar w:fldCharType="begin"/>
          </w:r>
          <w:r>
            <w:instrText xml:space="preserve"> CITATION Ver04 \l 1033 </w:instrText>
          </w:r>
          <w:r>
            <w:fldChar w:fldCharType="separate"/>
          </w:r>
          <w:r>
            <w:rPr>
              <w:noProof/>
            </w:rPr>
            <w:t>(Smith, Human Nature: An Economic Perspective, 2004)</w:t>
          </w:r>
          <w:r>
            <w:rPr>
              <w:noProof/>
            </w:rPr>
            <w:fldChar w:fldCharType="end"/>
          </w:r>
        </w:sdtContent>
      </w:sdt>
    </w:p>
  </w:endnote>
  <w:endnote w:id="107">
    <w:p w14:paraId="20CF096B" w14:textId="77777777" w:rsidR="009D5946" w:rsidRDefault="009D5946">
      <w:pPr>
        <w:pStyle w:val="EndnoteText"/>
      </w:pPr>
      <w:r>
        <w:rPr>
          <w:rStyle w:val="EndnoteReference"/>
        </w:rPr>
        <w:endnoteRef/>
      </w:r>
      <w:r>
        <w:t xml:space="preserve"> Newspapers frequently print stories of lottery winners who spent all their winnings or were unhappy after the windfall </w:t>
      </w:r>
      <w:sdt>
        <w:sdtPr>
          <w:id w:val="32672930"/>
          <w:citation/>
        </w:sdtPr>
        <w:sdtContent>
          <w:r>
            <w:fldChar w:fldCharType="begin"/>
          </w:r>
          <w:r>
            <w:instrText xml:space="preserve"> CITATION Les02 \l 1033 </w:instrText>
          </w:r>
          <w:r>
            <w:fldChar w:fldCharType="separate"/>
          </w:r>
          <w:r>
            <w:rPr>
              <w:noProof/>
            </w:rPr>
            <w:t>(Geary, 2002)</w:t>
          </w:r>
          <w:r>
            <w:rPr>
              <w:noProof/>
            </w:rPr>
            <w:fldChar w:fldCharType="end"/>
          </w:r>
        </w:sdtContent>
      </w:sdt>
      <w:sdt>
        <w:sdtPr>
          <w:id w:val="32672931"/>
          <w:citation/>
        </w:sdtPr>
        <w:sdtContent>
          <w:r>
            <w:fldChar w:fldCharType="begin"/>
          </w:r>
          <w:r>
            <w:instrText xml:space="preserve"> CITATION Par06 \l 1033 </w:instrText>
          </w:r>
          <w:r>
            <w:fldChar w:fldCharType="separate"/>
          </w:r>
          <w:r>
            <w:rPr>
              <w:noProof/>
            </w:rPr>
            <w:t xml:space="preserve"> (Sullivan, 2006)</w:t>
          </w:r>
          <w:r>
            <w:rPr>
              <w:noProof/>
            </w:rPr>
            <w:fldChar w:fldCharType="end"/>
          </w:r>
        </w:sdtContent>
      </w:sdt>
      <w:r>
        <w:t>.</w:t>
      </w:r>
    </w:p>
  </w:endnote>
  <w:endnote w:id="108">
    <w:p w14:paraId="41A90FE2" w14:textId="77777777" w:rsidR="009D5946" w:rsidRDefault="009D5946">
      <w:pPr>
        <w:pStyle w:val="EndnoteText"/>
      </w:pPr>
      <w:r>
        <w:rPr>
          <w:rStyle w:val="EndnoteReference"/>
        </w:rPr>
        <w:endnoteRef/>
      </w:r>
      <w:r>
        <w:t xml:space="preserve"> Karl Case</w:t>
      </w:r>
      <w:r>
        <w:fldChar w:fldCharType="begin"/>
      </w:r>
      <w:r>
        <w:instrText xml:space="preserve"> XE "</w:instrText>
      </w:r>
      <w:r w:rsidRPr="00D83148">
        <w:rPr>
          <w:rFonts w:cs="Times New Roman"/>
        </w:rPr>
        <w:instrText>Karl Case</w:instrText>
      </w:r>
      <w:r>
        <w:instrText xml:space="preserve">" </w:instrText>
      </w:r>
      <w:r>
        <w:fldChar w:fldCharType="end"/>
      </w:r>
      <w:r>
        <w:t xml:space="preserve"> and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noted </w:t>
      </w:r>
      <w:sdt>
        <w:sdtPr>
          <w:id w:val="32672929"/>
          <w:citation/>
        </w:sdtPr>
        <w:sdtContent>
          <w:r>
            <w:fldChar w:fldCharType="begin"/>
          </w:r>
          <w:r>
            <w:instrText xml:space="preserve"> CITATION Kar04 \l 1033  </w:instrText>
          </w:r>
          <w:r>
            <w:fldChar w:fldCharType="separate"/>
          </w:r>
          <w:r>
            <w:rPr>
              <w:noProof/>
            </w:rPr>
            <w:t>(Case &amp; Shiller, Is There a Bubble in the Housing Market, 2004)</w:t>
          </w:r>
          <w:r>
            <w:rPr>
              <w:noProof/>
            </w:rPr>
            <w:fldChar w:fldCharType="end"/>
          </w:r>
        </w:sdtContent>
      </w:sdt>
      <w:r>
        <w:t xml:space="preserve"> that Wisconsin had almost no volatility in the ratio of house price to income whereas the coastal bubble markets have price volatility</w:t>
      </w:r>
      <w:r>
        <w:fldChar w:fldCharType="begin"/>
      </w:r>
      <w:r>
        <w:instrText xml:space="preserve"> XE "</w:instrText>
      </w:r>
      <w:r w:rsidRPr="004A1A9F">
        <w:rPr>
          <w:rFonts w:cs="Times New Roman"/>
        </w:rPr>
        <w:instrText>price volatility</w:instrText>
      </w:r>
      <w:r>
        <w:instrText xml:space="preserve">" </w:instrText>
      </w:r>
      <w:r>
        <w:fldChar w:fldCharType="end"/>
      </w:r>
      <w:r>
        <w:t xml:space="preserve"> where income only explains about half of the movement in price seen over longer terms.</w:t>
      </w:r>
    </w:p>
  </w:endnote>
  <w:endnote w:id="109">
    <w:p w14:paraId="0DD32BEB" w14:textId="77777777" w:rsidR="009D5946" w:rsidRDefault="009D5946" w:rsidP="001C7E25">
      <w:pPr>
        <w:pStyle w:val="EndnoteText"/>
        <w:spacing w:after="0"/>
      </w:pPr>
      <w:r>
        <w:rPr>
          <w:rStyle w:val="EndnoteReference"/>
        </w:rPr>
        <w:endnoteRef/>
      </w:r>
      <w:r>
        <w:t xml:space="preserve"> Median income information is available from the US Census Bureau: </w:t>
      </w:r>
    </w:p>
    <w:p w14:paraId="79488F8A" w14:textId="77777777" w:rsidR="009D5946" w:rsidRDefault="009D5946" w:rsidP="001C7E25">
      <w:pPr>
        <w:pStyle w:val="EndnoteText"/>
        <w:ind w:firstLine="0"/>
      </w:pPr>
      <w:r w:rsidRPr="00BB0DEE">
        <w:t>http://www.census.gov/hhes/www/income/income.html</w:t>
      </w:r>
    </w:p>
  </w:endnote>
  <w:endnote w:id="110">
    <w:p w14:paraId="6FB791AC" w14:textId="77777777" w:rsidR="009D5946" w:rsidRDefault="009D5946" w:rsidP="0035183E">
      <w:pPr>
        <w:pStyle w:val="EndnoteText"/>
      </w:pPr>
      <w:r>
        <w:rPr>
          <w:rStyle w:val="EndnoteReference"/>
        </w:rPr>
        <w:endnoteRef/>
      </w:r>
      <w:r>
        <w:t xml:space="preserve"> Median home sales price from US Census Bureau.</w:t>
      </w:r>
    </w:p>
  </w:endnote>
  <w:endnote w:id="111">
    <w:p w14:paraId="705C6CF1" w14:textId="77777777" w:rsidR="009D5946" w:rsidRDefault="009D5946">
      <w:pPr>
        <w:pStyle w:val="EndnoteText"/>
      </w:pPr>
      <w:r>
        <w:rPr>
          <w:rStyle w:val="EndnoteReference"/>
        </w:rPr>
        <w:endnoteRef/>
      </w:r>
      <w:r>
        <w:t xml:space="preserve"> Data for the California market is from DataQuick Information Systems and the California Association of Realtors</w:t>
      </w:r>
      <w:r>
        <w:fldChar w:fldCharType="begin"/>
      </w:r>
      <w:r>
        <w:instrText xml:space="preserve"> XE "</w:instrText>
      </w:r>
      <w:r w:rsidRPr="00957A14">
        <w:rPr>
          <w:rFonts w:cs="Times New Roman"/>
        </w:rPr>
        <w:instrText>Realtors</w:instrText>
      </w:r>
      <w:r>
        <w:instrText xml:space="preserve">" </w:instrText>
      </w:r>
      <w:r>
        <w:fldChar w:fldCharType="end"/>
      </w:r>
      <w:r>
        <w:t>.</w:t>
      </w:r>
    </w:p>
  </w:endnote>
  <w:endnote w:id="112">
    <w:p w14:paraId="24CC4453" w14:textId="77777777" w:rsidR="009D5946" w:rsidRDefault="009D5946">
      <w:pPr>
        <w:pStyle w:val="EndnoteText"/>
      </w:pPr>
      <w:r>
        <w:rPr>
          <w:rStyle w:val="EndnoteReference"/>
        </w:rPr>
        <w:endnoteRef/>
      </w:r>
      <w:r>
        <w:t xml:space="preserve"> BusinessWeek wrote one of the finest articles on the mortgage problem in 2006. In it they reference the now infamous Map of Misery showing the distribution of Option ARMs throughout the United States. The source of their data is not given. The data presented in this work on the loans in Minnetonka, MN and Orange County</w:t>
      </w:r>
      <w:r>
        <w:fldChar w:fldCharType="begin"/>
      </w:r>
      <w:r>
        <w:instrText xml:space="preserve"> XE "</w:instrText>
      </w:r>
      <w:r w:rsidRPr="0005034B">
        <w:rPr>
          <w:rFonts w:cs="Times New Roman"/>
        </w:rPr>
        <w:instrText>Orange County</w:instrText>
      </w:r>
      <w:r>
        <w:instrText xml:space="preserve">" </w:instrText>
      </w:r>
      <w:r>
        <w:fldChar w:fldCharType="end"/>
      </w:r>
      <w:r>
        <w:t>, California, come from this map. Two of the most moronic lender statements of the housing bubble are in the article’s final paragraph, “</w:t>
      </w:r>
      <w:r w:rsidRPr="009E008D">
        <w:t>Analyst Frederick Cannon of Keefe Bruyette &amp; Woods says most banks don't apologize for their option ARM businesses.</w:t>
      </w:r>
      <w:r>
        <w:t xml:space="preserve"> ’</w:t>
      </w:r>
      <w:r w:rsidRPr="009E008D">
        <w:t>Almost without exception everyone says [the option ARM] is a great loan, it's plen</w:t>
      </w:r>
      <w:r>
        <w:t>ty regulated, and don't bug us,’</w:t>
      </w:r>
      <w:r w:rsidRPr="009E008D">
        <w:t xml:space="preserve"> he says. In an April letter to regulators, Cindy Manzettie, chief credit officer for Fifth Third Bank in Cincinnati, said it's not the </w:t>
      </w:r>
      <w:r>
        <w:t>‘</w:t>
      </w:r>
      <w:r w:rsidRPr="009E008D">
        <w:t>lender's responsibility to help the consumer determine the appropriate payment option each month.... Paternalistic regulations that underestimate the intelligence of the A</w:t>
      </w:r>
      <w:r>
        <w:t>merican public do not work.’” Those statements are wrong on every point, but they do serve to illustrate the mindset of lenders during the bubble.</w:t>
      </w:r>
    </w:p>
  </w:endnote>
  <w:endnote w:id="113">
    <w:p w14:paraId="4B65F7D9" w14:textId="77777777" w:rsidR="009D5946" w:rsidRDefault="009D5946">
      <w:pPr>
        <w:pStyle w:val="EndnoteText"/>
      </w:pPr>
      <w:r>
        <w:rPr>
          <w:rStyle w:val="EndnoteReference"/>
        </w:rPr>
        <w:endnoteRef/>
      </w:r>
      <w:r>
        <w:t xml:space="preserve"> Charles Ponzi</w:t>
      </w:r>
      <w:r>
        <w:fldChar w:fldCharType="begin"/>
      </w:r>
      <w:r>
        <w:instrText xml:space="preserve"> XE "</w:instrText>
      </w:r>
      <w:r w:rsidRPr="00071879">
        <w:rPr>
          <w:rFonts w:cs="Times New Roman"/>
        </w:rPr>
        <w:instrText>Charles Ponzi</w:instrText>
      </w:r>
      <w:r>
        <w:instrText xml:space="preserve">" </w:instrText>
      </w:r>
      <w:r>
        <w:fldChar w:fldCharType="end"/>
      </w:r>
      <w:r>
        <w:t xml:space="preserve"> was an Italian immigrant who arrived in the United States in 1903. He was a consummate schemer and tried numerous get-rich-quick schemes. He hit the con-man’s jackpot in 1920 with a scheme involving </w:t>
      </w:r>
      <w:r w:rsidRPr="00657106">
        <w:t>international postal reply coupons</w:t>
      </w:r>
      <w:r>
        <w:t xml:space="preserve">. When the structure collapsed, Ponzi paid out all his gains and ended up penniless. He was sentenced to prison in 1921 for mail fraud. </w:t>
      </w:r>
      <w:sdt>
        <w:sdtPr>
          <w:id w:val="32672926"/>
          <w:citation/>
        </w:sdtPr>
        <w:sdtContent>
          <w:r>
            <w:fldChar w:fldCharType="begin"/>
          </w:r>
          <w:r>
            <w:instrText xml:space="preserve"> CITATION Mit05 \l 1033 </w:instrText>
          </w:r>
          <w:r>
            <w:fldChar w:fldCharType="separate"/>
          </w:r>
          <w:r>
            <w:rPr>
              <w:noProof/>
            </w:rPr>
            <w:t>(Zuckoff, 2005)</w:t>
          </w:r>
          <w:r>
            <w:rPr>
              <w:noProof/>
            </w:rPr>
            <w:fldChar w:fldCharType="end"/>
          </w:r>
        </w:sdtContent>
      </w:sdt>
    </w:p>
  </w:endnote>
  <w:endnote w:id="114">
    <w:p w14:paraId="21E2158D" w14:textId="77777777" w:rsidR="009D5946" w:rsidRDefault="009D5946" w:rsidP="0035183E">
      <w:pPr>
        <w:pStyle w:val="EndnoteText"/>
      </w:pPr>
      <w:r>
        <w:rPr>
          <w:rStyle w:val="EndnoteReference"/>
        </w:rPr>
        <w:endnoteRef/>
      </w:r>
      <w:r>
        <w:t xml:space="preserve"> Hyman Minsky</w:t>
      </w:r>
      <w:r>
        <w:fldChar w:fldCharType="begin"/>
      </w:r>
      <w:r>
        <w:instrText xml:space="preserve"> XE "</w:instrText>
      </w:r>
      <w:r w:rsidRPr="00A57389">
        <w:rPr>
          <w:rFonts w:cs="Times New Roman"/>
        </w:rPr>
        <w:instrText>Hyman Minsky</w:instrText>
      </w:r>
      <w:r>
        <w:instrText xml:space="preserve">" </w:instrText>
      </w:r>
      <w:r>
        <w:fldChar w:fldCharType="end"/>
      </w:r>
      <w:r>
        <w:t xml:space="preserve"> was a controversial economist of the late 20</w:t>
      </w:r>
      <w:r w:rsidRPr="00ED6CF0">
        <w:rPr>
          <w:vertAlign w:val="superscript"/>
        </w:rPr>
        <w:t>th</w:t>
      </w:r>
      <w:r>
        <w:t xml:space="preserve"> century. He wrote extensively as a professor of economics at </w:t>
      </w:r>
      <w:r w:rsidRPr="00ED6CF0">
        <w:t>Washington University in St. Louis</w:t>
      </w:r>
      <w:r>
        <w:t xml:space="preserve">. </w:t>
      </w:r>
      <w:sdt>
        <w:sdtPr>
          <w:id w:val="32672927"/>
          <w:citation/>
        </w:sdtPr>
        <w:sdtContent>
          <w:r>
            <w:fldChar w:fldCharType="begin"/>
          </w:r>
          <w:r>
            <w:instrText xml:space="preserve"> CITATION Hym82 \l 1033 </w:instrText>
          </w:r>
          <w:r>
            <w:fldChar w:fldCharType="separate"/>
          </w:r>
          <w:r>
            <w:rPr>
              <w:noProof/>
            </w:rPr>
            <w:t>(Minsky, Can "It" Happen Again? Essays on Instability and Finance, 1982)</w:t>
          </w:r>
          <w:r>
            <w:rPr>
              <w:noProof/>
            </w:rPr>
            <w:fldChar w:fldCharType="end"/>
          </w:r>
        </w:sdtContent>
      </w:sdt>
      <w:sdt>
        <w:sdtPr>
          <w:id w:val="32672928"/>
          <w:citation/>
        </w:sdtPr>
        <w:sdtContent>
          <w:r>
            <w:fldChar w:fldCharType="begin"/>
          </w:r>
          <w:r>
            <w:instrText xml:space="preserve"> CITATION Hym08 \l 1033 </w:instrText>
          </w:r>
          <w:r>
            <w:fldChar w:fldCharType="separate"/>
          </w:r>
          <w:r>
            <w:rPr>
              <w:noProof/>
            </w:rPr>
            <w:t xml:space="preserve"> (Minsky, Stablizing an Unstable Economy, 2008)</w:t>
          </w:r>
          <w:r>
            <w:rPr>
              <w:noProof/>
            </w:rPr>
            <w:fldChar w:fldCharType="end"/>
          </w:r>
        </w:sdtContent>
      </w:sdt>
      <w:r>
        <w:t xml:space="preserve"> As the Great Housing Bubble began to deflate, the causes were readily identified in Minsky’s work from decades earlier. His writings rose from obscurity and attained a new prominence due to his prescience. </w:t>
      </w:r>
    </w:p>
  </w:endnote>
  <w:endnote w:id="115">
    <w:p w14:paraId="79619444" w14:textId="77777777" w:rsidR="009D5946" w:rsidRDefault="009D5946">
      <w:pPr>
        <w:pStyle w:val="EndnoteText"/>
      </w:pPr>
      <w:r>
        <w:rPr>
          <w:rStyle w:val="EndnoteReference"/>
        </w:rPr>
        <w:endnoteRef/>
      </w:r>
      <w:r>
        <w:t xml:space="preserve"> Todd Sinai in his paper, The Inequity of Subprime</w:t>
      </w:r>
      <w:r>
        <w:fldChar w:fldCharType="begin"/>
      </w:r>
      <w:r>
        <w:instrText xml:space="preserve"> XE "</w:instrText>
      </w:r>
      <w:r w:rsidRPr="007B2D35">
        <w:rPr>
          <w:rFonts w:cs="Times New Roman"/>
        </w:rPr>
        <w:instrText>Subprime</w:instrText>
      </w:r>
      <w:r>
        <w:instrText xml:space="preserve">" </w:instrText>
      </w:r>
      <w:r>
        <w:fldChar w:fldCharType="end"/>
      </w:r>
      <w:r>
        <w:t xml:space="preserve"> Mortgage Relief Programs </w:t>
      </w:r>
      <w:sdt>
        <w:sdtPr>
          <w:id w:val="32672925"/>
          <w:citation/>
        </w:sdtPr>
        <w:sdtContent>
          <w:r>
            <w:fldChar w:fldCharType="begin"/>
          </w:r>
          <w:r>
            <w:instrText xml:space="preserve"> CITATION Tod08 \l 1033 </w:instrText>
          </w:r>
          <w:r>
            <w:fldChar w:fldCharType="separate"/>
          </w:r>
          <w:r>
            <w:rPr>
              <w:noProof/>
            </w:rPr>
            <w:t>(Sinai, 2008)</w:t>
          </w:r>
          <w:r>
            <w:rPr>
              <w:noProof/>
            </w:rPr>
            <w:fldChar w:fldCharType="end"/>
          </w:r>
        </w:sdtContent>
      </w:sdt>
      <w:r>
        <w:t>, documented the moral hazards involved with the various programs in the public forum of the time. He accurately characterized the problem as follows, “</w:t>
      </w:r>
      <w:r w:rsidRPr="00410943">
        <w:t>These programs may help some borrowers, but they do not bestow these benefits equitably. Some reward those who made riskier decisions over those who made prudent decisions, exclude those who live in states that experienced an early economic downturn, benefit those with high incomes at the expense of others, and spread the costs of the program among all taxpayers or future borrowers – regardless of whether they benefit from the proposals.</w:t>
      </w:r>
      <w:r>
        <w:t>”</w:t>
      </w:r>
    </w:p>
  </w:endnote>
  <w:endnote w:id="116">
    <w:p w14:paraId="2F81F0F0" w14:textId="77777777" w:rsidR="009D5946" w:rsidRDefault="009D5946" w:rsidP="00495DA8">
      <w:pPr>
        <w:pStyle w:val="EndnoteText"/>
      </w:pPr>
      <w:r>
        <w:rPr>
          <w:rStyle w:val="EndnoteReference"/>
        </w:rPr>
        <w:endnoteRef/>
      </w:r>
      <w:r>
        <w:t xml:space="preserve"> The Hope Now</w:t>
      </w:r>
      <w:r>
        <w:fldChar w:fldCharType="begin"/>
      </w:r>
      <w:r>
        <w:instrText xml:space="preserve"> XE "</w:instrText>
      </w:r>
      <w:r w:rsidRPr="006B794A">
        <w:rPr>
          <w:rFonts w:cs="Times New Roman"/>
        </w:rPr>
        <w:instrText>Hope Now</w:instrText>
      </w:r>
      <w:r>
        <w:instrText xml:space="preserve">" </w:instrText>
      </w:r>
      <w:r>
        <w:fldChar w:fldCharType="end"/>
      </w:r>
      <w:r>
        <w:t xml:space="preserve"> Alliance website address is </w:t>
      </w:r>
      <w:r w:rsidRPr="00DE27B2">
        <w:t>http://www.hopenow.com/</w:t>
      </w:r>
      <w:r>
        <w:t xml:space="preserve">. </w:t>
      </w:r>
    </w:p>
  </w:endnote>
  <w:endnote w:id="117">
    <w:p w14:paraId="2704E0CF" w14:textId="77777777" w:rsidR="009D5946" w:rsidRDefault="009D5946">
      <w:pPr>
        <w:pStyle w:val="EndnoteText"/>
      </w:pPr>
      <w:r>
        <w:rPr>
          <w:rStyle w:val="EndnoteReference"/>
        </w:rPr>
        <w:endnoteRef/>
      </w:r>
      <w:r>
        <w:t xml:space="preserve"> The Hope for Homeowners Act of 2008 was built on 5 principals: </w:t>
      </w:r>
      <w:r w:rsidRPr="00F918CA">
        <w:t>1. Long-term affordability</w:t>
      </w:r>
      <w:r>
        <w:fldChar w:fldCharType="begin"/>
      </w:r>
      <w:r>
        <w:instrText xml:space="preserve"> XE "</w:instrText>
      </w:r>
      <w:r w:rsidRPr="00373E58">
        <w:rPr>
          <w:rFonts w:cs="Times New Roman"/>
        </w:rPr>
        <w:instrText>affordability</w:instrText>
      </w:r>
      <w:r>
        <w:instrText xml:space="preserve">" </w:instrText>
      </w:r>
      <w:r>
        <w:fldChar w:fldCharType="end"/>
      </w:r>
      <w:r w:rsidRPr="00F918CA">
        <w:t>. The program is built on the idea, expressed by Federal Reserve</w:t>
      </w:r>
      <w:r>
        <w:fldChar w:fldCharType="begin"/>
      </w:r>
      <w:r>
        <w:instrText xml:space="preserve"> XE "</w:instrText>
      </w:r>
      <w:r w:rsidRPr="005F15E8">
        <w:rPr>
          <w:rFonts w:cs="Times New Roman"/>
        </w:rPr>
        <w:instrText>Federal Reserve</w:instrText>
      </w:r>
      <w:r>
        <w:instrText xml:space="preserve">" </w:instrText>
      </w:r>
      <w:r>
        <w:fldChar w:fldCharType="end"/>
      </w:r>
      <w:r w:rsidRPr="00F918CA">
        <w:t xml:space="preserve"> Chairman Bernanke, that creating new equity</w:t>
      </w:r>
      <w:r>
        <w:fldChar w:fldCharType="begin"/>
      </w:r>
      <w:r>
        <w:instrText xml:space="preserve"> XE "</w:instrText>
      </w:r>
      <w:r w:rsidRPr="008D3E1B">
        <w:rPr>
          <w:rFonts w:cs="Times New Roman"/>
        </w:rPr>
        <w:instrText>equity</w:instrText>
      </w:r>
      <w:r>
        <w:instrText xml:space="preserve">" </w:instrText>
      </w:r>
      <w:r>
        <w:fldChar w:fldCharType="end"/>
      </w:r>
      <w:r w:rsidRPr="00F918CA">
        <w:t xml:space="preserve"> for troubled homeowners is likely to be a more effective way to avoid foreclosures. New loans will be based on a family’s ability to repay the loan, ensuring affordability and sustainable homeownership. 2. No investor or lender bailout. Investors and/or lenders will have to take significant losses in order to benefit from the proceeds of the loans refinanced with government insurance. However, these losses would be less than the losses associated with foreclosure</w:t>
      </w:r>
      <w:r>
        <w:fldChar w:fldCharType="begin"/>
      </w:r>
      <w:r>
        <w:instrText xml:space="preserve"> XE "</w:instrText>
      </w:r>
      <w:r w:rsidRPr="00011F5A">
        <w:rPr>
          <w:rFonts w:cs="Times New Roman"/>
        </w:rPr>
        <w:instrText>foreclosure</w:instrText>
      </w:r>
      <w:r>
        <w:instrText xml:space="preserve">" </w:instrText>
      </w:r>
      <w:r>
        <w:fldChar w:fldCharType="end"/>
      </w:r>
      <w:r w:rsidRPr="00F918CA">
        <w:t>. 3. No windfall for borrowers. Borrowers will share their new equity and future appreciation</w:t>
      </w:r>
      <w:r>
        <w:fldChar w:fldCharType="begin"/>
      </w:r>
      <w:r>
        <w:instrText xml:space="preserve"> XE "</w:instrText>
      </w:r>
      <w:r w:rsidRPr="009C5D12">
        <w:rPr>
          <w:rFonts w:cs="Times New Roman"/>
        </w:rPr>
        <w:instrText>appreciation</w:instrText>
      </w:r>
      <w:r>
        <w:instrText xml:space="preserve">" </w:instrText>
      </w:r>
      <w:r>
        <w:fldChar w:fldCharType="end"/>
      </w:r>
      <w:r w:rsidRPr="00F918CA">
        <w:t xml:space="preserve"> equally with FHA</w:t>
      </w:r>
      <w:r>
        <w:fldChar w:fldCharType="begin"/>
      </w:r>
      <w:r>
        <w:instrText xml:space="preserve"> XE "</w:instrText>
      </w:r>
      <w:r w:rsidRPr="00EA0044">
        <w:rPr>
          <w:rFonts w:cs="Times New Roman"/>
        </w:rPr>
        <w:instrText>FHA</w:instrText>
      </w:r>
      <w:r>
        <w:instrText xml:space="preserve">" </w:instrText>
      </w:r>
      <w:r>
        <w:fldChar w:fldCharType="end"/>
      </w:r>
      <w:r w:rsidRPr="00F918CA">
        <w:t>. Borrowers will pay for the FHA insurance. 4. Voluntary participation. This will be a voluntary program. No lenders, servicers, or investors will be compelled to participate. 5. Restore confidence, liquidity</w:t>
      </w:r>
      <w:r>
        <w:fldChar w:fldCharType="begin"/>
      </w:r>
      <w:r>
        <w:instrText xml:space="preserve"> XE "</w:instrText>
      </w:r>
      <w:r w:rsidRPr="00EE5CBF">
        <w:rPr>
          <w:rFonts w:cs="Times New Roman"/>
        </w:rPr>
        <w:instrText>liquidity</w:instrText>
      </w:r>
      <w:r>
        <w:instrText xml:space="preserve">" </w:instrText>
      </w:r>
      <w:r>
        <w:fldChar w:fldCharType="end"/>
      </w:r>
      <w:r w:rsidRPr="00F918CA">
        <w:t>, and transparency. Credit markets are fearful and frozen in part because banks and other financial institutions do not know what their subprime mortgages and related securities are worth. The uncertainty is forcing lenders to hoard capital and stop the lending necessary for economic growth. This program will help restore confidence and get markets flowing again.</w:t>
      </w:r>
    </w:p>
  </w:endnote>
  <w:endnote w:id="118">
    <w:p w14:paraId="013132D4" w14:textId="77777777" w:rsidR="009D5946" w:rsidRDefault="009D5946">
      <w:pPr>
        <w:pStyle w:val="EndnoteText"/>
      </w:pPr>
      <w:r>
        <w:rPr>
          <w:rStyle w:val="EndnoteReference"/>
        </w:rPr>
        <w:endnoteRef/>
      </w:r>
      <w:r>
        <w:t xml:space="preserve"> </w:t>
      </w:r>
      <w:sdt>
        <w:sdtPr>
          <w:id w:val="32672922"/>
          <w:citation/>
        </w:sdtPr>
        <w:sdtContent>
          <w:r>
            <w:fldChar w:fldCharType="begin"/>
          </w:r>
          <w:r>
            <w:instrText xml:space="preserve"> CITATION Fra46 \l 1033 </w:instrText>
          </w:r>
          <w:r>
            <w:fldChar w:fldCharType="separate"/>
          </w:r>
          <w:r>
            <w:rPr>
              <w:noProof/>
            </w:rPr>
            <w:t>(Capra, 1946)</w:t>
          </w:r>
          <w:r>
            <w:rPr>
              <w:noProof/>
            </w:rPr>
            <w:fldChar w:fldCharType="end"/>
          </w:r>
        </w:sdtContent>
      </w:sdt>
    </w:p>
  </w:endnote>
  <w:endnote w:id="119">
    <w:p w14:paraId="5777A962" w14:textId="77777777" w:rsidR="009D5946" w:rsidRDefault="009D5946">
      <w:pPr>
        <w:pStyle w:val="EndnoteText"/>
      </w:pPr>
      <w:r>
        <w:rPr>
          <w:rStyle w:val="EndnoteReference"/>
        </w:rPr>
        <w:endnoteRef/>
      </w:r>
      <w:r>
        <w:t xml:space="preserve"> Since real estate is associated with high transaction costs</w:t>
      </w:r>
      <w:r>
        <w:fldChar w:fldCharType="begin"/>
      </w:r>
      <w:r>
        <w:instrText xml:space="preserve"> XE "</w:instrText>
      </w:r>
      <w:r w:rsidRPr="00C05FDB">
        <w:rPr>
          <w:rFonts w:cs="Times New Roman"/>
        </w:rPr>
        <w:instrText>transaction costs</w:instrText>
      </w:r>
      <w:r>
        <w:instrText xml:space="preserve">" </w:instrText>
      </w:r>
      <w:r>
        <w:fldChar w:fldCharType="end"/>
      </w:r>
      <w:r>
        <w:t xml:space="preserve">, heterogeneity and illiquidity, there is little opportunity for arbitrage </w:t>
      </w:r>
      <w:sdt>
        <w:sdtPr>
          <w:id w:val="32672920"/>
          <w:citation/>
        </w:sdtPr>
        <w:sdtContent>
          <w:r>
            <w:fldChar w:fldCharType="begin"/>
          </w:r>
          <w:r>
            <w:instrText xml:space="preserve"> CITATION Ang06 \l 1033  </w:instrText>
          </w:r>
          <w:r>
            <w:fldChar w:fldCharType="separate"/>
          </w:r>
          <w:r>
            <w:rPr>
              <w:noProof/>
            </w:rPr>
            <w:t>(Black, Fraser, &amp; Hoesli, 2006)</w:t>
          </w:r>
          <w:r>
            <w:rPr>
              <w:noProof/>
            </w:rPr>
            <w:fldChar w:fldCharType="end"/>
          </w:r>
        </w:sdtContent>
      </w:sdt>
      <w:r>
        <w:t xml:space="preserve"> (An investor cannot sell a house short.) These factors cause house prices to correct slowly without large numbers of foreclosures.</w:t>
      </w:r>
    </w:p>
  </w:endnote>
  <w:endnote w:id="120">
    <w:p w14:paraId="24AA018D" w14:textId="77777777" w:rsidR="009D5946" w:rsidRDefault="009D5946">
      <w:pPr>
        <w:pStyle w:val="EndnoteText"/>
      </w:pPr>
      <w:r>
        <w:rPr>
          <w:rStyle w:val="EndnoteReference"/>
        </w:rPr>
        <w:endnoteRef/>
      </w:r>
      <w:r>
        <w:t xml:space="preserve"> Large variations in regional markets suggests the markets will deteriorate at different rates and at different times. </w:t>
      </w:r>
      <w:sdt>
        <w:sdtPr>
          <w:id w:val="32672921"/>
          <w:citation/>
        </w:sdtPr>
        <w:sdtContent>
          <w:r>
            <w:fldChar w:fldCharType="begin"/>
          </w:r>
          <w:r>
            <w:instrText xml:space="preserve"> CITATION Dea02 \l 1033 </w:instrText>
          </w:r>
          <w:r>
            <w:fldChar w:fldCharType="separate"/>
          </w:r>
          <w:r>
            <w:rPr>
              <w:noProof/>
            </w:rPr>
            <w:t>(Baker D. , 2002)</w:t>
          </w:r>
          <w:r>
            <w:rPr>
              <w:noProof/>
            </w:rPr>
            <w:fldChar w:fldCharType="end"/>
          </w:r>
        </w:sdtContent>
      </w:sdt>
      <w:r w:rsidRPr="00602526">
        <w:t xml:space="preserve"> </w:t>
      </w:r>
      <w:r>
        <w:t>The extreme bubble markets of the coasts will deteriorate the most, and they may deteriorate the fastest due to the profusion of exotic financing</w:t>
      </w:r>
      <w:r>
        <w:fldChar w:fldCharType="begin"/>
      </w:r>
      <w:r>
        <w:instrText xml:space="preserve"> XE "</w:instrText>
      </w:r>
      <w:r w:rsidRPr="00DC5992">
        <w:rPr>
          <w:rFonts w:cs="Times New Roman"/>
        </w:rPr>
        <w:instrText>exotic financing</w:instrText>
      </w:r>
      <w:r>
        <w:instrText xml:space="preserve">" </w:instrText>
      </w:r>
      <w:r>
        <w:fldChar w:fldCharType="end"/>
      </w:r>
      <w:r>
        <w:t>.</w:t>
      </w:r>
    </w:p>
  </w:endnote>
  <w:endnote w:id="121">
    <w:p w14:paraId="290A4136" w14:textId="77777777" w:rsidR="009D5946" w:rsidRDefault="009D5946" w:rsidP="00B44E66">
      <w:pPr>
        <w:pStyle w:val="EndnoteText"/>
      </w:pPr>
      <w:r>
        <w:rPr>
          <w:rStyle w:val="EndnoteReference"/>
        </w:rPr>
        <w:endnoteRef/>
      </w:r>
      <w:r>
        <w:t xml:space="preserve"> Rental data is from </w:t>
      </w:r>
      <w:r w:rsidRPr="00866CAA">
        <w:t>U.S. Department of Labor</w:t>
      </w:r>
      <w:r>
        <w:fldChar w:fldCharType="begin"/>
      </w:r>
      <w:r>
        <w:instrText xml:space="preserve"> XE "</w:instrText>
      </w:r>
      <w:r w:rsidRPr="0091021A">
        <w:rPr>
          <w:rFonts w:cs="Times New Roman"/>
        </w:rPr>
        <w:instrText>Department of Labor</w:instrText>
      </w:r>
      <w:r>
        <w:instrText xml:space="preserve">" </w:instrText>
      </w:r>
      <w:r>
        <w:fldChar w:fldCharType="end"/>
      </w:r>
      <w:r w:rsidRPr="00866CAA">
        <w:t xml:space="preserve"> Bureau of Labor Statistics</w:t>
      </w:r>
      <w:r>
        <w:fldChar w:fldCharType="begin"/>
      </w:r>
      <w:r>
        <w:instrText xml:space="preserve"> XE "</w:instrText>
      </w:r>
      <w:r w:rsidRPr="00945A6D">
        <w:rPr>
          <w:rFonts w:cs="Times New Roman"/>
        </w:rPr>
        <w:instrText>Bureau of Labor Statistics</w:instrText>
      </w:r>
      <w:r>
        <w:instrText xml:space="preserve">" </w:instrText>
      </w:r>
      <w:r>
        <w:fldChar w:fldCharType="end"/>
      </w:r>
      <w:r>
        <w:t>.</w:t>
      </w:r>
    </w:p>
  </w:endnote>
  <w:endnote w:id="122">
    <w:p w14:paraId="097476EF" w14:textId="77777777" w:rsidR="009D5946" w:rsidRDefault="009D5946" w:rsidP="0087538F">
      <w:pPr>
        <w:pStyle w:val="EndnoteText"/>
      </w:pPr>
      <w:r>
        <w:rPr>
          <w:rStyle w:val="EndnoteReference"/>
        </w:rPr>
        <w:endnoteRef/>
      </w:r>
      <w:r>
        <w:t xml:space="preserve"> Adam Posen wrote Why Central Banks Should Not Burst Bubbles. </w:t>
      </w:r>
      <w:sdt>
        <w:sdtPr>
          <w:id w:val="32672911"/>
          <w:citation/>
        </w:sdtPr>
        <w:sdtContent>
          <w:r>
            <w:fldChar w:fldCharType="begin"/>
          </w:r>
          <w:r>
            <w:instrText xml:space="preserve"> CITATION Ada06 \l 1033 </w:instrText>
          </w:r>
          <w:r>
            <w:fldChar w:fldCharType="separate"/>
          </w:r>
          <w:r>
            <w:rPr>
              <w:noProof/>
            </w:rPr>
            <w:t>(Posen A. , 2006)</w:t>
          </w:r>
          <w:r>
            <w:rPr>
              <w:noProof/>
            </w:rPr>
            <w:fldChar w:fldCharType="end"/>
          </w:r>
        </w:sdtContent>
      </w:sdt>
      <w:r>
        <w:t xml:space="preserve"> His conclusions are as follows, “</w:t>
      </w:r>
      <w:r w:rsidRPr="00297B80">
        <w:t>Central banks should not be in the business of trying to prick asset price bubbles. Bubbles generally arise out of some combination of irrational exuberance</w:t>
      </w:r>
      <w:r>
        <w:fldChar w:fldCharType="begin"/>
      </w:r>
      <w:r>
        <w:instrText xml:space="preserve"> XE "</w:instrText>
      </w:r>
      <w:r w:rsidRPr="00FD3A30">
        <w:rPr>
          <w:rFonts w:cs="Times New Roman"/>
        </w:rPr>
        <w:instrText>irrational exuberance</w:instrText>
      </w:r>
      <w:r>
        <w:instrText xml:space="preserve">" </w:instrText>
      </w:r>
      <w:r>
        <w:fldChar w:fldCharType="end"/>
      </w:r>
      <w:r w:rsidRPr="00297B80">
        <w:t>, technological jumps, and financial deregulation (with more of the second in equity</w:t>
      </w:r>
      <w:r>
        <w:fldChar w:fldCharType="begin"/>
      </w:r>
      <w:r>
        <w:instrText xml:space="preserve"> XE "</w:instrText>
      </w:r>
      <w:r w:rsidRPr="008D3E1B">
        <w:rPr>
          <w:rFonts w:cs="Times New Roman"/>
        </w:rPr>
        <w:instrText>equity</w:instrText>
      </w:r>
      <w:r>
        <w:instrText xml:space="preserve">" </w:instrText>
      </w:r>
      <w:r>
        <w:fldChar w:fldCharType="end"/>
      </w:r>
      <w:r w:rsidRPr="00297B80">
        <w:t xml:space="preserve"> price bubbles and more of the third in real estate booms). Accordingly, the connection between monetary conditions and the rise of bubbles is rather tenuous, and anything short of inducing a recession by tightening credit conditions prohibitively is unlikely to stem their rise. Even if a central bank were willing to take that one-in-three or less shot at cutting off a bubble, the cost-benefit analysis hardly justifies such preemptive action. The macroeconomic harm from a bubble bursting is generally a function of the financial system’s structure and stability</w:t>
      </w:r>
      <w:r>
        <w:t xml:space="preserve"> – </w:t>
      </w:r>
      <w:r w:rsidRPr="00297B80">
        <w:t>in modern economies with satisfactory bank supervision, the transmission of a negative shock from an asset price bust is relatively limited, as was seen in the United States in 2002. However, where financial fragility does exist, as in Japan in the 1990s, the costs of inducing a recession go up significantly, so the relative disadvantages of monetary preemption over letting the bubble run its course mount. In the end, there is no monetary substitute for financial stability, and no market substitute for monetary ease during severe credit crunch</w:t>
      </w:r>
      <w:r>
        <w:fldChar w:fldCharType="begin"/>
      </w:r>
      <w:r>
        <w:instrText xml:space="preserve"> XE "</w:instrText>
      </w:r>
      <w:r w:rsidRPr="00F6304A">
        <w:rPr>
          <w:rFonts w:cs="Times New Roman"/>
        </w:rPr>
        <w:instrText>credit crunch</w:instrText>
      </w:r>
      <w:r>
        <w:instrText xml:space="preserve">" </w:instrText>
      </w:r>
      <w:r>
        <w:fldChar w:fldCharType="end"/>
      </w:r>
      <w:r w:rsidRPr="00297B80">
        <w:t>. These two realities imply that the central bank should not take asset prices directly into account in monetary policymaking but should be anything but laissez-faire in responding to sharp movements in inflation and output, even if asset price swings are their source.</w:t>
      </w:r>
      <w:r>
        <w:t>” His argument is sound, but he does point out that if bubbles get too large, the fallout can be even more disastrous than attempts to restrain them. This argues against his central point, and the Japanese example does show what can happen if bubbles are allowed to get too large. Ben Bernanke</w:t>
      </w:r>
      <w:r>
        <w:fldChar w:fldCharType="begin"/>
      </w:r>
      <w:r>
        <w:instrText xml:space="preserve"> XE "</w:instrText>
      </w:r>
      <w:r w:rsidRPr="00EE313F">
        <w:rPr>
          <w:rFonts w:cs="Times New Roman"/>
        </w:rPr>
        <w:instrText>Ben Bernanke</w:instrText>
      </w:r>
      <w:r>
        <w:instrText xml:space="preserve">" </w:instrText>
      </w:r>
      <w:r>
        <w:fldChar w:fldCharType="end"/>
      </w:r>
      <w:r>
        <w:t xml:space="preserve"> also wrote a paper titled </w:t>
      </w:r>
      <w:r w:rsidRPr="004E0442">
        <w:t>Should Central Banks Respond to Movements in Asset Prices?</w:t>
      </w:r>
      <w:r>
        <w:t xml:space="preserve"> </w:t>
      </w:r>
      <w:sdt>
        <w:sdtPr>
          <w:id w:val="32672912"/>
          <w:citation/>
        </w:sdtPr>
        <w:sdtContent>
          <w:r>
            <w:fldChar w:fldCharType="begin"/>
          </w:r>
          <w:r>
            <w:instrText xml:space="preserve"> CITATION Ben00 \l 1033 </w:instrText>
          </w:r>
          <w:r>
            <w:fldChar w:fldCharType="separate"/>
          </w:r>
          <w:r>
            <w:rPr>
              <w:noProof/>
            </w:rPr>
            <w:t>(Bernanke &amp; Gertler, Should Central Banks Respond to Movements in Asset Prices?, 2000)</w:t>
          </w:r>
          <w:r>
            <w:rPr>
              <w:noProof/>
            </w:rPr>
            <w:fldChar w:fldCharType="end"/>
          </w:r>
        </w:sdtContent>
      </w:sdt>
      <w:r>
        <w:t>. He professes a belief that the activities of the Central Bank should not target asset prices, although his behavior as FED</w:t>
      </w:r>
      <w:r>
        <w:fldChar w:fldCharType="begin"/>
      </w:r>
      <w:r>
        <w:instrText xml:space="preserve"> XE "</w:instrText>
      </w:r>
      <w:r w:rsidRPr="00A95B0B">
        <w:rPr>
          <w:rFonts w:cs="Times New Roman"/>
        </w:rPr>
        <w:instrText>FED</w:instrText>
      </w:r>
      <w:r>
        <w:instrText xml:space="preserve">" </w:instrText>
      </w:r>
      <w:r>
        <w:fldChar w:fldCharType="end"/>
      </w:r>
      <w:r>
        <w:t xml:space="preserve"> chairman has been interpreted as an attempt to bolster market prices. In a later paper </w:t>
      </w:r>
      <w:sdt>
        <w:sdtPr>
          <w:id w:val="32672913"/>
          <w:citation/>
        </w:sdtPr>
        <w:sdtContent>
          <w:r>
            <w:fldChar w:fldCharType="begin"/>
          </w:r>
          <w:r>
            <w:instrText xml:space="preserve"> CITATION Ben02 \l 1033 </w:instrText>
          </w:r>
          <w:r>
            <w:fldChar w:fldCharType="separate"/>
          </w:r>
          <w:r>
            <w:rPr>
              <w:noProof/>
            </w:rPr>
            <w:t>(Bernanke &amp; Boivin, Monetary Policy in a Data-Rich Environment, 2002)</w:t>
          </w:r>
          <w:r>
            <w:rPr>
              <w:noProof/>
            </w:rPr>
            <w:fldChar w:fldCharType="end"/>
          </w:r>
        </w:sdtContent>
      </w:sdt>
      <w:r>
        <w:t xml:space="preserve"> Bernanke also explored the uses and aggregation of data by the Federal Reserve</w:t>
      </w:r>
      <w:r>
        <w:fldChar w:fldCharType="begin"/>
      </w:r>
      <w:r>
        <w:instrText xml:space="preserve"> XE "</w:instrText>
      </w:r>
      <w:r w:rsidRPr="005F15E8">
        <w:rPr>
          <w:rFonts w:cs="Times New Roman"/>
        </w:rPr>
        <w:instrText>Federal Reserve</w:instrText>
      </w:r>
      <w:r>
        <w:instrText xml:space="preserve">" </w:instrText>
      </w:r>
      <w:r>
        <w:fldChar w:fldCharType="end"/>
      </w:r>
      <w:r>
        <w:t>. He seemed to be preparing himself for the job of FED Chairman. The focus of policy debate and academic research in the wake of the Great Housing Bubble is likely to be the issue of asset bubbles</w:t>
      </w:r>
      <w:r>
        <w:fldChar w:fldCharType="begin"/>
      </w:r>
      <w:r>
        <w:instrText xml:space="preserve"> XE "</w:instrText>
      </w:r>
      <w:r w:rsidRPr="0063036B">
        <w:rPr>
          <w:rFonts w:cs="Times New Roman"/>
        </w:rPr>
        <w:instrText>asset bubbles</w:instrText>
      </w:r>
      <w:r>
        <w:instrText xml:space="preserve">" </w:instrText>
      </w:r>
      <w:r>
        <w:fldChar w:fldCharType="end"/>
      </w:r>
      <w:r>
        <w:t xml:space="preserve"> in general. Central Banks around the world learned how to control inflation in the 1980s and 1990s, but their policies have tended to create excess liquidity</w:t>
      </w:r>
      <w:r>
        <w:fldChar w:fldCharType="begin"/>
      </w:r>
      <w:r>
        <w:instrText xml:space="preserve"> XE "</w:instrText>
      </w:r>
      <w:r w:rsidRPr="00EE5CBF">
        <w:rPr>
          <w:rFonts w:cs="Times New Roman"/>
        </w:rPr>
        <w:instrText>liquidity</w:instrText>
      </w:r>
      <w:r>
        <w:instrText xml:space="preserve">" </w:instrText>
      </w:r>
      <w:r>
        <w:fldChar w:fldCharType="end"/>
      </w:r>
      <w:r>
        <w:t xml:space="preserve"> which has resulted in financial bubbles. </w:t>
      </w:r>
    </w:p>
  </w:endnote>
  <w:endnote w:id="123">
    <w:p w14:paraId="540358C8" w14:textId="77777777" w:rsidR="009D5946" w:rsidRDefault="009D5946">
      <w:pPr>
        <w:pStyle w:val="EndnoteText"/>
      </w:pPr>
      <w:r>
        <w:rPr>
          <w:rStyle w:val="EndnoteReference"/>
        </w:rPr>
        <w:endnoteRef/>
      </w:r>
      <w:r>
        <w:t xml:space="preserve"> </w:t>
      </w:r>
      <w:sdt>
        <w:sdtPr>
          <w:id w:val="32672914"/>
          <w:citation/>
        </w:sdtPr>
        <w:sdtContent>
          <w:r>
            <w:fldChar w:fldCharType="begin"/>
          </w:r>
          <w:r>
            <w:instrText xml:space="preserve"> CITATION Ber99 \l 1033 </w:instrText>
          </w:r>
          <w:r>
            <w:fldChar w:fldCharType="separate"/>
          </w:r>
          <w:r>
            <w:rPr>
              <w:noProof/>
            </w:rPr>
            <w:t>(Bernanke B. S., Japanese Monetary Policy: A Case of Self-Induced Paralysis, 1999)</w:t>
          </w:r>
          <w:r>
            <w:rPr>
              <w:noProof/>
            </w:rPr>
            <w:fldChar w:fldCharType="end"/>
          </w:r>
        </w:sdtContent>
      </w:sdt>
    </w:p>
  </w:endnote>
  <w:endnote w:id="124">
    <w:p w14:paraId="1F71E612" w14:textId="77777777" w:rsidR="009D5946" w:rsidRDefault="009D5946">
      <w:pPr>
        <w:pStyle w:val="EndnoteText"/>
      </w:pPr>
      <w:r>
        <w:rPr>
          <w:rStyle w:val="EndnoteReference"/>
        </w:rPr>
        <w:endnoteRef/>
      </w:r>
      <w:r>
        <w:t xml:space="preserve"> Adam Posen in his paper It Takes more than a Bubble to Become Japan </w:t>
      </w:r>
      <w:sdt>
        <w:sdtPr>
          <w:id w:val="32672915"/>
          <w:citation/>
        </w:sdtPr>
        <w:sdtContent>
          <w:r>
            <w:fldChar w:fldCharType="begin"/>
          </w:r>
          <w:r>
            <w:instrText xml:space="preserve"> CITATION Ada03 \l 1033 </w:instrText>
          </w:r>
          <w:r>
            <w:fldChar w:fldCharType="separate"/>
          </w:r>
          <w:r>
            <w:rPr>
              <w:noProof/>
            </w:rPr>
            <w:t>(Posen A. S., 2003)</w:t>
          </w:r>
          <w:r>
            <w:rPr>
              <w:noProof/>
            </w:rPr>
            <w:fldChar w:fldCharType="end"/>
          </w:r>
        </w:sdtContent>
      </w:sdt>
      <w:r>
        <w:t>, outlines the causes of the prolonged recession after the bursting of the stock and real estate bubbles in Japan. He agrees with Ben Bernanke</w:t>
      </w:r>
      <w:r>
        <w:fldChar w:fldCharType="begin"/>
      </w:r>
      <w:r>
        <w:instrText xml:space="preserve"> XE "</w:instrText>
      </w:r>
      <w:r w:rsidRPr="00EE313F">
        <w:rPr>
          <w:rFonts w:cs="Times New Roman"/>
        </w:rPr>
        <w:instrText>Ben Bernanke</w:instrText>
      </w:r>
      <w:r>
        <w:instrText xml:space="preserve">" </w:instrText>
      </w:r>
      <w:r>
        <w:fldChar w:fldCharType="end"/>
      </w:r>
      <w:r>
        <w:t>’s conclusion that aggressive monetary easing is the solution to the problem, “</w:t>
      </w:r>
      <w:r w:rsidRPr="00305AAE">
        <w:t>Central bankers should learn from Japan’s bubble the benefits of a more thoughtful approach to assessing potential growth and of easing rapidly in the face of asset price declines and not be concerned with targeting asset prices or pricking bubbles per se.</w:t>
      </w:r>
      <w:r>
        <w:t xml:space="preserve">” In a related paper </w:t>
      </w:r>
      <w:r w:rsidRPr="007D1D34">
        <w:t xml:space="preserve">Passive Savers and Fiscal Policy Effectiveness in Japan </w:t>
      </w:r>
      <w:sdt>
        <w:sdtPr>
          <w:id w:val="32672916"/>
          <w:citation/>
        </w:sdtPr>
        <w:sdtContent>
          <w:r>
            <w:fldChar w:fldCharType="begin"/>
          </w:r>
          <w:r>
            <w:instrText xml:space="preserve"> CITATION Ken01 \l 1033 </w:instrText>
          </w:r>
          <w:r>
            <w:fldChar w:fldCharType="separate"/>
          </w:r>
          <w:r>
            <w:rPr>
              <w:noProof/>
            </w:rPr>
            <w:t>(Kuttner &amp; Posen, 2001)</w:t>
          </w:r>
          <w:r>
            <w:rPr>
              <w:noProof/>
            </w:rPr>
            <w:fldChar w:fldCharType="end"/>
          </w:r>
        </w:sdtContent>
      </w:sdt>
      <w:r>
        <w:t xml:space="preserve"> </w:t>
      </w:r>
      <w:r w:rsidRPr="007D1D34">
        <w:t>by Kenneth N. Kuttner; Adam S. Posen</w:t>
      </w:r>
      <w:r>
        <w:t>, the authors reaffirm their conclusions on the mistakes of the Japanese Central Bank in handling their asset bubbles</w:t>
      </w:r>
      <w:r>
        <w:fldChar w:fldCharType="begin"/>
      </w:r>
      <w:r>
        <w:instrText xml:space="preserve"> XE "</w:instrText>
      </w:r>
      <w:r w:rsidRPr="0063036B">
        <w:rPr>
          <w:rFonts w:cs="Times New Roman"/>
        </w:rPr>
        <w:instrText>asset bubbles</w:instrText>
      </w:r>
      <w:r>
        <w:instrText xml:space="preserve">" </w:instrText>
      </w:r>
      <w:r>
        <w:fldChar w:fldCharType="end"/>
      </w:r>
      <w:r>
        <w:t>. The authors note that despite excessive borrowing of the central government, Japanese citizens continue to by government debt at very low cost and in effect subsidize their own borrowing.</w:t>
      </w:r>
    </w:p>
  </w:endnote>
  <w:endnote w:id="125">
    <w:p w14:paraId="6F940C37" w14:textId="77777777" w:rsidR="009D5946" w:rsidRDefault="009D5946">
      <w:pPr>
        <w:pStyle w:val="EndnoteText"/>
      </w:pPr>
      <w:r>
        <w:rPr>
          <w:rStyle w:val="EndnoteReference"/>
        </w:rPr>
        <w:endnoteRef/>
      </w:r>
      <w:r>
        <w:t xml:space="preserve"> In the paper </w:t>
      </w:r>
      <w:r w:rsidRPr="00D15B5B">
        <w:t xml:space="preserve">Offshoring, Economic Insecurity, and the Demand for Social Insurance </w:t>
      </w:r>
      <w:sdt>
        <w:sdtPr>
          <w:id w:val="32672910"/>
          <w:citation/>
        </w:sdtPr>
        <w:sdtContent>
          <w:r>
            <w:fldChar w:fldCharType="begin"/>
          </w:r>
          <w:r>
            <w:instrText xml:space="preserve"> CITATION Ric08 \l 1033 </w:instrText>
          </w:r>
          <w:r>
            <w:fldChar w:fldCharType="separate"/>
          </w:r>
          <w:r>
            <w:rPr>
              <w:noProof/>
            </w:rPr>
            <w:t>(Anderson &amp; Gascon, 2008)</w:t>
          </w:r>
          <w:r>
            <w:rPr>
              <w:noProof/>
            </w:rPr>
            <w:fldChar w:fldCharType="end"/>
          </w:r>
        </w:sdtContent>
      </w:sdt>
      <w:r>
        <w:t xml:space="preserve">, </w:t>
      </w:r>
      <w:r w:rsidRPr="00D15B5B">
        <w:t>Richard G. Anderson and Charles S. Gascon</w:t>
      </w:r>
      <w:r>
        <w:t xml:space="preserve"> describe the problems associated with offshoring, in particular the increased demand of social services caused by the fear of offshoring.</w:t>
      </w:r>
    </w:p>
  </w:endnote>
  <w:endnote w:id="126">
    <w:p w14:paraId="1DA5855B" w14:textId="77777777" w:rsidR="009D5946" w:rsidRDefault="009D5946">
      <w:pPr>
        <w:pStyle w:val="EndnoteText"/>
      </w:pPr>
      <w:r>
        <w:rPr>
          <w:rStyle w:val="EndnoteReference"/>
        </w:rPr>
        <w:endnoteRef/>
      </w:r>
      <w:r>
        <w:t xml:space="preserve"> The inflation adjusted chart for the S&amp;P/Case-Shiller</w:t>
      </w:r>
      <w:r>
        <w:fldChar w:fldCharType="begin"/>
      </w:r>
      <w:r>
        <w:instrText xml:space="preserve"> XE "</w:instrText>
      </w:r>
      <w:r w:rsidRPr="00346C49">
        <w:rPr>
          <w:rFonts w:cs="Times New Roman"/>
        </w:rPr>
        <w:instrText>S&amp;P/Case-Shiller</w:instrText>
      </w:r>
      <w:r>
        <w:instrText xml:space="preserve">" </w:instrText>
      </w:r>
      <w:r>
        <w:fldChar w:fldCharType="end"/>
      </w:r>
      <w:r>
        <w:t xml:space="preserve"> index was drawn by the following method. The index value was then divided by the consumer price index date from the </w:t>
      </w:r>
      <w:r w:rsidRPr="00866CAA">
        <w:t>U.S. Department of Labor</w:t>
      </w:r>
      <w:r>
        <w:fldChar w:fldCharType="begin"/>
      </w:r>
      <w:r>
        <w:instrText xml:space="preserve"> XE "</w:instrText>
      </w:r>
      <w:r w:rsidRPr="0091021A">
        <w:rPr>
          <w:rFonts w:cs="Times New Roman"/>
        </w:rPr>
        <w:instrText>Department of Labor</w:instrText>
      </w:r>
      <w:r>
        <w:instrText xml:space="preserve">" </w:instrText>
      </w:r>
      <w:r>
        <w:fldChar w:fldCharType="end"/>
      </w:r>
      <w:r w:rsidRPr="00866CAA">
        <w:t xml:space="preserve"> Bureau of Labor Statistics</w:t>
      </w:r>
      <w:r>
        <w:fldChar w:fldCharType="begin"/>
      </w:r>
      <w:r>
        <w:instrText xml:space="preserve"> XE "</w:instrText>
      </w:r>
      <w:r w:rsidRPr="00945A6D">
        <w:rPr>
          <w:rFonts w:cs="Times New Roman"/>
        </w:rPr>
        <w:instrText>Bureau of Labor Statistics</w:instrText>
      </w:r>
      <w:r>
        <w:instrText xml:space="preserve">" </w:instrText>
      </w:r>
      <w:r>
        <w:fldChar w:fldCharType="end"/>
      </w:r>
      <w:r>
        <w:t>. The resulting number was converted to a baseline value of 1 so the data could be represented as a percentage change.</w:t>
      </w:r>
    </w:p>
  </w:endnote>
  <w:endnote w:id="127">
    <w:p w14:paraId="71F9B2C5" w14:textId="77777777" w:rsidR="009D5946" w:rsidRPr="00654357" w:rsidRDefault="009D5946" w:rsidP="005A0B2B">
      <w:pPr>
        <w:pStyle w:val="EndnoteText"/>
      </w:pPr>
      <w:r>
        <w:rPr>
          <w:rStyle w:val="EndnoteReference"/>
        </w:rPr>
        <w:endnoteRef/>
      </w:r>
      <w:r>
        <w:t xml:space="preserve"> </w:t>
      </w:r>
      <w:r w:rsidRPr="00654357">
        <w:t>One of the factors not included on the list of those that may negatively impact the housing market during the decline of the Great Housing Bubble was the potential problems created by the aging of baby boomers. In the study Aging Baby Boomers</w:t>
      </w:r>
      <w:r>
        <w:t xml:space="preserve"> </w:t>
      </w:r>
      <w:r w:rsidRPr="00654357">
        <w:t>and the Generational</w:t>
      </w:r>
      <w:r>
        <w:t xml:space="preserve"> </w:t>
      </w:r>
      <w:r w:rsidRPr="00654357">
        <w:t>Housing Bubble</w:t>
      </w:r>
      <w:r>
        <w:t xml:space="preserve"> </w:t>
      </w:r>
      <w:sdt>
        <w:sdtPr>
          <w:id w:val="32672909"/>
          <w:citation/>
        </w:sdtPr>
        <w:sdtContent>
          <w:r>
            <w:fldChar w:fldCharType="begin"/>
          </w:r>
          <w:r>
            <w:instrText xml:space="preserve"> CITATION Dow08 \l 1033 </w:instrText>
          </w:r>
          <w:r>
            <w:fldChar w:fldCharType="separate"/>
          </w:r>
          <w:r>
            <w:rPr>
              <w:noProof/>
            </w:rPr>
            <w:t>(Myers &amp; Ryu, 2008)</w:t>
          </w:r>
          <w:r>
            <w:rPr>
              <w:noProof/>
            </w:rPr>
            <w:fldChar w:fldCharType="end"/>
          </w:r>
        </w:sdtContent>
      </w:sdt>
      <w:r>
        <w:t>, the authors explore the potential impacts of baby boomers selling their homes and downsizing from their McMansions</w:t>
      </w:r>
      <w:r>
        <w:fldChar w:fldCharType="begin"/>
      </w:r>
      <w:r>
        <w:instrText xml:space="preserve"> XE "</w:instrText>
      </w:r>
      <w:r w:rsidRPr="00172685">
        <w:rPr>
          <w:rFonts w:cs="Times New Roman"/>
        </w:rPr>
        <w:instrText>McMansions</w:instrText>
      </w:r>
      <w:r>
        <w:instrText xml:space="preserve">" </w:instrText>
      </w:r>
      <w:r>
        <w:fldChar w:fldCharType="end"/>
      </w:r>
      <w:r>
        <w:t>. The impact of this group, though potentially significant, is very difficult to model and understand. There is no way to know what this generation will do and when they will do it. To speculate that this group would undergo a massive change in their habitation during the collapse of a major housing bubble does not seem plausible, although it is possible. It seems more likely that the baby boomers will not start retiring and potentially downsizing until the crash is past, and any changes in their housing situation will be spread out over many years rather than being concentrated in a short timeframe. The retirement of the baby boomers could serve to depress appreciation</w:t>
      </w:r>
      <w:r>
        <w:fldChar w:fldCharType="begin"/>
      </w:r>
      <w:r>
        <w:instrText xml:space="preserve"> XE "</w:instrText>
      </w:r>
      <w:r w:rsidRPr="009C5D12">
        <w:rPr>
          <w:rFonts w:cs="Times New Roman"/>
        </w:rPr>
        <w:instrText>appreciation</w:instrText>
      </w:r>
      <w:r>
        <w:instrText xml:space="preserve">" </w:instrText>
      </w:r>
      <w:r>
        <w:fldChar w:fldCharType="end"/>
      </w:r>
      <w:r>
        <w:t xml:space="preserve"> in those areas the baby boomers move out of, but it may also stimulate another construction boom in the areas they move in to.</w:t>
      </w:r>
    </w:p>
  </w:endnote>
  <w:endnote w:id="128">
    <w:p w14:paraId="134C310C" w14:textId="77777777" w:rsidR="009D5946" w:rsidRDefault="009D5946" w:rsidP="006A2806">
      <w:pPr>
        <w:pStyle w:val="EndnoteText"/>
      </w:pPr>
      <w:r>
        <w:rPr>
          <w:rStyle w:val="EndnoteReference"/>
        </w:rPr>
        <w:endnoteRef/>
      </w:r>
      <w:r>
        <w:t xml:space="preserve"> The Federal Reserve</w:t>
      </w:r>
      <w:r>
        <w:fldChar w:fldCharType="begin"/>
      </w:r>
      <w:r>
        <w:instrText xml:space="preserve"> XE "</w:instrText>
      </w:r>
      <w:r w:rsidRPr="005F15E8">
        <w:rPr>
          <w:rFonts w:cs="Times New Roman"/>
        </w:rPr>
        <w:instrText>Federal Reserve</w:instrText>
      </w:r>
      <w:r>
        <w:instrText xml:space="preserve">" </w:instrText>
      </w:r>
      <w:r>
        <w:fldChar w:fldCharType="end"/>
      </w:r>
      <w:r>
        <w:t xml:space="preserve"> has very little control over long-term interest rates. In an unpublished paper from the University of Washington, the authors examined the correlation between the 10-year Treasury Note</w:t>
      </w:r>
      <w:r>
        <w:fldChar w:fldCharType="begin"/>
      </w:r>
      <w:r>
        <w:instrText xml:space="preserve"> XE "</w:instrText>
      </w:r>
      <w:r w:rsidRPr="00230EC2">
        <w:rPr>
          <w:rFonts w:cs="Times New Roman"/>
        </w:rPr>
        <w:instrText>Treasury Note</w:instrText>
      </w:r>
      <w:r>
        <w:instrText xml:space="preserve">" </w:instrText>
      </w:r>
      <w:r>
        <w:fldChar w:fldCharType="end"/>
      </w:r>
      <w:r>
        <w:t xml:space="preserve"> and long term mortgage rates. They found the correlation to be greater than 95%. However, when they checked for correlation between the Federal Funds Rate</w:t>
      </w:r>
      <w:r>
        <w:fldChar w:fldCharType="begin"/>
      </w:r>
      <w:r>
        <w:instrText xml:space="preserve"> XE "</w:instrText>
      </w:r>
      <w:r w:rsidRPr="007F3A45">
        <w:rPr>
          <w:rFonts w:cs="Times New Roman"/>
        </w:rPr>
        <w:instrText>Federal Funds Rate</w:instrText>
      </w:r>
      <w:r>
        <w:instrText xml:space="preserve">" </w:instrText>
      </w:r>
      <w:r>
        <w:fldChar w:fldCharType="end"/>
      </w:r>
      <w:r>
        <w:t xml:space="preserve"> and long-term mortgage rates, the correlation dropped to 35%. The most recent example occurred when the Federal Funds Rate when from 2% in June 2004 to 6.25% in October 2006, and the contract mortgage rate barely budged moving from 6.29% to 6.36%.</w:t>
      </w:r>
    </w:p>
  </w:endnote>
  <w:endnote w:id="129">
    <w:p w14:paraId="6D02480A" w14:textId="77777777" w:rsidR="009D5946" w:rsidRDefault="009D5946">
      <w:pPr>
        <w:pStyle w:val="EndnoteText"/>
      </w:pPr>
      <w:r>
        <w:rPr>
          <w:rStyle w:val="EndnoteReference"/>
        </w:rPr>
        <w:endnoteRef/>
      </w:r>
      <w:r>
        <w:t xml:space="preserve"> Karl Case</w:t>
      </w:r>
      <w:r>
        <w:fldChar w:fldCharType="begin"/>
      </w:r>
      <w:r>
        <w:instrText xml:space="preserve"> XE "</w:instrText>
      </w:r>
      <w:r w:rsidRPr="00D83148">
        <w:rPr>
          <w:rFonts w:cs="Times New Roman"/>
        </w:rPr>
        <w:instrText>Karl Case</w:instrText>
      </w:r>
      <w:r>
        <w:instrText xml:space="preserve">" </w:instrText>
      </w:r>
      <w:r>
        <w:fldChar w:fldCharType="end"/>
      </w:r>
      <w:r>
        <w:t xml:space="preserve"> and Robert Shiller</w:t>
      </w:r>
      <w:r>
        <w:fldChar w:fldCharType="begin"/>
      </w:r>
      <w:r>
        <w:instrText xml:space="preserve"> XE "</w:instrText>
      </w:r>
      <w:r w:rsidRPr="00064AF4">
        <w:rPr>
          <w:rFonts w:cs="Times New Roman"/>
        </w:rPr>
        <w:instrText>Robert Shiller</w:instrText>
      </w:r>
      <w:r>
        <w:instrText xml:space="preserve">" </w:instrText>
      </w:r>
      <w:r>
        <w:fldChar w:fldCharType="end"/>
      </w:r>
      <w:r>
        <w:t xml:space="preserve"> concluded price declines could only come through an economic downturn </w:t>
      </w:r>
      <w:sdt>
        <w:sdtPr>
          <w:id w:val="32672907"/>
          <w:citation/>
        </w:sdtPr>
        <w:sdtContent>
          <w:r>
            <w:fldChar w:fldCharType="begin"/>
          </w:r>
          <w:r>
            <w:instrText xml:space="preserve"> CITATION Kar88 \l 1033  </w:instrText>
          </w:r>
          <w:r>
            <w:fldChar w:fldCharType="separate"/>
          </w:r>
          <w:r>
            <w:rPr>
              <w:noProof/>
            </w:rPr>
            <w:t>(Case &amp; Shiller, The Behavior of Home Buyers in Boom and Post-Boom Markets, 1988)</w:t>
          </w:r>
          <w:r>
            <w:rPr>
              <w:noProof/>
            </w:rPr>
            <w:fldChar w:fldCharType="end"/>
          </w:r>
        </w:sdtContent>
      </w:sdt>
      <w:r>
        <w:t xml:space="preserve">. This theory was disproven by the Great Housing Bubble. There has also been research suggesting that housing downturns are actually the cause of economic downturns </w:t>
      </w:r>
      <w:sdt>
        <w:sdtPr>
          <w:id w:val="32672908"/>
          <w:citation/>
        </w:sdtPr>
        <w:sdtContent>
          <w:r>
            <w:fldChar w:fldCharType="begin"/>
          </w:r>
          <w:r>
            <w:instrText xml:space="preserve"> CITATION Lea07 \l 1033  </w:instrText>
          </w:r>
          <w:r>
            <w:fldChar w:fldCharType="separate"/>
          </w:r>
          <w:r>
            <w:rPr>
              <w:noProof/>
            </w:rPr>
            <w:t>(Leamer, Housing Is the Business Cycle, 2007)</w:t>
          </w:r>
          <w:r>
            <w:rPr>
              <w:noProof/>
            </w:rPr>
            <w:fldChar w:fldCharType="end"/>
          </w:r>
        </w:sdtContent>
      </w:sdt>
      <w:r>
        <w:t>.</w:t>
      </w:r>
    </w:p>
  </w:endnote>
  <w:endnote w:id="130">
    <w:p w14:paraId="0B9287B2" w14:textId="77777777" w:rsidR="009D5946" w:rsidRDefault="009D5946">
      <w:pPr>
        <w:pStyle w:val="EndnoteText"/>
      </w:pPr>
      <w:r>
        <w:rPr>
          <w:rStyle w:val="EndnoteReference"/>
        </w:rPr>
        <w:endnoteRef/>
      </w:r>
      <w:r>
        <w:t xml:space="preserve"> A paper by Edward Leamer </w:t>
      </w:r>
      <w:sdt>
        <w:sdtPr>
          <w:id w:val="32672906"/>
          <w:citation/>
        </w:sdtPr>
        <w:sdtContent>
          <w:r>
            <w:fldChar w:fldCharType="begin"/>
          </w:r>
          <w:r>
            <w:instrText xml:space="preserve"> CITATION Lea07 \l 1033  </w:instrText>
          </w:r>
          <w:r>
            <w:fldChar w:fldCharType="separate"/>
          </w:r>
          <w:r>
            <w:rPr>
              <w:noProof/>
            </w:rPr>
            <w:t>(Leamer, Housing Is the Business Cycle, 2007)</w:t>
          </w:r>
          <w:r>
            <w:rPr>
              <w:noProof/>
            </w:rPr>
            <w:fldChar w:fldCharType="end"/>
          </w:r>
        </w:sdtContent>
      </w:sdt>
      <w:r>
        <w:t xml:space="preserve"> draws strong parallels between residential construction spending and the beginning and ending of economic recessions.</w:t>
      </w:r>
    </w:p>
  </w:endnote>
  <w:endnote w:id="131">
    <w:p w14:paraId="0F6C65E6" w14:textId="77777777" w:rsidR="009D5946" w:rsidRDefault="009D5946" w:rsidP="00A62139">
      <w:pPr>
        <w:pStyle w:val="EndnoteText"/>
      </w:pPr>
      <w:r>
        <w:rPr>
          <w:rStyle w:val="EndnoteReference"/>
        </w:rPr>
        <w:endnoteRef/>
      </w:r>
      <w:r>
        <w:t xml:space="preserve"> The foreclosure</w:t>
      </w:r>
      <w:r>
        <w:fldChar w:fldCharType="begin"/>
      </w:r>
      <w:r>
        <w:instrText xml:space="preserve"> XE "</w:instrText>
      </w:r>
      <w:r w:rsidRPr="00011F5A">
        <w:rPr>
          <w:rFonts w:cs="Times New Roman"/>
        </w:rPr>
        <w:instrText>foreclosure</w:instrText>
      </w:r>
      <w:r>
        <w:instrText xml:space="preserve">" </w:instrText>
      </w:r>
      <w:r>
        <w:fldChar w:fldCharType="end"/>
      </w:r>
      <w:r>
        <w:t xml:space="preserve"> chart was drawn by taking the notices of trustee sales and the notices of default and dividing these figures by the monthly sales rate. Since there is considerable variability in these numbers from month to month, the figures have been averaged to smooth out the noise in the data and reveal the underlying trends.</w:t>
      </w:r>
    </w:p>
  </w:endnote>
  <w:endnote w:id="132">
    <w:p w14:paraId="4C8DDECD" w14:textId="77777777" w:rsidR="009D5946" w:rsidRDefault="009D5946">
      <w:pPr>
        <w:pStyle w:val="EndnoteText"/>
      </w:pPr>
      <w:r>
        <w:rPr>
          <w:rStyle w:val="EndnoteReference"/>
        </w:rPr>
        <w:endnoteRef/>
      </w:r>
      <w:r>
        <w:t xml:space="preserve"> In the paper </w:t>
      </w:r>
      <w:r w:rsidRPr="00406CA1">
        <w:t>Accounting for Changes in the Homeownership Rate</w:t>
      </w:r>
      <w:r>
        <w:t xml:space="preserve"> </w:t>
      </w:r>
      <w:sdt>
        <w:sdtPr>
          <w:id w:val="32672905"/>
          <w:citation/>
        </w:sdtPr>
        <w:sdtContent>
          <w:r>
            <w:fldChar w:fldCharType="begin"/>
          </w:r>
          <w:r>
            <w:instrText xml:space="preserve"> CITATION Mat07 \l 1033 </w:instrText>
          </w:r>
          <w:r>
            <w:fldChar w:fldCharType="separate"/>
          </w:r>
          <w:r>
            <w:rPr>
              <w:noProof/>
            </w:rPr>
            <w:t>(Chambers, Garriga, &amp; Schlagenhauf, 2007)</w:t>
          </w:r>
          <w:r>
            <w:rPr>
              <w:noProof/>
            </w:rPr>
            <w:fldChar w:fldCharType="end"/>
          </w:r>
        </w:sdtContent>
      </w:sdt>
      <w:r>
        <w:t>, the authors concluded 56% to 70% of the increase in home ownership rates</w:t>
      </w:r>
      <w:r>
        <w:fldChar w:fldCharType="begin"/>
      </w:r>
      <w:r>
        <w:instrText xml:space="preserve"> XE "</w:instrText>
      </w:r>
      <w:r w:rsidRPr="00FD699A">
        <w:rPr>
          <w:rFonts w:cs="Times New Roman"/>
        </w:rPr>
        <w:instrText>home ownership rates</w:instrText>
      </w:r>
      <w:r>
        <w:instrText xml:space="preserve">" </w:instrText>
      </w:r>
      <w:r>
        <w:fldChar w:fldCharType="end"/>
      </w:r>
      <w:r>
        <w:t xml:space="preserve"> was due to “innovations” in the lending industry, in particular the lowering of downpayment requirements. Much of the remainder they attributed to demographic factors. The increase in home ownership among younger households was almost entirely driven by new financing terms, while changes among older households were much more to do with increasing income.</w:t>
      </w:r>
    </w:p>
  </w:endnote>
  <w:endnote w:id="133">
    <w:p w14:paraId="79A94BCA" w14:textId="77777777" w:rsidR="009D5946" w:rsidRDefault="009D5946">
      <w:pPr>
        <w:pStyle w:val="EndnoteText"/>
      </w:pPr>
      <w:r>
        <w:rPr>
          <w:rStyle w:val="EndnoteReference"/>
        </w:rPr>
        <w:endnoteRef/>
      </w:r>
      <w:r>
        <w:t xml:space="preserve"> One of the issues not discussed in this writing is the potential impact of generational shifts in housing. A model for generational changes presented in </w:t>
      </w:r>
      <w:r w:rsidRPr="003B4129">
        <w:t>The Baby Boom: Predictability in House Prices and Interest Rates</w:t>
      </w:r>
      <w:r>
        <w:t xml:space="preserve"> </w:t>
      </w:r>
      <w:sdt>
        <w:sdtPr>
          <w:id w:val="32672903"/>
          <w:citation/>
        </w:sdtPr>
        <w:sdtContent>
          <w:r>
            <w:fldChar w:fldCharType="begin"/>
          </w:r>
          <w:r>
            <w:instrText xml:space="preserve"> CITATION Rob051 \l 1033 </w:instrText>
          </w:r>
          <w:r>
            <w:fldChar w:fldCharType="separate"/>
          </w:r>
          <w:r>
            <w:rPr>
              <w:noProof/>
            </w:rPr>
            <w:t>(Martin, 2005)</w:t>
          </w:r>
          <w:r>
            <w:rPr>
              <w:noProof/>
            </w:rPr>
            <w:fldChar w:fldCharType="end"/>
          </w:r>
        </w:sdtContent>
      </w:sdt>
      <w:r>
        <w:t xml:space="preserve"> resurrects the early theories of </w:t>
      </w:r>
      <w:r w:rsidRPr="003B4129">
        <w:t xml:space="preserve">Mankiw and Weil </w:t>
      </w:r>
      <w:sdt>
        <w:sdtPr>
          <w:id w:val="32672904"/>
          <w:citation/>
        </w:sdtPr>
        <w:sdtContent>
          <w:r>
            <w:fldChar w:fldCharType="begin"/>
          </w:r>
          <w:r>
            <w:instrText xml:space="preserve"> CITATION NGr89 \l 1033 </w:instrText>
          </w:r>
          <w:r>
            <w:fldChar w:fldCharType="separate"/>
          </w:r>
          <w:r>
            <w:rPr>
              <w:noProof/>
            </w:rPr>
            <w:t>(Mankiw &amp; Weil, The Baby Boom, the Baby Bust and the Housing Market, 1989)</w:t>
          </w:r>
          <w:r>
            <w:rPr>
              <w:noProof/>
            </w:rPr>
            <w:fldChar w:fldCharType="end"/>
          </w:r>
        </w:sdtContent>
      </w:sdt>
      <w:r>
        <w:t>in which they predicted the collapse of housing prices in Japan in 1990 and the ongoing disruption in their housing market caused by the decline in population from the Baby Boom demographic bubble. In their 1988 paper Mankiw and Weil famously and incorrectly predicted the same phenomenon would occur in the United States. Instead, the United States witnessed the Great Housing Bubble. It is the author’s opinion that the differing impacts in the Japanese market and the United States market has far more to do with the degree of asset inflation and other macroeconomic impacts than it does with generational demographic factors. While it is certainly possible that the aging of baby boomers will have a negative impact on the United States housing market, it is not clear what impact baby boomers will have. It is assumed they will downsize their accommodations, but this may not be the case. Many may chose to retire and live out their lives in the houses where they lived pre-retirement. If this occurs there will be no mass selloff of homes depressing housing prices.</w:t>
      </w:r>
    </w:p>
  </w:endnote>
  <w:endnote w:id="134">
    <w:p w14:paraId="6ECD851B" w14:textId="77777777" w:rsidR="009D5946" w:rsidRDefault="009D5946">
      <w:pPr>
        <w:pStyle w:val="EndnoteText"/>
      </w:pPr>
      <w:r>
        <w:rPr>
          <w:rStyle w:val="EndnoteReference"/>
        </w:rPr>
        <w:endnoteRef/>
      </w:r>
      <w:r>
        <w:t xml:space="preserve"> In the paper Housing and the Business Cycle </w:t>
      </w:r>
      <w:sdt>
        <w:sdtPr>
          <w:id w:val="32672899"/>
          <w:citation/>
        </w:sdtPr>
        <w:sdtContent>
          <w:r>
            <w:fldChar w:fldCharType="begin"/>
          </w:r>
          <w:r>
            <w:instrText xml:space="preserve"> CITATION Mor03 \l 1033 </w:instrText>
          </w:r>
          <w:r>
            <w:fldChar w:fldCharType="separate"/>
          </w:r>
          <w:r>
            <w:rPr>
              <w:noProof/>
            </w:rPr>
            <w:t>(Davis &amp; Heathcote, 2003)</w:t>
          </w:r>
          <w:r>
            <w:rPr>
              <w:noProof/>
            </w:rPr>
            <w:fldChar w:fldCharType="end"/>
          </w:r>
        </w:sdtContent>
      </w:sdt>
      <w:r>
        <w:t xml:space="preserve">, the authors document the strong relationship between residential investment and the general economy. Residential investment is much more volatile than the swings in the general economy, but it moves in the same direction. In a later paper obviously drawing for this paper’s title </w:t>
      </w:r>
      <w:sdt>
        <w:sdtPr>
          <w:id w:val="32672900"/>
          <w:citation/>
        </w:sdtPr>
        <w:sdtContent>
          <w:r>
            <w:fldChar w:fldCharType="begin"/>
          </w:r>
          <w:r>
            <w:instrText xml:space="preserve"> CITATION Lea071 \l 1033 </w:instrText>
          </w:r>
          <w:r>
            <w:fldChar w:fldCharType="separate"/>
          </w:r>
          <w:r>
            <w:rPr>
              <w:noProof/>
            </w:rPr>
            <w:t>(Leamer, Housing Is the Business Cycle, 2007)</w:t>
          </w:r>
          <w:r>
            <w:rPr>
              <w:noProof/>
            </w:rPr>
            <w:fldChar w:fldCharType="end"/>
          </w:r>
        </w:sdtContent>
      </w:sdt>
      <w:r>
        <w:t xml:space="preserve"> the author goes a step further and postulates that the housing market is a driving force in the economy. Previously, conventional wisdom was that housing followed economic cycles and did not drive them. These findings are also bolstered by a report for the Federal Reserve</w:t>
      </w:r>
      <w:r>
        <w:fldChar w:fldCharType="begin"/>
      </w:r>
      <w:r>
        <w:instrText xml:space="preserve"> XE "</w:instrText>
      </w:r>
      <w:r w:rsidRPr="005F15E8">
        <w:rPr>
          <w:rFonts w:cs="Times New Roman"/>
        </w:rPr>
        <w:instrText>Federal Reserve</w:instrText>
      </w:r>
      <w:r>
        <w:instrText xml:space="preserve">" </w:instrText>
      </w:r>
      <w:r>
        <w:fldChar w:fldCharType="end"/>
      </w:r>
      <w:r>
        <w:t xml:space="preserve"> Bank of San Francisco </w:t>
      </w:r>
      <w:sdt>
        <w:sdtPr>
          <w:id w:val="32672901"/>
          <w:citation/>
        </w:sdtPr>
        <w:sdtContent>
          <w:r>
            <w:fldChar w:fldCharType="begin"/>
          </w:r>
          <w:r>
            <w:instrText xml:space="preserve"> CITATION Joh062 \l 1033 </w:instrText>
          </w:r>
          <w:r>
            <w:fldChar w:fldCharType="separate"/>
          </w:r>
          <w:r>
            <w:rPr>
              <w:noProof/>
            </w:rPr>
            <w:t>(Krainer, Residential Investment over the Real Estate Cycle, 2006)</w:t>
          </w:r>
          <w:r>
            <w:rPr>
              <w:noProof/>
            </w:rPr>
            <w:fldChar w:fldCharType="end"/>
          </w:r>
        </w:sdtContent>
      </w:sdt>
      <w:r>
        <w:t xml:space="preserve">. All the reports reach the same conclusion: residential investment is closely linked to the economic cycle.  In another related study on the fallout of financial bubbles, </w:t>
      </w:r>
      <w:sdt>
        <w:sdtPr>
          <w:id w:val="32672902"/>
          <w:citation/>
        </w:sdtPr>
        <w:sdtContent>
          <w:r>
            <w:fldChar w:fldCharType="begin"/>
          </w:r>
          <w:r>
            <w:instrText xml:space="preserve"> CITATION Tho03 \l 1033 </w:instrText>
          </w:r>
          <w:r>
            <w:fldChar w:fldCharType="separate"/>
          </w:r>
          <w:r>
            <w:rPr>
              <w:noProof/>
            </w:rPr>
            <w:t>(Helbling, Conover, &amp; Terrones, 2003)</w:t>
          </w:r>
          <w:r>
            <w:rPr>
              <w:noProof/>
            </w:rPr>
            <w:fldChar w:fldCharType="end"/>
          </w:r>
        </w:sdtContent>
      </w:sdt>
      <w:r>
        <w:t xml:space="preserve"> </w:t>
      </w:r>
      <w:r w:rsidRPr="00EC0005">
        <w:t>Chapter II: When Bubbles Burst.</w:t>
      </w:r>
      <w:r>
        <w:t xml:space="preserve"> The authors note the financial drag caused by the decline in asset prices.</w:t>
      </w:r>
    </w:p>
  </w:endnote>
  <w:endnote w:id="135">
    <w:p w14:paraId="5D785F42" w14:textId="77777777" w:rsidR="009D5946" w:rsidRDefault="009D5946">
      <w:pPr>
        <w:pStyle w:val="EndnoteText"/>
      </w:pPr>
      <w:r>
        <w:rPr>
          <w:rStyle w:val="EndnoteReference"/>
        </w:rPr>
        <w:endnoteRef/>
      </w:r>
      <w:r>
        <w:t xml:space="preserve"> By mid-2008 lenders were so overwhelmed with foreclosures that many began bidding less than the loan amount in hopes auction bidders would limit their losses and they would not acquire even more residential real estate.</w:t>
      </w:r>
    </w:p>
  </w:endnote>
  <w:endnote w:id="136">
    <w:p w14:paraId="6DEB49F4" w14:textId="77777777" w:rsidR="009D5946" w:rsidRDefault="009D5946">
      <w:pPr>
        <w:pStyle w:val="EndnoteText"/>
      </w:pPr>
      <w:r>
        <w:rPr>
          <w:rStyle w:val="EndnoteReference"/>
        </w:rPr>
        <w:endnoteRef/>
      </w:r>
      <w:r>
        <w:t xml:space="preserve"> Homeowners who owe more on their mortgage than their house is worth in the resale market are by definition homedebtors. The fact that they cannot leave the place they live means they are effectively in prison.</w:t>
      </w:r>
    </w:p>
  </w:endnote>
  <w:endnote w:id="137">
    <w:p w14:paraId="768113D1" w14:textId="77777777" w:rsidR="009D5946" w:rsidRDefault="009D5946">
      <w:pPr>
        <w:pStyle w:val="EndnoteText"/>
      </w:pPr>
      <w:r>
        <w:rPr>
          <w:rStyle w:val="EndnoteReference"/>
        </w:rPr>
        <w:endnoteRef/>
      </w:r>
      <w:r>
        <w:t xml:space="preserve"> Japan endured 15 years of slow deflation</w:t>
      </w:r>
      <w:r>
        <w:fldChar w:fldCharType="begin"/>
      </w:r>
      <w:r>
        <w:instrText xml:space="preserve"> XE "</w:instrText>
      </w:r>
      <w:r w:rsidRPr="00F36AF5">
        <w:rPr>
          <w:rFonts w:cs="Times New Roman"/>
        </w:rPr>
        <w:instrText>deflation</w:instrText>
      </w:r>
      <w:r>
        <w:instrText xml:space="preserve">" </w:instrText>
      </w:r>
      <w:r>
        <w:fldChar w:fldCharType="end"/>
      </w:r>
      <w:r>
        <w:t xml:space="preserve"> from the combined stock market and real estate bubbles of the late 1980s. The 1990s are known in Japan as “the lost decade” due to the problems from the slow deflation of their asset bubble.</w:t>
      </w:r>
    </w:p>
  </w:endnote>
  <w:endnote w:id="138">
    <w:p w14:paraId="50E234A2" w14:textId="77777777" w:rsidR="009D5946" w:rsidRDefault="009D5946">
      <w:pPr>
        <w:pStyle w:val="EndnoteText"/>
      </w:pPr>
      <w:r>
        <w:rPr>
          <w:rStyle w:val="EndnoteReference"/>
        </w:rPr>
        <w:endnoteRef/>
      </w:r>
      <w:r>
        <w:t xml:space="preserve"> </w:t>
      </w:r>
      <w:r w:rsidRPr="00677B2F">
        <w:t>In July of 2008, the Fed made changes to Reg Z which would have been helpful in reducing the size of the housing bubble, the amount of fraud during the bubble, and the resulting pain of the bust.  Unfortunately, they were</w:t>
      </w:r>
      <w:r>
        <w:t xml:space="preserve"> at least five years too late. </w:t>
      </w:r>
      <w:r w:rsidRPr="00677B2F">
        <w:t>The changes to Reg Z were: The rule, for “higher-priced loans: 1. Prohibits a lender from making a loan without regard to borrowers' ability to repay the loan from income and assets other than the home's value.  A lender complies, in part, by assessing repayment ability based on the highest scheduled payment in the first seven years of the loan. To show that a lender violated this prohibition, a borrower does not need to demonstrate that it is part of a "pattern or practice. 2. Prohibits a lender from relying on income or assets that it does not verify to determine repayment ability. 3. Bans any prepayment penalty if the payment can change during the initial four years.  For other higher-priced loans, a prepayment penalty period cannot last for more than two years. 4.Requires that the lender establish an escrow account for the payment of property taxes and homeowners' insurance for first-lien</w:t>
      </w:r>
      <w:r>
        <w:fldChar w:fldCharType="begin"/>
      </w:r>
      <w:r>
        <w:instrText xml:space="preserve"> XE "</w:instrText>
      </w:r>
      <w:r w:rsidRPr="00502317">
        <w:rPr>
          <w:rFonts w:cs="Times New Roman"/>
        </w:rPr>
        <w:instrText>lien</w:instrText>
      </w:r>
      <w:r>
        <w:instrText xml:space="preserve">" </w:instrText>
      </w:r>
      <w:r>
        <w:fldChar w:fldCharType="end"/>
      </w:r>
      <w:r w:rsidRPr="00677B2F">
        <w:t xml:space="preserve"> loans.  The lender may offer the borrower the opportunity to cancel the escrow account after one year. The rule, for all closed-end mortgages secured by a consumer's principal dwelling: 1. Prohibits certain servicing practices:  failing to credit a payment to a consumer’s account as of the date the payment is received, failing to provide a payoff statement within a reasonable period of time, and "pyramiding" late fees. 2. Prohibits a creditor or broker from coercing or encouraging an appraiser to misrepresent the value of a home. 3. Creditors must provide a good faith estimate of the loan costs, including a schedule of payments, within three days after a consumer applies for any mortgage loan secured by a consumer's principal dwelling, such as a home improvement loan or a loan to refinance an existing loan. The rule, for all mortgages: Requires advertising to contain additional information about rates, monthly payments, and other loan features.  The rule also bans seven deceptive or misleading advertising practices, including representing that a rate or payment is "fixed" when it can change. “</w:t>
      </w:r>
    </w:p>
  </w:endnote>
  <w:endnote w:id="139">
    <w:p w14:paraId="110A007F" w14:textId="77777777" w:rsidR="009D5946" w:rsidRDefault="009D5946">
      <w:pPr>
        <w:pStyle w:val="EndnoteText"/>
      </w:pPr>
      <w:r>
        <w:rPr>
          <w:rStyle w:val="EndnoteReference"/>
        </w:rPr>
        <w:endnoteRef/>
      </w:r>
      <w:r>
        <w:t xml:space="preserve"> In their paper Predicting Bubbles and Bubble Substitutes </w:t>
      </w:r>
      <w:sdt>
        <w:sdtPr>
          <w:id w:val="32672897"/>
          <w:citation/>
        </w:sdtPr>
        <w:sdtContent>
          <w:r>
            <w:fldChar w:fldCharType="begin"/>
          </w:r>
          <w:r>
            <w:instrText xml:space="preserve"> CITATION Ear04 \l 1033 </w:instrText>
          </w:r>
          <w:r>
            <w:fldChar w:fldCharType="separate"/>
          </w:r>
          <w:r>
            <w:rPr>
              <w:noProof/>
            </w:rPr>
            <w:t>(Thompson, Treussard, &amp; Hickson, 2004)</w:t>
          </w:r>
          <w:r>
            <w:rPr>
              <w:noProof/>
            </w:rPr>
            <w:fldChar w:fldCharType="end"/>
          </w:r>
        </w:sdtContent>
      </w:sdt>
      <w:r>
        <w:t>, the authors contend that certain kinds of bubble intentionally created by government authorities can have positive long-term effects.</w:t>
      </w:r>
    </w:p>
  </w:endnote>
  <w:endnote w:id="140">
    <w:p w14:paraId="47C1D337" w14:textId="77777777" w:rsidR="009D5946" w:rsidRDefault="009D5946">
      <w:pPr>
        <w:pStyle w:val="EndnoteText"/>
      </w:pPr>
      <w:r>
        <w:rPr>
          <w:rStyle w:val="EndnoteReference"/>
        </w:rPr>
        <w:endnoteRef/>
      </w:r>
      <w:r>
        <w:t xml:space="preserve"> The subprime mortgage industry may mount a comeback in the aftermath of the Great Housing Bubble. The original business plan was to take borrowers who had good incomes and savings to put toward a downpayment, but they had low FICO</w:t>
      </w:r>
      <w:r>
        <w:fldChar w:fldCharType="begin"/>
      </w:r>
      <w:r>
        <w:instrText xml:space="preserve"> XE "</w:instrText>
      </w:r>
      <w:r w:rsidRPr="006E6D09">
        <w:rPr>
          <w:rFonts w:cs="Times New Roman"/>
        </w:rPr>
        <w:instrText>FICO</w:instrText>
      </w:r>
      <w:r>
        <w:instrText xml:space="preserve">" </w:instrText>
      </w:r>
      <w:r>
        <w:fldChar w:fldCharType="end"/>
      </w:r>
      <w:r>
        <w:t xml:space="preserve"> scores which prevented them from getting a Prime</w:t>
      </w:r>
      <w:r>
        <w:fldChar w:fldCharType="begin"/>
      </w:r>
      <w:r>
        <w:instrText xml:space="preserve"> XE "</w:instrText>
      </w:r>
      <w:r w:rsidRPr="00011BCA">
        <w:rPr>
          <w:rFonts w:cs="Times New Roman"/>
        </w:rPr>
        <w:instrText>Prime</w:instrText>
      </w:r>
      <w:r>
        <w:instrText xml:space="preserve">" </w:instrText>
      </w:r>
      <w:r>
        <w:fldChar w:fldCharType="end"/>
      </w:r>
      <w:r>
        <w:t xml:space="preserve"> loan. These borrowers used subprime as bridge financing until their FICO scores improved and they could refinance into Prime loans. The subprime business plan relied on capacity (income) and collateral</w:t>
      </w:r>
      <w:r>
        <w:fldChar w:fldCharType="begin"/>
      </w:r>
      <w:r>
        <w:instrText xml:space="preserve"> XE "</w:instrText>
      </w:r>
      <w:r w:rsidRPr="00BD64A2">
        <w:rPr>
          <w:rFonts w:cs="Times New Roman"/>
        </w:rPr>
        <w:instrText>collateral</w:instrText>
      </w:r>
      <w:r>
        <w:instrText xml:space="preserve">" </w:instrText>
      </w:r>
      <w:r>
        <w:fldChar w:fldCharType="end"/>
      </w:r>
      <w:r>
        <w:t xml:space="preserve"> (downpayment) to make up for the lack of good credit. Those who go through foreclosure</w:t>
      </w:r>
      <w:r>
        <w:fldChar w:fldCharType="begin"/>
      </w:r>
      <w:r>
        <w:instrText xml:space="preserve"> XE "</w:instrText>
      </w:r>
      <w:r w:rsidRPr="00011F5A">
        <w:rPr>
          <w:rFonts w:cs="Times New Roman"/>
        </w:rPr>
        <w:instrText>foreclosure</w:instrText>
      </w:r>
      <w:r>
        <w:instrText xml:space="preserve">" </w:instrText>
      </w:r>
      <w:r>
        <w:fldChar w:fldCharType="end"/>
      </w:r>
      <w:r>
        <w:t xml:space="preserve"> in the bubble will end up with bad credit, but they may have good income and savings. They will be an underserved borrower class that will likely prompt resurgence in subprime lending. The problem with subprime was not that the borrowers had poor credit scores; it was that lenders ignored capacity and collateral on the loans. This is why Alt-A</w:t>
      </w:r>
      <w:r>
        <w:fldChar w:fldCharType="begin"/>
      </w:r>
      <w:r>
        <w:instrText xml:space="preserve"> XE "</w:instrText>
      </w:r>
      <w:r w:rsidRPr="00044B58">
        <w:rPr>
          <w:rFonts w:cs="Times New Roman"/>
        </w:rPr>
        <w:instrText>Alt-A</w:instrText>
      </w:r>
      <w:r>
        <w:instrText xml:space="preserve">" </w:instrText>
      </w:r>
      <w:r>
        <w:fldChar w:fldCharType="end"/>
      </w:r>
      <w:r>
        <w:t xml:space="preserve"> and Prime loans also performed poorly when prices deflated. Subprime</w:t>
      </w:r>
      <w:r>
        <w:fldChar w:fldCharType="begin"/>
      </w:r>
      <w:r>
        <w:instrText xml:space="preserve"> XE "</w:instrText>
      </w:r>
      <w:r w:rsidRPr="007B2D35">
        <w:rPr>
          <w:rFonts w:cs="Times New Roman"/>
        </w:rPr>
        <w:instrText>Subprime</w:instrText>
      </w:r>
      <w:r>
        <w:instrText xml:space="preserve">" </w:instrText>
      </w:r>
      <w:r>
        <w:fldChar w:fldCharType="end"/>
      </w:r>
      <w:r>
        <w:t xml:space="preserve"> will likely resurface, whereas Alt-A is permanently defunct.</w:t>
      </w:r>
    </w:p>
  </w:endnote>
  <w:endnote w:id="141">
    <w:p w14:paraId="71D0BEF7" w14:textId="77777777" w:rsidR="009D5946" w:rsidRDefault="009D5946">
      <w:pPr>
        <w:pStyle w:val="EndnoteText"/>
      </w:pPr>
      <w:r>
        <w:rPr>
          <w:rStyle w:val="EndnoteReference"/>
        </w:rPr>
        <w:endnoteRef/>
      </w:r>
      <w:r>
        <w:t xml:space="preserve"> Much of California’s lingering economic troubles of the early 90s can be linked to diminished consumer spending due to excessive mortgage obligations. Many people inaccurately point to job losses in the aerospace industry as the cause of California’s economic weakness, but this sector was small, and the contraction only lasted a couple of years, whereas the economic slump persisted almost 6 years.</w:t>
      </w:r>
    </w:p>
  </w:endnote>
  <w:endnote w:id="142">
    <w:p w14:paraId="703B0FB3" w14:textId="77777777" w:rsidR="009D5946" w:rsidRDefault="009D5946">
      <w:pPr>
        <w:pStyle w:val="EndnoteText"/>
      </w:pPr>
      <w:r>
        <w:rPr>
          <w:rStyle w:val="EndnoteReference"/>
        </w:rPr>
        <w:endnoteRef/>
      </w:r>
      <w:r>
        <w:t xml:space="preserve"> This is the primary argument against any kind of legislative reform </w:t>
      </w:r>
      <w:sdt>
        <w:sdtPr>
          <w:id w:val="32672896"/>
          <w:citation/>
        </w:sdtPr>
        <w:sdtContent>
          <w:r>
            <w:fldChar w:fldCharType="begin"/>
          </w:r>
          <w:r>
            <w:instrText xml:space="preserve"> CITATION Geo05 \l 1033 </w:instrText>
          </w:r>
          <w:r>
            <w:fldChar w:fldCharType="separate"/>
          </w:r>
          <w:r>
            <w:rPr>
              <w:noProof/>
            </w:rPr>
            <w:t>(Wallace, Elliehausen, &amp; Staten, 2005)</w:t>
          </w:r>
          <w:r>
            <w:rPr>
              <w:noProof/>
            </w:rPr>
            <w:fldChar w:fldCharType="end"/>
          </w:r>
        </w:sdtContent>
      </w:sdt>
      <w:r>
        <w:t xml:space="preserve">. </w:t>
      </w:r>
    </w:p>
  </w:endnote>
  <w:endnote w:id="143">
    <w:p w14:paraId="24D63D8A" w14:textId="77777777" w:rsidR="009D5946" w:rsidRDefault="009D5946">
      <w:pPr>
        <w:pStyle w:val="EndnoteText"/>
      </w:pPr>
      <w:r>
        <w:rPr>
          <w:rStyle w:val="EndnoteReference"/>
        </w:rPr>
        <w:endnoteRef/>
      </w:r>
      <w:r>
        <w:t xml:space="preserve"> When credit first began to tighten in 2007, the government sponsored entities who insure mortgage loans for sale in the secondary market issued a series of guidelines on the loans they would insure. In the first version, debt-to-income</w:t>
      </w:r>
      <w:r>
        <w:fldChar w:fldCharType="begin"/>
      </w:r>
      <w:r>
        <w:instrText xml:space="preserve"> XE "</w:instrText>
      </w:r>
      <w:r w:rsidRPr="00991A9B">
        <w:rPr>
          <w:rFonts w:cs="Times New Roman"/>
        </w:rPr>
        <w:instrText>debt-to-income</w:instrText>
      </w:r>
      <w:r>
        <w:instrText xml:space="preserve">" </w:instrText>
      </w:r>
      <w:r>
        <w:fldChar w:fldCharType="end"/>
      </w:r>
      <w:r>
        <w:t xml:space="preserve"> ratios were limited to 50%. In a subsequent revision in late 2007, the debt-to-income ratio</w:t>
      </w:r>
      <w:r>
        <w:fldChar w:fldCharType="begin"/>
      </w:r>
      <w:r>
        <w:instrText xml:space="preserve"> XE "</w:instrText>
      </w:r>
      <w:r w:rsidRPr="008D771C">
        <w:rPr>
          <w:rFonts w:cs="Times New Roman"/>
        </w:rPr>
        <w:instrText>debt-to-income ratio</w:instrText>
      </w:r>
      <w:r>
        <w:instrText xml:space="preserve">" </w:instrText>
      </w:r>
      <w:r>
        <w:fldChar w:fldCharType="end"/>
      </w:r>
      <w:r>
        <w:t xml:space="preserve"> was limited to 45%. The tightening of credit was slow enough to keep some transactions occurring in the market, but fast enough to stop underwriters from originating bad loans. As of the time of this writing it is anticipated that the ratio will continue to fall.</w:t>
      </w:r>
    </w:p>
  </w:endnote>
  <w:endnote w:id="144">
    <w:p w14:paraId="4A03A62F" w14:textId="77777777" w:rsidR="009D5946" w:rsidRPr="006139B1" w:rsidRDefault="009D5946">
      <w:pPr>
        <w:pStyle w:val="EndnoteText"/>
      </w:pPr>
      <w:r>
        <w:rPr>
          <w:rStyle w:val="EndnoteReference"/>
        </w:rPr>
        <w:endnoteRef/>
      </w:r>
      <w:r>
        <w:t xml:space="preserve"> In his groundbreaking work </w:t>
      </w:r>
      <w:r w:rsidRPr="006139B1">
        <w:rPr>
          <w:bCs/>
        </w:rPr>
        <w:t>The Black Swan: The Impact of the Highly Improbable</w:t>
      </w:r>
      <w:r>
        <w:rPr>
          <w:bCs/>
        </w:rPr>
        <w:t xml:space="preserve"> </w:t>
      </w:r>
      <w:sdt>
        <w:sdtPr>
          <w:rPr>
            <w:bCs/>
          </w:rPr>
          <w:id w:val="32672895"/>
          <w:citation/>
        </w:sdtPr>
        <w:sdtContent>
          <w:r>
            <w:rPr>
              <w:bCs/>
            </w:rPr>
            <w:fldChar w:fldCharType="begin"/>
          </w:r>
          <w:r>
            <w:rPr>
              <w:bCs/>
            </w:rPr>
            <w:instrText xml:space="preserve"> CITATION Nas07 \l 1033 </w:instrText>
          </w:r>
          <w:r>
            <w:rPr>
              <w:bCs/>
            </w:rPr>
            <w:fldChar w:fldCharType="separate"/>
          </w:r>
          <w:r>
            <w:rPr>
              <w:noProof/>
            </w:rPr>
            <w:t>(Taleb, 2007)</w:t>
          </w:r>
          <w:r>
            <w:rPr>
              <w:bCs/>
            </w:rPr>
            <w:fldChar w:fldCharType="end"/>
          </w:r>
        </w:sdtContent>
      </w:sdt>
      <w:r w:rsidRPr="006139B1">
        <w:rPr>
          <w:bCs/>
        </w:rPr>
        <w:t xml:space="preserve">, </w:t>
      </w:r>
      <w:r>
        <w:rPr>
          <w:bCs/>
        </w:rPr>
        <w:t>the author describes how unpredictable and dramatic events shape our history.</w:t>
      </w:r>
    </w:p>
  </w:endnote>
  <w:endnote w:id="145">
    <w:p w14:paraId="090B24C1" w14:textId="77777777" w:rsidR="009D5946" w:rsidRDefault="009D5946">
      <w:pPr>
        <w:pStyle w:val="EndnoteText"/>
      </w:pPr>
      <w:r>
        <w:rPr>
          <w:rStyle w:val="EndnoteReference"/>
        </w:rPr>
        <w:endnoteRef/>
      </w:r>
      <w:r>
        <w:t xml:space="preserve"> There is a great synopsis of the history and calculation of the rental components of the consumer price index contained in the report </w:t>
      </w:r>
      <w:r w:rsidRPr="00766845">
        <w:t>Treatment of Owner-Occupied Housing in the CPI</w:t>
      </w:r>
      <w:r>
        <w:fldChar w:fldCharType="begin"/>
      </w:r>
      <w:r>
        <w:instrText xml:space="preserve"> XE "</w:instrText>
      </w:r>
      <w:r w:rsidRPr="00ED6E11">
        <w:rPr>
          <w:rFonts w:cs="Times New Roman"/>
        </w:rPr>
        <w:instrText>CPI</w:instrText>
      </w:r>
      <w:r>
        <w:instrText xml:space="preserve">" </w:instrText>
      </w:r>
      <w:r>
        <w:fldChar w:fldCharType="end"/>
      </w:r>
      <w:r>
        <w:t xml:space="preserve"> </w:t>
      </w:r>
      <w:sdt>
        <w:sdtPr>
          <w:id w:val="32672894"/>
          <w:citation/>
        </w:sdtPr>
        <w:sdtContent>
          <w:r>
            <w:fldChar w:fldCharType="begin"/>
          </w:r>
          <w:r>
            <w:instrText xml:space="preserve"> CITATION Rob05 \l 1033 </w:instrText>
          </w:r>
          <w:r>
            <w:fldChar w:fldCharType="separate"/>
          </w:r>
          <w:r>
            <w:rPr>
              <w:noProof/>
            </w:rPr>
            <w:t>(Poole, Ptacek, &amp; Verbrugge, 2005)</w:t>
          </w:r>
          <w:r>
            <w:rPr>
              <w:noProof/>
            </w:rPr>
            <w:fldChar w:fldCharType="end"/>
          </w:r>
        </w:sdtContent>
      </w:sdt>
      <w:r>
        <w:t>.</w:t>
      </w:r>
    </w:p>
  </w:endnote>
  <w:endnote w:id="146">
    <w:p w14:paraId="0B8DC520" w14:textId="77777777" w:rsidR="009D5946" w:rsidRDefault="009D5946">
      <w:pPr>
        <w:pStyle w:val="EndnoteText"/>
      </w:pPr>
      <w:r>
        <w:rPr>
          <w:rStyle w:val="EndnoteReference"/>
        </w:rPr>
        <w:endnoteRef/>
      </w:r>
      <w:r>
        <w:t xml:space="preserve"> In 2008 the National Association of Realtors</w:t>
      </w:r>
      <w:r>
        <w:fldChar w:fldCharType="begin"/>
      </w:r>
      <w:r>
        <w:instrText xml:space="preserve"> XE "</w:instrText>
      </w:r>
      <w:r w:rsidRPr="00D5186C">
        <w:rPr>
          <w:rFonts w:cs="Times New Roman"/>
        </w:rPr>
        <w:instrText>National Association of Realtors</w:instrText>
      </w:r>
      <w:r>
        <w:instrText xml:space="preserve">" </w:instrText>
      </w:r>
      <w:r>
        <w:fldChar w:fldCharType="end"/>
      </w:r>
      <w:r>
        <w:t xml:space="preserve"> launched a commercial advertising campaign claiming that residential real estate doubles in value every 10 years. Besides the obvious inaccuracy of the claim, it is the kind of claim no stockbroker would be allowed to make.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E7BB0" w14:textId="77777777" w:rsidR="009D5946" w:rsidRDefault="009D5946">
    <w:pPr>
      <w:pStyle w:val="Footer"/>
      <w:jc w:val="center"/>
    </w:pPr>
  </w:p>
  <w:p w14:paraId="749BC842" w14:textId="77777777" w:rsidR="009D5946" w:rsidRDefault="009D5946" w:rsidP="00A2399D">
    <w:pPr>
      <w:pStyle w:val="Foote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83654"/>
      <w:docPartObj>
        <w:docPartGallery w:val="Page Numbers (Bottom of Page)"/>
        <w:docPartUnique/>
      </w:docPartObj>
    </w:sdtPr>
    <w:sdtContent>
      <w:p w14:paraId="79BBDB87" w14:textId="77777777" w:rsidR="009D5946" w:rsidRDefault="009D5946" w:rsidP="00D3047D">
        <w:pPr>
          <w:pStyle w:val="Footer"/>
          <w:jc w:val="right"/>
        </w:pPr>
        <w:r>
          <w:fldChar w:fldCharType="begin"/>
        </w:r>
        <w:r>
          <w:instrText xml:space="preserve"> PAGE   \* MERGEFORMAT </w:instrText>
        </w:r>
        <w:r>
          <w:fldChar w:fldCharType="separate"/>
        </w:r>
        <w:r>
          <w:rPr>
            <w:noProof/>
          </w:rPr>
          <w:t>213</w:t>
        </w:r>
        <w:r>
          <w:rPr>
            <w:noProof/>
          </w:rPr>
          <w:fldChar w:fldCharType="end"/>
        </w:r>
      </w:p>
    </w:sdtContent>
  </w:sdt>
  <w:p w14:paraId="36E1B8CA" w14:textId="77777777" w:rsidR="009D5946" w:rsidRPr="00104A92" w:rsidRDefault="009D5946" w:rsidP="00104A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9EBE" w14:textId="77777777" w:rsidR="009D5946" w:rsidRDefault="009D5946" w:rsidP="00E54ABA">
    <w:pPr>
      <w:pStyle w:val="Footer"/>
      <w:ind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73065"/>
      <w:docPartObj>
        <w:docPartGallery w:val="Page Numbers (Bottom of Page)"/>
        <w:docPartUnique/>
      </w:docPartObj>
    </w:sdtPr>
    <w:sdtContent>
      <w:p w14:paraId="6315DEAE" w14:textId="77777777" w:rsidR="009D5946" w:rsidRDefault="009D5946" w:rsidP="00114A26">
        <w:pPr>
          <w:pStyle w:val="Footer"/>
          <w:jc w:val="right"/>
        </w:pPr>
        <w:r>
          <w:fldChar w:fldCharType="begin"/>
        </w:r>
        <w:r>
          <w:instrText xml:space="preserve"> PAGE   \* MERGEFORMAT </w:instrText>
        </w:r>
        <w:r>
          <w:fldChar w:fldCharType="separate"/>
        </w:r>
        <w:r>
          <w:rPr>
            <w:noProof/>
          </w:rPr>
          <w:t>v</w:t>
        </w:r>
        <w:r>
          <w:rPr>
            <w:noProof/>
          </w:rPr>
          <w:fldChar w:fldCharType="end"/>
        </w:r>
      </w:p>
    </w:sdtContent>
  </w:sdt>
  <w:p w14:paraId="590CA3C2" w14:textId="77777777" w:rsidR="009D5946" w:rsidRDefault="009D5946" w:rsidP="00E54ABA">
    <w:pPr>
      <w:pStyle w:val="Footer"/>
      <w:ind w:firstLine="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73047"/>
      <w:docPartObj>
        <w:docPartGallery w:val="Page Numbers (Bottom of Page)"/>
        <w:docPartUnique/>
      </w:docPartObj>
    </w:sdtPr>
    <w:sdtContent>
      <w:p w14:paraId="0E5C56F6" w14:textId="77777777" w:rsidR="009D5946" w:rsidRDefault="009D5946" w:rsidP="00114A26">
        <w:pPr>
          <w:pStyle w:val="Footer"/>
          <w:ind w:firstLine="0"/>
          <w:jc w:val="left"/>
        </w:pPr>
        <w:r>
          <w:fldChar w:fldCharType="begin"/>
        </w:r>
        <w:r>
          <w:instrText xml:space="preserve"> PAGE   \* MERGEFORMAT </w:instrText>
        </w:r>
        <w:r>
          <w:fldChar w:fldCharType="separate"/>
        </w:r>
        <w:r>
          <w:rPr>
            <w:noProof/>
          </w:rPr>
          <w:t>56</w:t>
        </w:r>
        <w:r>
          <w:rPr>
            <w:noProof/>
          </w:rPr>
          <w:fldChar w:fldCharType="end"/>
        </w:r>
      </w:p>
    </w:sdtContent>
  </w:sdt>
  <w:p w14:paraId="0780E254" w14:textId="77777777" w:rsidR="009D5946" w:rsidRDefault="009D5946" w:rsidP="00A2399D">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73048"/>
      <w:docPartObj>
        <w:docPartGallery w:val="Page Numbers (Bottom of Page)"/>
        <w:docPartUnique/>
      </w:docPartObj>
    </w:sdtPr>
    <w:sdtContent>
      <w:p w14:paraId="5D57F80A" w14:textId="77777777" w:rsidR="009D5946" w:rsidRDefault="009D5946" w:rsidP="00114A26">
        <w:pPr>
          <w:pStyle w:val="Footer"/>
          <w:ind w:firstLine="0"/>
          <w:jc w:val="right"/>
        </w:pPr>
        <w:r>
          <w:fldChar w:fldCharType="begin"/>
        </w:r>
        <w:r>
          <w:instrText xml:space="preserve"> PAGE   \* MERGEFORMAT </w:instrText>
        </w:r>
        <w:r>
          <w:fldChar w:fldCharType="separate"/>
        </w:r>
        <w:r>
          <w:rPr>
            <w:noProof/>
          </w:rPr>
          <w:t>ix</w:t>
        </w:r>
        <w:r>
          <w:rPr>
            <w:noProof/>
          </w:rPr>
          <w:fldChar w:fldCharType="end"/>
        </w:r>
      </w:p>
    </w:sdtContent>
  </w:sdt>
  <w:p w14:paraId="12D37A9E" w14:textId="77777777" w:rsidR="009D5946" w:rsidRDefault="009D5946" w:rsidP="00E54ABA">
    <w:pPr>
      <w:pStyle w:val="Footer"/>
      <w:ind w:firstLine="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73045"/>
      <w:docPartObj>
        <w:docPartGallery w:val="Page Numbers (Bottom of Page)"/>
        <w:docPartUnique/>
      </w:docPartObj>
    </w:sdtPr>
    <w:sdtContent>
      <w:p w14:paraId="7DE2447F" w14:textId="77777777" w:rsidR="009D5946" w:rsidRDefault="009D5946" w:rsidP="00114A26">
        <w:pPr>
          <w:pStyle w:val="Footer"/>
          <w:ind w:firstLine="0"/>
          <w:jc w:val="right"/>
        </w:pPr>
        <w:r>
          <w:fldChar w:fldCharType="begin"/>
        </w:r>
        <w:r>
          <w:instrText xml:space="preserve"> PAGE   \* MERGEFORMAT </w:instrText>
        </w:r>
        <w:r>
          <w:fldChar w:fldCharType="separate"/>
        </w:r>
        <w:r>
          <w:rPr>
            <w:noProof/>
          </w:rPr>
          <w:t>55</w:t>
        </w:r>
        <w:r>
          <w:rPr>
            <w:noProof/>
          </w:rPr>
          <w:fldChar w:fldCharType="end"/>
        </w:r>
      </w:p>
    </w:sdtContent>
  </w:sdt>
  <w:p w14:paraId="6C6AC09C" w14:textId="77777777" w:rsidR="009D5946" w:rsidRDefault="009D5946" w:rsidP="00E54ABA">
    <w:pPr>
      <w:pStyle w:val="Footer"/>
      <w:ind w:firstLine="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73038"/>
      <w:docPartObj>
        <w:docPartGallery w:val="Page Numbers (Bottom of Page)"/>
        <w:docPartUnique/>
      </w:docPartObj>
    </w:sdtPr>
    <w:sdtContent>
      <w:p w14:paraId="5BB570A6" w14:textId="77777777" w:rsidR="009D5946" w:rsidRDefault="009D5946" w:rsidP="00114A26">
        <w:pPr>
          <w:pStyle w:val="Footer"/>
          <w:jc w:val="right"/>
        </w:pPr>
        <w:r>
          <w:fldChar w:fldCharType="begin"/>
        </w:r>
        <w:r>
          <w:instrText xml:space="preserve"> PAGE   \* MERGEFORMAT </w:instrText>
        </w:r>
        <w:r>
          <w:fldChar w:fldCharType="separate"/>
        </w:r>
        <w:r>
          <w:rPr>
            <w:noProof/>
          </w:rPr>
          <w:t>57</w:t>
        </w:r>
        <w:r>
          <w:rPr>
            <w:noProof/>
          </w:rPr>
          <w:fldChar w:fldCharType="end"/>
        </w:r>
      </w:p>
    </w:sdtContent>
  </w:sdt>
  <w:p w14:paraId="5AAF6B6B" w14:textId="77777777" w:rsidR="009D5946" w:rsidRPr="00104A92" w:rsidRDefault="009D5946" w:rsidP="00104A92">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83652"/>
      <w:docPartObj>
        <w:docPartGallery w:val="Page Numbers (Bottom of Page)"/>
        <w:docPartUnique/>
      </w:docPartObj>
    </w:sdtPr>
    <w:sdtContent>
      <w:p w14:paraId="77B1B5AC" w14:textId="77777777" w:rsidR="009D5946" w:rsidRDefault="009D5946" w:rsidP="00D3047D">
        <w:pPr>
          <w:pStyle w:val="Footer"/>
          <w:ind w:firstLine="0"/>
          <w:jc w:val="left"/>
        </w:pPr>
        <w:r>
          <w:fldChar w:fldCharType="begin"/>
        </w:r>
        <w:r>
          <w:instrText xml:space="preserve"> PAGE   \* MERGEFORMAT </w:instrText>
        </w:r>
        <w:r>
          <w:fldChar w:fldCharType="separate"/>
        </w:r>
        <w:r>
          <w:rPr>
            <w:noProof/>
          </w:rPr>
          <w:t>228</w:t>
        </w:r>
        <w:r>
          <w:rPr>
            <w:noProof/>
          </w:rPr>
          <w:fldChar w:fldCharType="end"/>
        </w:r>
      </w:p>
    </w:sdtContent>
  </w:sdt>
  <w:p w14:paraId="77937F21" w14:textId="77777777" w:rsidR="009D5946" w:rsidRDefault="009D5946" w:rsidP="00A2399D">
    <w:pPr>
      <w:pStyle w:val="Foot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84705"/>
      <w:docPartObj>
        <w:docPartGallery w:val="Page Numbers (Bottom of Page)"/>
        <w:docPartUnique/>
      </w:docPartObj>
    </w:sdtPr>
    <w:sdtContent>
      <w:p w14:paraId="201FECB1" w14:textId="77777777" w:rsidR="009D5946" w:rsidRDefault="009D5946" w:rsidP="00D3047D">
        <w:pPr>
          <w:pStyle w:val="Footer"/>
          <w:ind w:firstLine="0"/>
          <w:jc w:val="right"/>
        </w:pPr>
        <w:r>
          <w:fldChar w:fldCharType="begin"/>
        </w:r>
        <w:r>
          <w:instrText xml:space="preserve"> PAGE   \* MERGEFORMAT </w:instrText>
        </w:r>
        <w:r>
          <w:fldChar w:fldCharType="separate"/>
        </w:r>
        <w:r>
          <w:rPr>
            <w:noProof/>
          </w:rPr>
          <w:t>227</w:t>
        </w:r>
        <w:r>
          <w:rPr>
            <w:noProof/>
          </w:rPr>
          <w:fldChar w:fldCharType="end"/>
        </w:r>
      </w:p>
    </w:sdtContent>
  </w:sdt>
  <w:p w14:paraId="03C80A29" w14:textId="77777777" w:rsidR="009D5946" w:rsidRDefault="009D5946" w:rsidP="00E54ABA">
    <w:pPr>
      <w:pStyle w:val="Footer"/>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7AD2F" w14:textId="77777777" w:rsidR="00CA3B4A" w:rsidRDefault="00CA3B4A" w:rsidP="001767A9">
      <w:r>
        <w:separator/>
      </w:r>
    </w:p>
  </w:footnote>
  <w:footnote w:type="continuationSeparator" w:id="0">
    <w:p w14:paraId="3E0155C4" w14:textId="77777777" w:rsidR="00CA3B4A" w:rsidRDefault="00CA3B4A" w:rsidP="00176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8C70" w14:textId="77777777" w:rsidR="009D5946" w:rsidRPr="00F55C13" w:rsidRDefault="009D5946" w:rsidP="00A660B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C388F" w14:textId="77777777" w:rsidR="009D5946" w:rsidRDefault="009D5946" w:rsidP="00A660BB">
    <w:pPr>
      <w:pStyle w:val="Header"/>
    </w:pPr>
    <w:r w:rsidRPr="00993E7C">
      <w:rPr>
        <w:rStyle w:val="SubtleReference"/>
        <w:smallCaps/>
      </w:rPr>
      <w:t>The Great Housing Bubble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4A04" w14:textId="77777777" w:rsidR="009D5946" w:rsidRPr="007A24AA" w:rsidRDefault="009D5946" w:rsidP="00A660BB">
    <w:pPr>
      <w:pStyle w:val="Header"/>
    </w:pPr>
    <w:r>
      <w:rPr>
        <w:rStyle w:val="SubtleReference"/>
        <w:smallCaps/>
      </w:rPr>
      <w:t>What is a Bubble?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503B1" w14:textId="77777777" w:rsidR="009D5946" w:rsidRDefault="009D5946" w:rsidP="00A660BB">
    <w:pPr>
      <w:pStyle w:val="Header"/>
    </w:pPr>
    <w:r w:rsidRPr="00993E7C">
      <w:rPr>
        <w:rStyle w:val="SubtleReference"/>
        <w:smallCaps/>
      </w:rPr>
      <w:t>The Great Housing Bubble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A36A" w14:textId="77777777" w:rsidR="009D5946" w:rsidRPr="007A24AA" w:rsidRDefault="009D5946" w:rsidP="00A660BB">
    <w:pPr>
      <w:pStyle w:val="Header"/>
    </w:pPr>
    <w:r>
      <w:rPr>
        <w:rStyle w:val="SubtleReference"/>
        <w:smallCaps/>
      </w:rPr>
      <w:t>Conservative House Financing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6171" w14:textId="77777777" w:rsidR="009D5946" w:rsidRDefault="009D5946" w:rsidP="00A660BB">
    <w:pPr>
      <w:pStyle w:val="Header"/>
    </w:pPr>
    <w:r w:rsidRPr="00993E7C">
      <w:rPr>
        <w:rStyle w:val="SubtleReference"/>
        <w:smallCaps/>
      </w:rPr>
      <w:t>The Great Housing Bubble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5542" w14:textId="77777777" w:rsidR="009D5946" w:rsidRPr="007A24AA" w:rsidRDefault="009D5946" w:rsidP="00A660BB">
    <w:pPr>
      <w:pStyle w:val="Header"/>
    </w:pPr>
    <w:r>
      <w:rPr>
        <w:rStyle w:val="SubtleReference"/>
        <w:smallCaps/>
      </w:rPr>
      <w:t>Fundamental Valuation of Houses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ACE2" w14:textId="77777777" w:rsidR="009D5946" w:rsidRDefault="009D5946" w:rsidP="00A660BB">
    <w:pPr>
      <w:pStyle w:val="Header"/>
    </w:pPr>
    <w:r w:rsidRPr="00993E7C">
      <w:rPr>
        <w:rStyle w:val="SubtleReference"/>
        <w:smallCaps/>
      </w:rPr>
      <w:t>The Great Housing Bubble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2AC5" w14:textId="77777777" w:rsidR="009D5946" w:rsidRPr="007A24AA" w:rsidRDefault="009D5946" w:rsidP="00A660BB">
    <w:pPr>
      <w:pStyle w:val="Header"/>
    </w:pPr>
    <w:r>
      <w:t>Valuation of Lots and Raw Land</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79D" w14:textId="77777777" w:rsidR="009D5946" w:rsidRDefault="009D5946" w:rsidP="00A660BB">
    <w:pPr>
      <w:pStyle w:val="Header"/>
    </w:pPr>
    <w:r w:rsidRPr="00993E7C">
      <w:rPr>
        <w:rStyle w:val="SubtleReference"/>
        <w:smallCaps/>
      </w:rPr>
      <w:t>The Great Housing Bubble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96DA" w14:textId="77777777" w:rsidR="009D5946" w:rsidRPr="007A24AA" w:rsidRDefault="009D5946" w:rsidP="00A660BB">
    <w:pPr>
      <w:pStyle w:val="Header"/>
    </w:pPr>
    <w:r>
      <w:rPr>
        <w:rStyle w:val="SubtleReference"/>
        <w:smallCaps/>
      </w:rPr>
      <w:t>The Credit Bubble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7474" w14:textId="77777777" w:rsidR="009D5946" w:rsidRPr="00D81AF4" w:rsidRDefault="009D5946" w:rsidP="00A660B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E06DA" w14:textId="77777777" w:rsidR="009D5946" w:rsidRDefault="009D5946" w:rsidP="00A660BB">
    <w:pPr>
      <w:pStyle w:val="Header"/>
    </w:pPr>
    <w:r w:rsidRPr="00993E7C">
      <w:rPr>
        <w:rStyle w:val="SubtleReference"/>
        <w:smallCaps/>
      </w:rPr>
      <w:t>The Great Housing Bubble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D6B26" w14:textId="77777777" w:rsidR="009D5946" w:rsidRPr="007A24AA" w:rsidRDefault="009D5946" w:rsidP="00A660BB">
    <w:pPr>
      <w:pStyle w:val="Header"/>
    </w:pPr>
    <w:r>
      <w:rPr>
        <w:rStyle w:val="SubtleReference"/>
        <w:smallCaps/>
      </w:rPr>
      <w:t>The Housing Bubble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DBC9" w14:textId="77777777" w:rsidR="009D5946" w:rsidRDefault="009D5946" w:rsidP="00A660BB">
    <w:pPr>
      <w:pStyle w:val="Header"/>
    </w:pPr>
    <w:r w:rsidRPr="00993E7C">
      <w:rPr>
        <w:rStyle w:val="SubtleReference"/>
        <w:smallCaps/>
      </w:rPr>
      <w:t>The Great Housing Bubble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404F" w14:textId="77777777" w:rsidR="009D5946" w:rsidRPr="007A24AA" w:rsidRDefault="009D5946" w:rsidP="00A660BB">
    <w:pPr>
      <w:pStyle w:val="Header"/>
    </w:pPr>
    <w:r>
      <w:rPr>
        <w:rStyle w:val="SubtleReference"/>
        <w:smallCaps/>
      </w:rPr>
      <w:t>Bubble Market Psychology</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DE5D" w14:textId="77777777" w:rsidR="009D5946" w:rsidRDefault="009D5946" w:rsidP="00A660BB">
    <w:pPr>
      <w:pStyle w:val="Header"/>
    </w:pPr>
    <w:r w:rsidRPr="00993E7C">
      <w:rPr>
        <w:rStyle w:val="SubtleReference"/>
        <w:smallCaps/>
      </w:rPr>
      <w:t>The Great Housing Bubble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F54D" w14:textId="77777777" w:rsidR="009D5946" w:rsidRPr="007A24AA" w:rsidRDefault="009D5946" w:rsidP="00A660BB">
    <w:pPr>
      <w:pStyle w:val="Header"/>
    </w:pPr>
    <w:r>
      <w:rPr>
        <w:rStyle w:val="SubtleReference"/>
        <w:smallCaps/>
      </w:rPr>
      <w:t>Future House Prices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E671" w14:textId="77777777" w:rsidR="009D5946" w:rsidRDefault="009D5946" w:rsidP="00A660BB">
    <w:pPr>
      <w:pStyle w:val="Header"/>
    </w:pPr>
    <w:r w:rsidRPr="00993E7C">
      <w:rPr>
        <w:rStyle w:val="SubtleReference"/>
        <w:smallCaps/>
      </w:rPr>
      <w:t>The Great Housing Bubble</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5268" w14:textId="77777777" w:rsidR="009D5946" w:rsidRPr="007A24AA" w:rsidRDefault="009D5946" w:rsidP="00A660BB">
    <w:pPr>
      <w:pStyle w:val="Header"/>
    </w:pPr>
    <w:r>
      <w:rPr>
        <w:rStyle w:val="SubtleReference"/>
        <w:smallCaps/>
      </w:rPr>
      <w:t>Buying and Selling During a Decline</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2CE9" w14:textId="77777777" w:rsidR="009D5946" w:rsidRDefault="009D5946" w:rsidP="00A660B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DB15" w14:textId="77777777" w:rsidR="009D5946" w:rsidRDefault="009D5946" w:rsidP="00A660BB">
    <w:pPr>
      <w:pStyle w:val="Header"/>
    </w:pPr>
    <w:r w:rsidRPr="00993E7C">
      <w:rPr>
        <w:rStyle w:val="SubtleReference"/>
        <w:smallCaps/>
      </w:rPr>
      <w:t>The Great Housing Bubble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72F2" w14:textId="77777777" w:rsidR="009D5946" w:rsidRPr="007A24AA" w:rsidRDefault="009D5946" w:rsidP="00A660BB">
    <w:pPr>
      <w:pStyle w:val="Header"/>
    </w:pPr>
    <w:r>
      <w:t>Acknowledgements</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1046" w14:textId="77777777" w:rsidR="009D5946" w:rsidRPr="007A24AA" w:rsidRDefault="009D5946" w:rsidP="00A660BB">
    <w:pPr>
      <w:pStyle w:val="Header"/>
    </w:pPr>
    <w:r>
      <w:rPr>
        <w:rStyle w:val="SubtleReference"/>
        <w:smallCaps/>
      </w:rPr>
      <w:t>Preventing the Next Housing Bubble</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BD61" w14:textId="77777777" w:rsidR="009D5946" w:rsidRDefault="009D5946" w:rsidP="00A660BB">
    <w:pPr>
      <w:pStyle w:val="Header"/>
    </w:pPr>
    <w:r w:rsidRPr="00993E7C">
      <w:rPr>
        <w:rStyle w:val="SubtleReference"/>
        <w:smallCaps/>
      </w:rPr>
      <w:t>The Great Housing Bubble</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506A8" w14:textId="77777777" w:rsidR="009D5946" w:rsidRPr="00993E7C" w:rsidRDefault="009D5946" w:rsidP="00A660BB">
    <w:pPr>
      <w:pStyle w:val="Header"/>
    </w:pPr>
    <w:r>
      <w:t>Bibliography</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D403" w14:textId="77777777" w:rsidR="009D5946" w:rsidRDefault="009D5946" w:rsidP="00A660B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2FD3" w14:textId="77777777" w:rsidR="009D5946" w:rsidRDefault="009D5946" w:rsidP="00A660BB">
    <w:pPr>
      <w:pStyle w:val="Header"/>
    </w:pPr>
    <w:r w:rsidRPr="00993E7C">
      <w:rPr>
        <w:rStyle w:val="SubtleReference"/>
        <w:smallCaps/>
      </w:rPr>
      <w:t>The Great Housing Bubble</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484A" w14:textId="77777777" w:rsidR="009D5946" w:rsidRPr="00993E7C" w:rsidRDefault="009D5946" w:rsidP="00A660BB">
    <w:pPr>
      <w:pStyle w:val="Header"/>
    </w:pPr>
    <w:r>
      <w:t>Index</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872A" w14:textId="77777777" w:rsidR="009D5946" w:rsidRDefault="009D5946" w:rsidP="00A660BB">
    <w:pPr>
      <w:pStyle w:val="Header"/>
    </w:pPr>
    <w:r w:rsidRPr="00993E7C">
      <w:rPr>
        <w:rStyle w:val="SubtleReference"/>
        <w:smallCaps/>
      </w:rPr>
      <w:t>The Great Housing Bubble</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D428" w14:textId="77777777" w:rsidR="009D5946" w:rsidRPr="00993E7C" w:rsidRDefault="009D5946" w:rsidP="00A660BB">
    <w:pPr>
      <w:pStyle w:val="Header"/>
    </w:pPr>
    <w:r>
      <w:t>End Notes</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F361" w14:textId="77777777" w:rsidR="009D5946" w:rsidRDefault="009D5946" w:rsidP="00A660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D8B4" w14:textId="77777777" w:rsidR="009D5946" w:rsidRDefault="009D5946" w:rsidP="00A660BB">
    <w:pPr>
      <w:pStyle w:val="Header"/>
    </w:pPr>
    <w:r w:rsidRPr="00993E7C">
      <w:rPr>
        <w:rStyle w:val="SubtleReference"/>
        <w:smallCaps/>
      </w:rPr>
      <w:t>The Great Housing Bubble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3299" w14:textId="77777777" w:rsidR="009D5946" w:rsidRPr="007A24AA" w:rsidRDefault="009D5946" w:rsidP="00A660BB">
    <w:pPr>
      <w:pStyle w:val="Header"/>
    </w:pPr>
    <w:r>
      <w:t>Table of Contents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708A" w14:textId="77777777" w:rsidR="009D5946" w:rsidRPr="007A24AA" w:rsidRDefault="009D5946" w:rsidP="00A660BB">
    <w:pPr>
      <w:pStyle w:val="Header"/>
    </w:pPr>
    <w:r>
      <w:t>List of Equations, Tables and Figures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3C07" w14:textId="77777777" w:rsidR="009D5946" w:rsidRPr="0038574D" w:rsidRDefault="009D5946" w:rsidP="00A660BB">
    <w:pPr>
      <w:pStyle w:val="Header"/>
    </w:pPr>
    <w:r w:rsidRPr="0038574D">
      <w:rPr>
        <w:rStyle w:val="SubtleReference"/>
        <w:smallCaps/>
      </w:rPr>
      <w:t>Preface</w:t>
    </w:r>
    <w:r>
      <w:rPr>
        <w:rStyle w:val="SubtleReference"/>
        <w:smallCaps/>
      </w:rPr>
      <w:t>–</w:t>
    </w:r>
    <w:r w:rsidRPr="0038574D">
      <w:rPr>
        <w:rStyle w:val="SubtleReference"/>
        <w:smallCaps/>
      </w:rPr>
      <w:t>The Reservoir of Schadenfreude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43D11" w14:textId="77777777" w:rsidR="009D5946" w:rsidRDefault="009D5946" w:rsidP="00A660BB">
    <w:pPr>
      <w:pStyle w:val="Header"/>
    </w:pPr>
    <w:r w:rsidRPr="00993E7C">
      <w:rPr>
        <w:rStyle w:val="SubtleReference"/>
        <w:smallCaps/>
      </w:rPr>
      <w:t>The Great Housing Bubble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272D" w14:textId="77777777" w:rsidR="009D5946" w:rsidRPr="007A24AA" w:rsidRDefault="009D5946" w:rsidP="00A660BB">
    <w:pPr>
      <w:pStyle w:val="Header"/>
    </w:pPr>
    <w:r>
      <w:rPr>
        <w:rStyle w:val="SubtleReference"/>
        <w:smallCaps/>
      </w:rPr>
      <w:t>Introduction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C8D0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B0C098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8E4DA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E0AA3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E147D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42E1C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26DFE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35250B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0408D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06FE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311710"/>
    <w:multiLevelType w:val="hybridMultilevel"/>
    <w:tmpl w:val="F0548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6B3337"/>
    <w:multiLevelType w:val="hybridMultilevel"/>
    <w:tmpl w:val="00AAC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852019"/>
    <w:multiLevelType w:val="multilevel"/>
    <w:tmpl w:val="2B9C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97753B"/>
    <w:multiLevelType w:val="hybridMultilevel"/>
    <w:tmpl w:val="436A94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F597B11"/>
    <w:multiLevelType w:val="hybridMultilevel"/>
    <w:tmpl w:val="1B6662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1C90022"/>
    <w:multiLevelType w:val="hybridMultilevel"/>
    <w:tmpl w:val="A004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760AB5"/>
    <w:multiLevelType w:val="hybridMultilevel"/>
    <w:tmpl w:val="06A67B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251B0B"/>
    <w:multiLevelType w:val="hybridMultilevel"/>
    <w:tmpl w:val="E774F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734596"/>
    <w:multiLevelType w:val="hybridMultilevel"/>
    <w:tmpl w:val="9168B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C0600F"/>
    <w:multiLevelType w:val="hybridMultilevel"/>
    <w:tmpl w:val="BBD8F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8726D2"/>
    <w:multiLevelType w:val="hybridMultilevel"/>
    <w:tmpl w:val="F1362D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AB4D71"/>
    <w:multiLevelType w:val="hybridMultilevel"/>
    <w:tmpl w:val="43881C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371F9F"/>
    <w:multiLevelType w:val="hybridMultilevel"/>
    <w:tmpl w:val="BD3056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5BD3575"/>
    <w:multiLevelType w:val="hybridMultilevel"/>
    <w:tmpl w:val="09F078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6875A2F"/>
    <w:multiLevelType w:val="multilevel"/>
    <w:tmpl w:val="2A3A4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9E5A31"/>
    <w:multiLevelType w:val="hybridMultilevel"/>
    <w:tmpl w:val="9D30CF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1A4E6E"/>
    <w:multiLevelType w:val="multilevel"/>
    <w:tmpl w:val="0A6A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2F71A9"/>
    <w:multiLevelType w:val="multilevel"/>
    <w:tmpl w:val="43FA2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811FB1"/>
    <w:multiLevelType w:val="hybridMultilevel"/>
    <w:tmpl w:val="206C13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6E55F9"/>
    <w:multiLevelType w:val="hybridMultilevel"/>
    <w:tmpl w:val="DD883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3504EC"/>
    <w:multiLevelType w:val="hybridMultilevel"/>
    <w:tmpl w:val="0BEA7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DCE3986"/>
    <w:multiLevelType w:val="hybridMultilevel"/>
    <w:tmpl w:val="295C2882"/>
    <w:lvl w:ilvl="0" w:tplc="C99AB9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88725F"/>
    <w:multiLevelType w:val="hybridMultilevel"/>
    <w:tmpl w:val="2AC88932"/>
    <w:lvl w:ilvl="0" w:tplc="C99AB9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841E43"/>
    <w:multiLevelType w:val="multilevel"/>
    <w:tmpl w:val="52502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FA2641"/>
    <w:multiLevelType w:val="hybridMultilevel"/>
    <w:tmpl w:val="6D6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607CDD"/>
    <w:multiLevelType w:val="hybridMultilevel"/>
    <w:tmpl w:val="D97C11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6521654">
    <w:abstractNumId w:val="25"/>
  </w:num>
  <w:num w:numId="2" w16cid:durableId="1279679054">
    <w:abstractNumId w:val="19"/>
  </w:num>
  <w:num w:numId="3" w16cid:durableId="1176917737">
    <w:abstractNumId w:val="34"/>
  </w:num>
  <w:num w:numId="4" w16cid:durableId="1207448799">
    <w:abstractNumId w:val="22"/>
  </w:num>
  <w:num w:numId="5" w16cid:durableId="1603220148">
    <w:abstractNumId w:val="23"/>
  </w:num>
  <w:num w:numId="6" w16cid:durableId="1956062788">
    <w:abstractNumId w:val="13"/>
  </w:num>
  <w:num w:numId="7" w16cid:durableId="1726442914">
    <w:abstractNumId w:val="14"/>
  </w:num>
  <w:num w:numId="8" w16cid:durableId="1548451336">
    <w:abstractNumId w:val="26"/>
  </w:num>
  <w:num w:numId="9" w16cid:durableId="1900478792">
    <w:abstractNumId w:val="15"/>
  </w:num>
  <w:num w:numId="10" w16cid:durableId="1695960887">
    <w:abstractNumId w:val="17"/>
  </w:num>
  <w:num w:numId="11" w16cid:durableId="1227767668">
    <w:abstractNumId w:val="10"/>
  </w:num>
  <w:num w:numId="12" w16cid:durableId="1761635628">
    <w:abstractNumId w:val="29"/>
  </w:num>
  <w:num w:numId="13" w16cid:durableId="175048009">
    <w:abstractNumId w:val="11"/>
  </w:num>
  <w:num w:numId="14" w16cid:durableId="1611089909">
    <w:abstractNumId w:val="18"/>
  </w:num>
  <w:num w:numId="15" w16cid:durableId="1942254850">
    <w:abstractNumId w:val="21"/>
  </w:num>
  <w:num w:numId="16" w16cid:durableId="1950158549">
    <w:abstractNumId w:val="32"/>
  </w:num>
  <w:num w:numId="17" w16cid:durableId="324744932">
    <w:abstractNumId w:val="31"/>
  </w:num>
  <w:num w:numId="18" w16cid:durableId="692802883">
    <w:abstractNumId w:val="9"/>
  </w:num>
  <w:num w:numId="19" w16cid:durableId="976760617">
    <w:abstractNumId w:val="7"/>
  </w:num>
  <w:num w:numId="20" w16cid:durableId="999965007">
    <w:abstractNumId w:val="6"/>
  </w:num>
  <w:num w:numId="21" w16cid:durableId="1594389895">
    <w:abstractNumId w:val="5"/>
  </w:num>
  <w:num w:numId="22" w16cid:durableId="1830562249">
    <w:abstractNumId w:val="4"/>
  </w:num>
  <w:num w:numId="23" w16cid:durableId="1948006716">
    <w:abstractNumId w:val="8"/>
  </w:num>
  <w:num w:numId="24" w16cid:durableId="148600379">
    <w:abstractNumId w:val="3"/>
  </w:num>
  <w:num w:numId="25" w16cid:durableId="1885362931">
    <w:abstractNumId w:val="2"/>
  </w:num>
  <w:num w:numId="26" w16cid:durableId="346757423">
    <w:abstractNumId w:val="1"/>
  </w:num>
  <w:num w:numId="27" w16cid:durableId="2098555670">
    <w:abstractNumId w:val="0"/>
  </w:num>
  <w:num w:numId="28" w16cid:durableId="1159349808">
    <w:abstractNumId w:val="28"/>
  </w:num>
  <w:num w:numId="29" w16cid:durableId="973678829">
    <w:abstractNumId w:val="20"/>
  </w:num>
  <w:num w:numId="30" w16cid:durableId="615449442">
    <w:abstractNumId w:val="35"/>
  </w:num>
  <w:num w:numId="31" w16cid:durableId="28654376">
    <w:abstractNumId w:val="12"/>
  </w:num>
  <w:num w:numId="32" w16cid:durableId="930506846">
    <w:abstractNumId w:val="27"/>
  </w:num>
  <w:num w:numId="33" w16cid:durableId="1084493288">
    <w:abstractNumId w:val="33"/>
  </w:num>
  <w:num w:numId="34" w16cid:durableId="376052268">
    <w:abstractNumId w:val="24"/>
  </w:num>
  <w:num w:numId="35" w16cid:durableId="2002268824">
    <w:abstractNumId w:val="16"/>
  </w:num>
  <w:num w:numId="36" w16cid:durableId="149903121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consecutiveHyphenLimit w:val="3"/>
  <w:hyphenationZone w:val="720"/>
  <w:doNotHyphenateCaps/>
  <w:evenAndOddHeaders/>
  <w:drawingGridHorizontalSpacing w:val="100"/>
  <w:displayHorizontalDrawingGridEvery w:val="2"/>
  <w:characterSpacingControl w:val="doNotCompress"/>
  <w:hdrShapeDefaults>
    <o:shapedefaults v:ext="edit" spidmax="2052" style="mso-width-percent:1000;mso-width-relative:margin"/>
  </w:hdrShapeDefaults>
  <w:footnotePr>
    <w:footnote w:id="-1"/>
    <w:footnote w:id="0"/>
  </w:footnotePr>
  <w:endnotePr>
    <w:numFmt w:val="decimal"/>
    <w:endnote w:id="-1"/>
    <w:endnote w:id="0"/>
  </w:endnotePr>
  <w:compat>
    <w:wpJustification/>
    <w:noExtraLineSpacing/>
    <w:suppressSpBfAfterPgBrk/>
    <w:noSpaceRaiseLower/>
    <w:doNotUseHTMLParagraphAutoSpacing/>
    <w:useFELayout/>
    <w:compatSetting w:name="compatibilityMode" w:uri="http://schemas.microsoft.com/office/word" w:val="12"/>
    <w:compatSetting w:name="useWord2013TrackBottomHyphenation" w:uri="http://schemas.microsoft.com/office/word" w:val="1"/>
  </w:compat>
  <w:rsids>
    <w:rsidRoot w:val="001767A9"/>
    <w:rsid w:val="00000B92"/>
    <w:rsid w:val="000018A2"/>
    <w:rsid w:val="00001ADC"/>
    <w:rsid w:val="000031C7"/>
    <w:rsid w:val="00003795"/>
    <w:rsid w:val="0001034B"/>
    <w:rsid w:val="00010CEA"/>
    <w:rsid w:val="000110D4"/>
    <w:rsid w:val="00012A64"/>
    <w:rsid w:val="0001380E"/>
    <w:rsid w:val="000144CC"/>
    <w:rsid w:val="0001530B"/>
    <w:rsid w:val="00015E07"/>
    <w:rsid w:val="0002100D"/>
    <w:rsid w:val="00022359"/>
    <w:rsid w:val="00022CA3"/>
    <w:rsid w:val="00023B15"/>
    <w:rsid w:val="00024D7F"/>
    <w:rsid w:val="000261EF"/>
    <w:rsid w:val="000268AA"/>
    <w:rsid w:val="00026CD1"/>
    <w:rsid w:val="00027320"/>
    <w:rsid w:val="0002733A"/>
    <w:rsid w:val="00027B0E"/>
    <w:rsid w:val="00030A7E"/>
    <w:rsid w:val="000313CD"/>
    <w:rsid w:val="0003260E"/>
    <w:rsid w:val="00036A52"/>
    <w:rsid w:val="00036F2E"/>
    <w:rsid w:val="00037009"/>
    <w:rsid w:val="00040D67"/>
    <w:rsid w:val="00041D11"/>
    <w:rsid w:val="00042946"/>
    <w:rsid w:val="00044687"/>
    <w:rsid w:val="0004483D"/>
    <w:rsid w:val="0004597A"/>
    <w:rsid w:val="00046666"/>
    <w:rsid w:val="00046A12"/>
    <w:rsid w:val="00046F91"/>
    <w:rsid w:val="00047684"/>
    <w:rsid w:val="00047CE6"/>
    <w:rsid w:val="000520FE"/>
    <w:rsid w:val="0005481B"/>
    <w:rsid w:val="00055784"/>
    <w:rsid w:val="00055D28"/>
    <w:rsid w:val="00056AEE"/>
    <w:rsid w:val="00057A74"/>
    <w:rsid w:val="00063054"/>
    <w:rsid w:val="000653E9"/>
    <w:rsid w:val="00066C7D"/>
    <w:rsid w:val="00073902"/>
    <w:rsid w:val="00073FF4"/>
    <w:rsid w:val="00074436"/>
    <w:rsid w:val="00074DFE"/>
    <w:rsid w:val="0007562D"/>
    <w:rsid w:val="00076131"/>
    <w:rsid w:val="000761E2"/>
    <w:rsid w:val="00076219"/>
    <w:rsid w:val="00077255"/>
    <w:rsid w:val="00077E37"/>
    <w:rsid w:val="00081711"/>
    <w:rsid w:val="0008178A"/>
    <w:rsid w:val="000820E4"/>
    <w:rsid w:val="00084103"/>
    <w:rsid w:val="00085BDA"/>
    <w:rsid w:val="000867A6"/>
    <w:rsid w:val="000867E8"/>
    <w:rsid w:val="00091858"/>
    <w:rsid w:val="00092F28"/>
    <w:rsid w:val="00093055"/>
    <w:rsid w:val="00093845"/>
    <w:rsid w:val="00093EC4"/>
    <w:rsid w:val="000946A5"/>
    <w:rsid w:val="00095387"/>
    <w:rsid w:val="00095F2A"/>
    <w:rsid w:val="000A01E4"/>
    <w:rsid w:val="000A7EF5"/>
    <w:rsid w:val="000B0A23"/>
    <w:rsid w:val="000B0CA4"/>
    <w:rsid w:val="000B286C"/>
    <w:rsid w:val="000B2F6F"/>
    <w:rsid w:val="000B33A0"/>
    <w:rsid w:val="000B33F0"/>
    <w:rsid w:val="000B37E8"/>
    <w:rsid w:val="000B6029"/>
    <w:rsid w:val="000C2C71"/>
    <w:rsid w:val="000C3256"/>
    <w:rsid w:val="000C3366"/>
    <w:rsid w:val="000C3A68"/>
    <w:rsid w:val="000C4628"/>
    <w:rsid w:val="000C504D"/>
    <w:rsid w:val="000C6734"/>
    <w:rsid w:val="000C79C4"/>
    <w:rsid w:val="000D2B38"/>
    <w:rsid w:val="000D336B"/>
    <w:rsid w:val="000D44E4"/>
    <w:rsid w:val="000D67D5"/>
    <w:rsid w:val="000D7968"/>
    <w:rsid w:val="000D7C01"/>
    <w:rsid w:val="000E0F7B"/>
    <w:rsid w:val="000E33BD"/>
    <w:rsid w:val="000E3E34"/>
    <w:rsid w:val="000E5AE3"/>
    <w:rsid w:val="000E6437"/>
    <w:rsid w:val="000E6768"/>
    <w:rsid w:val="000E7151"/>
    <w:rsid w:val="000F0762"/>
    <w:rsid w:val="000F0953"/>
    <w:rsid w:val="000F1D74"/>
    <w:rsid w:val="000F30B2"/>
    <w:rsid w:val="000F471F"/>
    <w:rsid w:val="000F5F1F"/>
    <w:rsid w:val="000F68A3"/>
    <w:rsid w:val="001008D7"/>
    <w:rsid w:val="001011A1"/>
    <w:rsid w:val="001011CC"/>
    <w:rsid w:val="00103E0C"/>
    <w:rsid w:val="0010462B"/>
    <w:rsid w:val="00104A92"/>
    <w:rsid w:val="00105B9C"/>
    <w:rsid w:val="001061B0"/>
    <w:rsid w:val="0010685B"/>
    <w:rsid w:val="00107056"/>
    <w:rsid w:val="0011046C"/>
    <w:rsid w:val="001112A5"/>
    <w:rsid w:val="0011165A"/>
    <w:rsid w:val="00114A26"/>
    <w:rsid w:val="001158BB"/>
    <w:rsid w:val="00116604"/>
    <w:rsid w:val="001175E1"/>
    <w:rsid w:val="00120278"/>
    <w:rsid w:val="0012196C"/>
    <w:rsid w:val="00122BB1"/>
    <w:rsid w:val="00122C5F"/>
    <w:rsid w:val="001235E1"/>
    <w:rsid w:val="0012398E"/>
    <w:rsid w:val="00124B71"/>
    <w:rsid w:val="0012635C"/>
    <w:rsid w:val="00126B1B"/>
    <w:rsid w:val="00127EA0"/>
    <w:rsid w:val="00131530"/>
    <w:rsid w:val="00131BA8"/>
    <w:rsid w:val="00131E40"/>
    <w:rsid w:val="001323B0"/>
    <w:rsid w:val="00135F65"/>
    <w:rsid w:val="001408EC"/>
    <w:rsid w:val="00140F26"/>
    <w:rsid w:val="001417E0"/>
    <w:rsid w:val="0014187F"/>
    <w:rsid w:val="0014197B"/>
    <w:rsid w:val="001429CA"/>
    <w:rsid w:val="001429DA"/>
    <w:rsid w:val="00144121"/>
    <w:rsid w:val="001447B8"/>
    <w:rsid w:val="00146A5D"/>
    <w:rsid w:val="0015353C"/>
    <w:rsid w:val="00154F12"/>
    <w:rsid w:val="00155451"/>
    <w:rsid w:val="00155FF1"/>
    <w:rsid w:val="00156063"/>
    <w:rsid w:val="001562F9"/>
    <w:rsid w:val="00156D21"/>
    <w:rsid w:val="00160680"/>
    <w:rsid w:val="001606F1"/>
    <w:rsid w:val="001611C2"/>
    <w:rsid w:val="00161307"/>
    <w:rsid w:val="0016137D"/>
    <w:rsid w:val="00161565"/>
    <w:rsid w:val="00162B12"/>
    <w:rsid w:val="00164710"/>
    <w:rsid w:val="00164FE3"/>
    <w:rsid w:val="00165DD4"/>
    <w:rsid w:val="0017153C"/>
    <w:rsid w:val="001725F9"/>
    <w:rsid w:val="001729F0"/>
    <w:rsid w:val="00173954"/>
    <w:rsid w:val="00173AA5"/>
    <w:rsid w:val="001742E5"/>
    <w:rsid w:val="0017599A"/>
    <w:rsid w:val="0017649F"/>
    <w:rsid w:val="001767A9"/>
    <w:rsid w:val="00176C5B"/>
    <w:rsid w:val="00180818"/>
    <w:rsid w:val="001809EA"/>
    <w:rsid w:val="00180E6F"/>
    <w:rsid w:val="00181D08"/>
    <w:rsid w:val="001828C0"/>
    <w:rsid w:val="00182961"/>
    <w:rsid w:val="00182F8D"/>
    <w:rsid w:val="0018412D"/>
    <w:rsid w:val="001841D8"/>
    <w:rsid w:val="001858B5"/>
    <w:rsid w:val="00186DEB"/>
    <w:rsid w:val="0019071F"/>
    <w:rsid w:val="00192445"/>
    <w:rsid w:val="00193211"/>
    <w:rsid w:val="00194691"/>
    <w:rsid w:val="00194E69"/>
    <w:rsid w:val="00197454"/>
    <w:rsid w:val="001A03C9"/>
    <w:rsid w:val="001A0C2F"/>
    <w:rsid w:val="001A2138"/>
    <w:rsid w:val="001A34D5"/>
    <w:rsid w:val="001A408F"/>
    <w:rsid w:val="001A5388"/>
    <w:rsid w:val="001A53F8"/>
    <w:rsid w:val="001A7557"/>
    <w:rsid w:val="001B3D96"/>
    <w:rsid w:val="001B4860"/>
    <w:rsid w:val="001C09F0"/>
    <w:rsid w:val="001C10CC"/>
    <w:rsid w:val="001C186B"/>
    <w:rsid w:val="001C1C24"/>
    <w:rsid w:val="001C5F7A"/>
    <w:rsid w:val="001C7154"/>
    <w:rsid w:val="001C7CDB"/>
    <w:rsid w:val="001C7E25"/>
    <w:rsid w:val="001D0176"/>
    <w:rsid w:val="001D0A2D"/>
    <w:rsid w:val="001D0DBB"/>
    <w:rsid w:val="001D26CA"/>
    <w:rsid w:val="001D3784"/>
    <w:rsid w:val="001D3ABC"/>
    <w:rsid w:val="001D487E"/>
    <w:rsid w:val="001D4DBC"/>
    <w:rsid w:val="001D635E"/>
    <w:rsid w:val="001E29C8"/>
    <w:rsid w:val="001E3E5A"/>
    <w:rsid w:val="001E6AEA"/>
    <w:rsid w:val="001E70C7"/>
    <w:rsid w:val="001E75BC"/>
    <w:rsid w:val="001F09EA"/>
    <w:rsid w:val="001F15DE"/>
    <w:rsid w:val="001F1886"/>
    <w:rsid w:val="001F1C46"/>
    <w:rsid w:val="001F36BF"/>
    <w:rsid w:val="001F47A8"/>
    <w:rsid w:val="001F4FE6"/>
    <w:rsid w:val="001F622C"/>
    <w:rsid w:val="00200B4F"/>
    <w:rsid w:val="00202741"/>
    <w:rsid w:val="00202D40"/>
    <w:rsid w:val="00210024"/>
    <w:rsid w:val="00210DED"/>
    <w:rsid w:val="0021265C"/>
    <w:rsid w:val="00214766"/>
    <w:rsid w:val="00214B53"/>
    <w:rsid w:val="00215CB0"/>
    <w:rsid w:val="0021621D"/>
    <w:rsid w:val="00220B9E"/>
    <w:rsid w:val="0022406E"/>
    <w:rsid w:val="0022527D"/>
    <w:rsid w:val="00225911"/>
    <w:rsid w:val="0022596F"/>
    <w:rsid w:val="002264F7"/>
    <w:rsid w:val="0022677D"/>
    <w:rsid w:val="00226780"/>
    <w:rsid w:val="00226C02"/>
    <w:rsid w:val="00226E97"/>
    <w:rsid w:val="002270D5"/>
    <w:rsid w:val="0022713A"/>
    <w:rsid w:val="002301BC"/>
    <w:rsid w:val="00230C2C"/>
    <w:rsid w:val="002321D5"/>
    <w:rsid w:val="002324C1"/>
    <w:rsid w:val="002326B2"/>
    <w:rsid w:val="00233C4D"/>
    <w:rsid w:val="00233E14"/>
    <w:rsid w:val="00233E60"/>
    <w:rsid w:val="002340E4"/>
    <w:rsid w:val="00234598"/>
    <w:rsid w:val="00235068"/>
    <w:rsid w:val="0023523C"/>
    <w:rsid w:val="00236D4E"/>
    <w:rsid w:val="00240C86"/>
    <w:rsid w:val="00241A3F"/>
    <w:rsid w:val="00243A15"/>
    <w:rsid w:val="00245616"/>
    <w:rsid w:val="0025087F"/>
    <w:rsid w:val="00250F73"/>
    <w:rsid w:val="00251C5D"/>
    <w:rsid w:val="002541D8"/>
    <w:rsid w:val="002561E8"/>
    <w:rsid w:val="0026106F"/>
    <w:rsid w:val="00262F57"/>
    <w:rsid w:val="00263B2B"/>
    <w:rsid w:val="0026640C"/>
    <w:rsid w:val="002703E4"/>
    <w:rsid w:val="002713C9"/>
    <w:rsid w:val="00271D13"/>
    <w:rsid w:val="0027438F"/>
    <w:rsid w:val="002759CE"/>
    <w:rsid w:val="00275F1F"/>
    <w:rsid w:val="00277290"/>
    <w:rsid w:val="0027778B"/>
    <w:rsid w:val="002801C0"/>
    <w:rsid w:val="00282A0B"/>
    <w:rsid w:val="0028333A"/>
    <w:rsid w:val="0028409E"/>
    <w:rsid w:val="00287A53"/>
    <w:rsid w:val="00291117"/>
    <w:rsid w:val="00292F0F"/>
    <w:rsid w:val="002935EA"/>
    <w:rsid w:val="0029485B"/>
    <w:rsid w:val="00294B18"/>
    <w:rsid w:val="00294C12"/>
    <w:rsid w:val="002961F1"/>
    <w:rsid w:val="00297433"/>
    <w:rsid w:val="00297B80"/>
    <w:rsid w:val="002A1208"/>
    <w:rsid w:val="002A1607"/>
    <w:rsid w:val="002A2E21"/>
    <w:rsid w:val="002A40C9"/>
    <w:rsid w:val="002A5C6E"/>
    <w:rsid w:val="002A66F2"/>
    <w:rsid w:val="002B0609"/>
    <w:rsid w:val="002B0933"/>
    <w:rsid w:val="002B0A3B"/>
    <w:rsid w:val="002B2201"/>
    <w:rsid w:val="002B500D"/>
    <w:rsid w:val="002B560D"/>
    <w:rsid w:val="002B6101"/>
    <w:rsid w:val="002B62C0"/>
    <w:rsid w:val="002B6617"/>
    <w:rsid w:val="002B66F0"/>
    <w:rsid w:val="002B67B1"/>
    <w:rsid w:val="002B761F"/>
    <w:rsid w:val="002B7784"/>
    <w:rsid w:val="002C04CD"/>
    <w:rsid w:val="002C1D80"/>
    <w:rsid w:val="002C1DE5"/>
    <w:rsid w:val="002C22BC"/>
    <w:rsid w:val="002C2FE7"/>
    <w:rsid w:val="002C3917"/>
    <w:rsid w:val="002C666F"/>
    <w:rsid w:val="002C7A00"/>
    <w:rsid w:val="002D1AD9"/>
    <w:rsid w:val="002D2331"/>
    <w:rsid w:val="002D3737"/>
    <w:rsid w:val="002D416C"/>
    <w:rsid w:val="002D6053"/>
    <w:rsid w:val="002D6858"/>
    <w:rsid w:val="002D7DDD"/>
    <w:rsid w:val="002E0B3E"/>
    <w:rsid w:val="002E0D57"/>
    <w:rsid w:val="002E1568"/>
    <w:rsid w:val="002E1A74"/>
    <w:rsid w:val="002E2066"/>
    <w:rsid w:val="002E5CDA"/>
    <w:rsid w:val="002E6CCF"/>
    <w:rsid w:val="002F104E"/>
    <w:rsid w:val="002F1ED3"/>
    <w:rsid w:val="002F2685"/>
    <w:rsid w:val="002F3766"/>
    <w:rsid w:val="002F40B4"/>
    <w:rsid w:val="002F40F7"/>
    <w:rsid w:val="002F455F"/>
    <w:rsid w:val="002F6916"/>
    <w:rsid w:val="002F74DC"/>
    <w:rsid w:val="002F74E8"/>
    <w:rsid w:val="002F74FE"/>
    <w:rsid w:val="002F756B"/>
    <w:rsid w:val="002F7AD9"/>
    <w:rsid w:val="002F7F8F"/>
    <w:rsid w:val="00300D9C"/>
    <w:rsid w:val="00305AAE"/>
    <w:rsid w:val="00305E27"/>
    <w:rsid w:val="003065FC"/>
    <w:rsid w:val="00306926"/>
    <w:rsid w:val="00307870"/>
    <w:rsid w:val="00314C23"/>
    <w:rsid w:val="00314DA3"/>
    <w:rsid w:val="00315755"/>
    <w:rsid w:val="00317936"/>
    <w:rsid w:val="00320763"/>
    <w:rsid w:val="00324554"/>
    <w:rsid w:val="003247C5"/>
    <w:rsid w:val="00325541"/>
    <w:rsid w:val="00326791"/>
    <w:rsid w:val="00330372"/>
    <w:rsid w:val="00330635"/>
    <w:rsid w:val="00331A22"/>
    <w:rsid w:val="00333253"/>
    <w:rsid w:val="0033429B"/>
    <w:rsid w:val="003351D0"/>
    <w:rsid w:val="00335588"/>
    <w:rsid w:val="00336B3D"/>
    <w:rsid w:val="00337015"/>
    <w:rsid w:val="00337271"/>
    <w:rsid w:val="00340CC8"/>
    <w:rsid w:val="003414D3"/>
    <w:rsid w:val="0034155C"/>
    <w:rsid w:val="00341982"/>
    <w:rsid w:val="00342C41"/>
    <w:rsid w:val="00344914"/>
    <w:rsid w:val="00344D84"/>
    <w:rsid w:val="0034623E"/>
    <w:rsid w:val="003465AA"/>
    <w:rsid w:val="00351455"/>
    <w:rsid w:val="0035183E"/>
    <w:rsid w:val="0035189A"/>
    <w:rsid w:val="00352BCB"/>
    <w:rsid w:val="00352DF4"/>
    <w:rsid w:val="00355FF3"/>
    <w:rsid w:val="00356DAB"/>
    <w:rsid w:val="00357EB9"/>
    <w:rsid w:val="00361276"/>
    <w:rsid w:val="003614DD"/>
    <w:rsid w:val="00362847"/>
    <w:rsid w:val="00362EE1"/>
    <w:rsid w:val="00363809"/>
    <w:rsid w:val="00363EF5"/>
    <w:rsid w:val="00364802"/>
    <w:rsid w:val="003667A3"/>
    <w:rsid w:val="003669D1"/>
    <w:rsid w:val="00367D44"/>
    <w:rsid w:val="00370CEF"/>
    <w:rsid w:val="00371F3C"/>
    <w:rsid w:val="00373BE7"/>
    <w:rsid w:val="00374800"/>
    <w:rsid w:val="00375DDD"/>
    <w:rsid w:val="00377237"/>
    <w:rsid w:val="00377F3C"/>
    <w:rsid w:val="003818AB"/>
    <w:rsid w:val="00381957"/>
    <w:rsid w:val="0038304A"/>
    <w:rsid w:val="0038399E"/>
    <w:rsid w:val="0038438F"/>
    <w:rsid w:val="00384E5D"/>
    <w:rsid w:val="003852DB"/>
    <w:rsid w:val="0038574D"/>
    <w:rsid w:val="00385DA0"/>
    <w:rsid w:val="00385E9E"/>
    <w:rsid w:val="00386775"/>
    <w:rsid w:val="003869A3"/>
    <w:rsid w:val="0039046C"/>
    <w:rsid w:val="00390508"/>
    <w:rsid w:val="00390AA8"/>
    <w:rsid w:val="003910C9"/>
    <w:rsid w:val="00391A36"/>
    <w:rsid w:val="00392737"/>
    <w:rsid w:val="00392E1C"/>
    <w:rsid w:val="0039313A"/>
    <w:rsid w:val="00393CF2"/>
    <w:rsid w:val="00393F5C"/>
    <w:rsid w:val="00395896"/>
    <w:rsid w:val="003A0BAB"/>
    <w:rsid w:val="003A1A99"/>
    <w:rsid w:val="003A1B79"/>
    <w:rsid w:val="003A1C93"/>
    <w:rsid w:val="003A40CE"/>
    <w:rsid w:val="003A5CC5"/>
    <w:rsid w:val="003B08EF"/>
    <w:rsid w:val="003B16B1"/>
    <w:rsid w:val="003B265B"/>
    <w:rsid w:val="003B28EE"/>
    <w:rsid w:val="003B39D6"/>
    <w:rsid w:val="003B4054"/>
    <w:rsid w:val="003B4129"/>
    <w:rsid w:val="003B58BD"/>
    <w:rsid w:val="003B6C1E"/>
    <w:rsid w:val="003B7D73"/>
    <w:rsid w:val="003B7DB4"/>
    <w:rsid w:val="003B7DDB"/>
    <w:rsid w:val="003C29FE"/>
    <w:rsid w:val="003C4905"/>
    <w:rsid w:val="003C542D"/>
    <w:rsid w:val="003C6CE8"/>
    <w:rsid w:val="003C731F"/>
    <w:rsid w:val="003C75DA"/>
    <w:rsid w:val="003D06C7"/>
    <w:rsid w:val="003D0781"/>
    <w:rsid w:val="003D4E4F"/>
    <w:rsid w:val="003D5DDE"/>
    <w:rsid w:val="003D660E"/>
    <w:rsid w:val="003D7238"/>
    <w:rsid w:val="003E019F"/>
    <w:rsid w:val="003E22AF"/>
    <w:rsid w:val="003E4F08"/>
    <w:rsid w:val="003E65FC"/>
    <w:rsid w:val="003E6F9E"/>
    <w:rsid w:val="003F07B9"/>
    <w:rsid w:val="003F1F2F"/>
    <w:rsid w:val="003F216C"/>
    <w:rsid w:val="003F23B6"/>
    <w:rsid w:val="003F2FAA"/>
    <w:rsid w:val="003F32FB"/>
    <w:rsid w:val="003F3930"/>
    <w:rsid w:val="003F3A41"/>
    <w:rsid w:val="003F44F1"/>
    <w:rsid w:val="003F63C3"/>
    <w:rsid w:val="003F64B0"/>
    <w:rsid w:val="003F66DA"/>
    <w:rsid w:val="003F7ADD"/>
    <w:rsid w:val="003F7C06"/>
    <w:rsid w:val="004015D1"/>
    <w:rsid w:val="00402B04"/>
    <w:rsid w:val="004033D3"/>
    <w:rsid w:val="00404046"/>
    <w:rsid w:val="00404292"/>
    <w:rsid w:val="00404891"/>
    <w:rsid w:val="00404C41"/>
    <w:rsid w:val="00404F22"/>
    <w:rsid w:val="00404FAE"/>
    <w:rsid w:val="00406CA1"/>
    <w:rsid w:val="004071B1"/>
    <w:rsid w:val="00407FEF"/>
    <w:rsid w:val="00410943"/>
    <w:rsid w:val="00411E29"/>
    <w:rsid w:val="00412FE0"/>
    <w:rsid w:val="00413228"/>
    <w:rsid w:val="00413405"/>
    <w:rsid w:val="00413C97"/>
    <w:rsid w:val="004164CD"/>
    <w:rsid w:val="00421D8D"/>
    <w:rsid w:val="00421DA3"/>
    <w:rsid w:val="00422E11"/>
    <w:rsid w:val="00423EA2"/>
    <w:rsid w:val="00424156"/>
    <w:rsid w:val="0042428E"/>
    <w:rsid w:val="00426AEF"/>
    <w:rsid w:val="004272E3"/>
    <w:rsid w:val="00431E75"/>
    <w:rsid w:val="0043249D"/>
    <w:rsid w:val="0043289F"/>
    <w:rsid w:val="00432BE3"/>
    <w:rsid w:val="00432FBC"/>
    <w:rsid w:val="004334FE"/>
    <w:rsid w:val="00434F2A"/>
    <w:rsid w:val="0043728C"/>
    <w:rsid w:val="00437B20"/>
    <w:rsid w:val="004405F2"/>
    <w:rsid w:val="00442F83"/>
    <w:rsid w:val="00443524"/>
    <w:rsid w:val="0044392A"/>
    <w:rsid w:val="00443CCE"/>
    <w:rsid w:val="00444AF3"/>
    <w:rsid w:val="00445F1A"/>
    <w:rsid w:val="004469C2"/>
    <w:rsid w:val="00451DDB"/>
    <w:rsid w:val="004520B3"/>
    <w:rsid w:val="004538BB"/>
    <w:rsid w:val="00460DF9"/>
    <w:rsid w:val="00460FC9"/>
    <w:rsid w:val="00461846"/>
    <w:rsid w:val="004618E1"/>
    <w:rsid w:val="00464540"/>
    <w:rsid w:val="00466CAA"/>
    <w:rsid w:val="004711BC"/>
    <w:rsid w:val="00473532"/>
    <w:rsid w:val="0047430F"/>
    <w:rsid w:val="004757E2"/>
    <w:rsid w:val="00477D7E"/>
    <w:rsid w:val="00477D8E"/>
    <w:rsid w:val="00480D21"/>
    <w:rsid w:val="004810D3"/>
    <w:rsid w:val="0048152B"/>
    <w:rsid w:val="00481A6C"/>
    <w:rsid w:val="004831ED"/>
    <w:rsid w:val="00483C9F"/>
    <w:rsid w:val="00483CE0"/>
    <w:rsid w:val="004847FD"/>
    <w:rsid w:val="004877DD"/>
    <w:rsid w:val="0049064A"/>
    <w:rsid w:val="00492D1B"/>
    <w:rsid w:val="00493733"/>
    <w:rsid w:val="00493B81"/>
    <w:rsid w:val="00493DD2"/>
    <w:rsid w:val="00494207"/>
    <w:rsid w:val="00494D51"/>
    <w:rsid w:val="00495514"/>
    <w:rsid w:val="004957B2"/>
    <w:rsid w:val="00495DA8"/>
    <w:rsid w:val="00495E59"/>
    <w:rsid w:val="004963BA"/>
    <w:rsid w:val="00497868"/>
    <w:rsid w:val="004A01C6"/>
    <w:rsid w:val="004A0583"/>
    <w:rsid w:val="004A178A"/>
    <w:rsid w:val="004A2CE2"/>
    <w:rsid w:val="004A30A6"/>
    <w:rsid w:val="004A4DCD"/>
    <w:rsid w:val="004A4FBF"/>
    <w:rsid w:val="004B42F4"/>
    <w:rsid w:val="004B43C1"/>
    <w:rsid w:val="004B4FB0"/>
    <w:rsid w:val="004B5503"/>
    <w:rsid w:val="004B6795"/>
    <w:rsid w:val="004B7D62"/>
    <w:rsid w:val="004C16F8"/>
    <w:rsid w:val="004C197D"/>
    <w:rsid w:val="004C22F7"/>
    <w:rsid w:val="004C724A"/>
    <w:rsid w:val="004C7570"/>
    <w:rsid w:val="004D05DC"/>
    <w:rsid w:val="004D1659"/>
    <w:rsid w:val="004D1A7A"/>
    <w:rsid w:val="004D29EA"/>
    <w:rsid w:val="004D55B3"/>
    <w:rsid w:val="004D688E"/>
    <w:rsid w:val="004D6BD1"/>
    <w:rsid w:val="004E00A8"/>
    <w:rsid w:val="004E0442"/>
    <w:rsid w:val="004E08E7"/>
    <w:rsid w:val="004E1241"/>
    <w:rsid w:val="004E12E1"/>
    <w:rsid w:val="004E1499"/>
    <w:rsid w:val="004E36DD"/>
    <w:rsid w:val="004E50DB"/>
    <w:rsid w:val="004E563C"/>
    <w:rsid w:val="004E79CA"/>
    <w:rsid w:val="004F277B"/>
    <w:rsid w:val="004F2E27"/>
    <w:rsid w:val="004F312D"/>
    <w:rsid w:val="004F3212"/>
    <w:rsid w:val="004F3A68"/>
    <w:rsid w:val="004F53A8"/>
    <w:rsid w:val="004F5523"/>
    <w:rsid w:val="004F55D4"/>
    <w:rsid w:val="004F55FC"/>
    <w:rsid w:val="004F5916"/>
    <w:rsid w:val="004F798B"/>
    <w:rsid w:val="005008A0"/>
    <w:rsid w:val="00500949"/>
    <w:rsid w:val="00500BE6"/>
    <w:rsid w:val="00500D6D"/>
    <w:rsid w:val="00512156"/>
    <w:rsid w:val="005122FE"/>
    <w:rsid w:val="005134F6"/>
    <w:rsid w:val="005144D6"/>
    <w:rsid w:val="00515A0F"/>
    <w:rsid w:val="00516485"/>
    <w:rsid w:val="005167E7"/>
    <w:rsid w:val="00517078"/>
    <w:rsid w:val="00517C61"/>
    <w:rsid w:val="00517FBB"/>
    <w:rsid w:val="00520BC5"/>
    <w:rsid w:val="00520D4F"/>
    <w:rsid w:val="00520D86"/>
    <w:rsid w:val="005219DA"/>
    <w:rsid w:val="0052387F"/>
    <w:rsid w:val="00526482"/>
    <w:rsid w:val="005265D6"/>
    <w:rsid w:val="00526996"/>
    <w:rsid w:val="00526D81"/>
    <w:rsid w:val="0052722E"/>
    <w:rsid w:val="00531591"/>
    <w:rsid w:val="0053176F"/>
    <w:rsid w:val="0053198E"/>
    <w:rsid w:val="00532303"/>
    <w:rsid w:val="00532B3B"/>
    <w:rsid w:val="005342F2"/>
    <w:rsid w:val="00534962"/>
    <w:rsid w:val="0053499C"/>
    <w:rsid w:val="00536BDC"/>
    <w:rsid w:val="00537625"/>
    <w:rsid w:val="005411AC"/>
    <w:rsid w:val="005428D3"/>
    <w:rsid w:val="00542C5D"/>
    <w:rsid w:val="005436E4"/>
    <w:rsid w:val="00544385"/>
    <w:rsid w:val="00546971"/>
    <w:rsid w:val="0055046C"/>
    <w:rsid w:val="005504F4"/>
    <w:rsid w:val="00550C16"/>
    <w:rsid w:val="00550C63"/>
    <w:rsid w:val="00552C68"/>
    <w:rsid w:val="00554082"/>
    <w:rsid w:val="00554A87"/>
    <w:rsid w:val="00554CC6"/>
    <w:rsid w:val="00554EB3"/>
    <w:rsid w:val="00555DC5"/>
    <w:rsid w:val="005560B6"/>
    <w:rsid w:val="005562C8"/>
    <w:rsid w:val="00557BD7"/>
    <w:rsid w:val="00561342"/>
    <w:rsid w:val="00562098"/>
    <w:rsid w:val="0056372B"/>
    <w:rsid w:val="00564206"/>
    <w:rsid w:val="00565308"/>
    <w:rsid w:val="005662A6"/>
    <w:rsid w:val="0056709F"/>
    <w:rsid w:val="005675A9"/>
    <w:rsid w:val="005701D5"/>
    <w:rsid w:val="00571F95"/>
    <w:rsid w:val="005734DF"/>
    <w:rsid w:val="005735F9"/>
    <w:rsid w:val="005748BD"/>
    <w:rsid w:val="00574D23"/>
    <w:rsid w:val="00575621"/>
    <w:rsid w:val="005825BB"/>
    <w:rsid w:val="00582E2D"/>
    <w:rsid w:val="0058304B"/>
    <w:rsid w:val="0058449F"/>
    <w:rsid w:val="005844D4"/>
    <w:rsid w:val="0058484D"/>
    <w:rsid w:val="005854E3"/>
    <w:rsid w:val="0058574E"/>
    <w:rsid w:val="00585F0F"/>
    <w:rsid w:val="005863C7"/>
    <w:rsid w:val="00586D62"/>
    <w:rsid w:val="00586DBE"/>
    <w:rsid w:val="00587190"/>
    <w:rsid w:val="0059145C"/>
    <w:rsid w:val="005920A6"/>
    <w:rsid w:val="005924CC"/>
    <w:rsid w:val="00592859"/>
    <w:rsid w:val="005928E9"/>
    <w:rsid w:val="00592EED"/>
    <w:rsid w:val="00592F2D"/>
    <w:rsid w:val="00595EE3"/>
    <w:rsid w:val="005A049A"/>
    <w:rsid w:val="005A0B2B"/>
    <w:rsid w:val="005A19C2"/>
    <w:rsid w:val="005A2769"/>
    <w:rsid w:val="005A2D07"/>
    <w:rsid w:val="005A4749"/>
    <w:rsid w:val="005A4CED"/>
    <w:rsid w:val="005A4DE7"/>
    <w:rsid w:val="005A7925"/>
    <w:rsid w:val="005B01AD"/>
    <w:rsid w:val="005B15BB"/>
    <w:rsid w:val="005B17DF"/>
    <w:rsid w:val="005B1B35"/>
    <w:rsid w:val="005B1C6B"/>
    <w:rsid w:val="005B576A"/>
    <w:rsid w:val="005B581F"/>
    <w:rsid w:val="005B5C4D"/>
    <w:rsid w:val="005B6711"/>
    <w:rsid w:val="005B6ACC"/>
    <w:rsid w:val="005B7B4B"/>
    <w:rsid w:val="005C08A7"/>
    <w:rsid w:val="005C0A6B"/>
    <w:rsid w:val="005C0E51"/>
    <w:rsid w:val="005C2959"/>
    <w:rsid w:val="005C38D1"/>
    <w:rsid w:val="005C3D76"/>
    <w:rsid w:val="005C508A"/>
    <w:rsid w:val="005C52E7"/>
    <w:rsid w:val="005C56A7"/>
    <w:rsid w:val="005C5C1C"/>
    <w:rsid w:val="005C7BB3"/>
    <w:rsid w:val="005D021A"/>
    <w:rsid w:val="005D0836"/>
    <w:rsid w:val="005D0F3F"/>
    <w:rsid w:val="005D10A6"/>
    <w:rsid w:val="005D2224"/>
    <w:rsid w:val="005D3A9B"/>
    <w:rsid w:val="005D5DE0"/>
    <w:rsid w:val="005E0810"/>
    <w:rsid w:val="005E0BCF"/>
    <w:rsid w:val="005E1B09"/>
    <w:rsid w:val="005E226A"/>
    <w:rsid w:val="005E277C"/>
    <w:rsid w:val="005E2AD8"/>
    <w:rsid w:val="005E58D4"/>
    <w:rsid w:val="005E6B29"/>
    <w:rsid w:val="005F1833"/>
    <w:rsid w:val="005F2F77"/>
    <w:rsid w:val="005F37DA"/>
    <w:rsid w:val="005F46E5"/>
    <w:rsid w:val="005F477C"/>
    <w:rsid w:val="005F5D5C"/>
    <w:rsid w:val="005F6F3B"/>
    <w:rsid w:val="00602511"/>
    <w:rsid w:val="00602526"/>
    <w:rsid w:val="00603204"/>
    <w:rsid w:val="006053B4"/>
    <w:rsid w:val="0060638D"/>
    <w:rsid w:val="006074CA"/>
    <w:rsid w:val="00607517"/>
    <w:rsid w:val="006111F0"/>
    <w:rsid w:val="006118F9"/>
    <w:rsid w:val="006139B1"/>
    <w:rsid w:val="006147BC"/>
    <w:rsid w:val="00614E41"/>
    <w:rsid w:val="0061670B"/>
    <w:rsid w:val="006171C2"/>
    <w:rsid w:val="006178F9"/>
    <w:rsid w:val="0062439C"/>
    <w:rsid w:val="0062529F"/>
    <w:rsid w:val="00625E31"/>
    <w:rsid w:val="006301E2"/>
    <w:rsid w:val="00630430"/>
    <w:rsid w:val="006306D5"/>
    <w:rsid w:val="0063128D"/>
    <w:rsid w:val="0063168C"/>
    <w:rsid w:val="00631940"/>
    <w:rsid w:val="006327DC"/>
    <w:rsid w:val="00633C3A"/>
    <w:rsid w:val="006341DB"/>
    <w:rsid w:val="00635AA0"/>
    <w:rsid w:val="00635CDA"/>
    <w:rsid w:val="00641404"/>
    <w:rsid w:val="00641596"/>
    <w:rsid w:val="0064301D"/>
    <w:rsid w:val="006437ED"/>
    <w:rsid w:val="006457E9"/>
    <w:rsid w:val="00646E1F"/>
    <w:rsid w:val="00647AA9"/>
    <w:rsid w:val="0065008A"/>
    <w:rsid w:val="0065195D"/>
    <w:rsid w:val="00652DA3"/>
    <w:rsid w:val="006535E6"/>
    <w:rsid w:val="0065378A"/>
    <w:rsid w:val="00653D69"/>
    <w:rsid w:val="00654357"/>
    <w:rsid w:val="00654FC3"/>
    <w:rsid w:val="0065510E"/>
    <w:rsid w:val="006553E3"/>
    <w:rsid w:val="00655A01"/>
    <w:rsid w:val="00655D2A"/>
    <w:rsid w:val="0065628B"/>
    <w:rsid w:val="00656E6C"/>
    <w:rsid w:val="00657106"/>
    <w:rsid w:val="0066121E"/>
    <w:rsid w:val="00661747"/>
    <w:rsid w:val="006617A9"/>
    <w:rsid w:val="00661DF7"/>
    <w:rsid w:val="00661DFB"/>
    <w:rsid w:val="00664223"/>
    <w:rsid w:val="0066472D"/>
    <w:rsid w:val="00664828"/>
    <w:rsid w:val="00664D92"/>
    <w:rsid w:val="006655A7"/>
    <w:rsid w:val="006656A4"/>
    <w:rsid w:val="006663FB"/>
    <w:rsid w:val="00666D83"/>
    <w:rsid w:val="00667459"/>
    <w:rsid w:val="006720B8"/>
    <w:rsid w:val="00674BAF"/>
    <w:rsid w:val="00674EAB"/>
    <w:rsid w:val="006756FD"/>
    <w:rsid w:val="006760B5"/>
    <w:rsid w:val="006763C3"/>
    <w:rsid w:val="00677B2F"/>
    <w:rsid w:val="00681D8B"/>
    <w:rsid w:val="00683CA3"/>
    <w:rsid w:val="00685497"/>
    <w:rsid w:val="0068698E"/>
    <w:rsid w:val="006915D7"/>
    <w:rsid w:val="00692A40"/>
    <w:rsid w:val="006935F8"/>
    <w:rsid w:val="00693612"/>
    <w:rsid w:val="0069484B"/>
    <w:rsid w:val="00694EB7"/>
    <w:rsid w:val="006959A8"/>
    <w:rsid w:val="00696720"/>
    <w:rsid w:val="00697005"/>
    <w:rsid w:val="006A0C29"/>
    <w:rsid w:val="006A144A"/>
    <w:rsid w:val="006A165B"/>
    <w:rsid w:val="006A2806"/>
    <w:rsid w:val="006A3CBE"/>
    <w:rsid w:val="006A436C"/>
    <w:rsid w:val="006A4713"/>
    <w:rsid w:val="006A65BC"/>
    <w:rsid w:val="006A6DAE"/>
    <w:rsid w:val="006A75A9"/>
    <w:rsid w:val="006B0311"/>
    <w:rsid w:val="006B1068"/>
    <w:rsid w:val="006B1869"/>
    <w:rsid w:val="006B209A"/>
    <w:rsid w:val="006B6229"/>
    <w:rsid w:val="006B6F1F"/>
    <w:rsid w:val="006B7BAE"/>
    <w:rsid w:val="006C1CD9"/>
    <w:rsid w:val="006C20DD"/>
    <w:rsid w:val="006C4FEE"/>
    <w:rsid w:val="006C5453"/>
    <w:rsid w:val="006D09AF"/>
    <w:rsid w:val="006D1080"/>
    <w:rsid w:val="006D3AA7"/>
    <w:rsid w:val="006D41C5"/>
    <w:rsid w:val="006D4F03"/>
    <w:rsid w:val="006D53A7"/>
    <w:rsid w:val="006D63DE"/>
    <w:rsid w:val="006D6A3C"/>
    <w:rsid w:val="006D6D92"/>
    <w:rsid w:val="006E0DBF"/>
    <w:rsid w:val="006E2D57"/>
    <w:rsid w:val="006E2EFF"/>
    <w:rsid w:val="006E35D5"/>
    <w:rsid w:val="006E460B"/>
    <w:rsid w:val="006E4D1F"/>
    <w:rsid w:val="006E6925"/>
    <w:rsid w:val="006E772B"/>
    <w:rsid w:val="006E7B7B"/>
    <w:rsid w:val="006F0D2E"/>
    <w:rsid w:val="006F21AB"/>
    <w:rsid w:val="006F2612"/>
    <w:rsid w:val="006F31AD"/>
    <w:rsid w:val="006F4ED6"/>
    <w:rsid w:val="006F5177"/>
    <w:rsid w:val="006F6EDE"/>
    <w:rsid w:val="006F739E"/>
    <w:rsid w:val="006F75E9"/>
    <w:rsid w:val="0070066A"/>
    <w:rsid w:val="007014B7"/>
    <w:rsid w:val="00702930"/>
    <w:rsid w:val="007064BC"/>
    <w:rsid w:val="007108CC"/>
    <w:rsid w:val="007110FA"/>
    <w:rsid w:val="00712109"/>
    <w:rsid w:val="00712BA7"/>
    <w:rsid w:val="00715B34"/>
    <w:rsid w:val="00715F6A"/>
    <w:rsid w:val="00716599"/>
    <w:rsid w:val="007166ED"/>
    <w:rsid w:val="00716B57"/>
    <w:rsid w:val="00716BED"/>
    <w:rsid w:val="00720CC6"/>
    <w:rsid w:val="00722A57"/>
    <w:rsid w:val="0072335A"/>
    <w:rsid w:val="00725CFF"/>
    <w:rsid w:val="00727164"/>
    <w:rsid w:val="00730276"/>
    <w:rsid w:val="00730516"/>
    <w:rsid w:val="00730E6B"/>
    <w:rsid w:val="00731BB7"/>
    <w:rsid w:val="007324A4"/>
    <w:rsid w:val="00732642"/>
    <w:rsid w:val="00732890"/>
    <w:rsid w:val="007344FC"/>
    <w:rsid w:val="007352EC"/>
    <w:rsid w:val="00735C29"/>
    <w:rsid w:val="00735DDD"/>
    <w:rsid w:val="00737204"/>
    <w:rsid w:val="00737D53"/>
    <w:rsid w:val="007409B0"/>
    <w:rsid w:val="00744C7C"/>
    <w:rsid w:val="00745273"/>
    <w:rsid w:val="00745A96"/>
    <w:rsid w:val="007508EA"/>
    <w:rsid w:val="007513E7"/>
    <w:rsid w:val="00751F56"/>
    <w:rsid w:val="007531AF"/>
    <w:rsid w:val="00753758"/>
    <w:rsid w:val="00753785"/>
    <w:rsid w:val="00754449"/>
    <w:rsid w:val="00755D58"/>
    <w:rsid w:val="007562BB"/>
    <w:rsid w:val="00756C10"/>
    <w:rsid w:val="00757A8B"/>
    <w:rsid w:val="00761942"/>
    <w:rsid w:val="00762AA2"/>
    <w:rsid w:val="00763D11"/>
    <w:rsid w:val="007663BD"/>
    <w:rsid w:val="00766845"/>
    <w:rsid w:val="00770026"/>
    <w:rsid w:val="00771F6B"/>
    <w:rsid w:val="007726E9"/>
    <w:rsid w:val="00773810"/>
    <w:rsid w:val="00774601"/>
    <w:rsid w:val="00775C4D"/>
    <w:rsid w:val="0077692C"/>
    <w:rsid w:val="00777906"/>
    <w:rsid w:val="007821BA"/>
    <w:rsid w:val="007824E5"/>
    <w:rsid w:val="007827EA"/>
    <w:rsid w:val="0078378D"/>
    <w:rsid w:val="00783BB3"/>
    <w:rsid w:val="007840F6"/>
    <w:rsid w:val="0078569C"/>
    <w:rsid w:val="00785792"/>
    <w:rsid w:val="00786029"/>
    <w:rsid w:val="00786D2F"/>
    <w:rsid w:val="00790322"/>
    <w:rsid w:val="00790DD0"/>
    <w:rsid w:val="0079189D"/>
    <w:rsid w:val="00791A39"/>
    <w:rsid w:val="00793550"/>
    <w:rsid w:val="00794336"/>
    <w:rsid w:val="00796768"/>
    <w:rsid w:val="00797012"/>
    <w:rsid w:val="007A24AA"/>
    <w:rsid w:val="007A37B3"/>
    <w:rsid w:val="007A3A92"/>
    <w:rsid w:val="007A4178"/>
    <w:rsid w:val="007A4CA6"/>
    <w:rsid w:val="007A635C"/>
    <w:rsid w:val="007A7392"/>
    <w:rsid w:val="007B19CF"/>
    <w:rsid w:val="007B2A00"/>
    <w:rsid w:val="007B38EE"/>
    <w:rsid w:val="007B521C"/>
    <w:rsid w:val="007B71FE"/>
    <w:rsid w:val="007C1B61"/>
    <w:rsid w:val="007C1E75"/>
    <w:rsid w:val="007C255C"/>
    <w:rsid w:val="007C389F"/>
    <w:rsid w:val="007C3F24"/>
    <w:rsid w:val="007C415D"/>
    <w:rsid w:val="007C45DD"/>
    <w:rsid w:val="007C469A"/>
    <w:rsid w:val="007C511B"/>
    <w:rsid w:val="007C7F54"/>
    <w:rsid w:val="007D1D34"/>
    <w:rsid w:val="007D264F"/>
    <w:rsid w:val="007D3632"/>
    <w:rsid w:val="007D6782"/>
    <w:rsid w:val="007E0A6C"/>
    <w:rsid w:val="007E1A4F"/>
    <w:rsid w:val="007E2C91"/>
    <w:rsid w:val="007E2FC3"/>
    <w:rsid w:val="007E3004"/>
    <w:rsid w:val="007E3D88"/>
    <w:rsid w:val="007E69BF"/>
    <w:rsid w:val="007E7EC6"/>
    <w:rsid w:val="007F009D"/>
    <w:rsid w:val="007F0BDF"/>
    <w:rsid w:val="007F11C1"/>
    <w:rsid w:val="007F24B2"/>
    <w:rsid w:val="007F3655"/>
    <w:rsid w:val="007F40BC"/>
    <w:rsid w:val="007F48C1"/>
    <w:rsid w:val="007F7698"/>
    <w:rsid w:val="007F792C"/>
    <w:rsid w:val="007F7A80"/>
    <w:rsid w:val="007F7FDC"/>
    <w:rsid w:val="00800B4E"/>
    <w:rsid w:val="00801AE2"/>
    <w:rsid w:val="008029FD"/>
    <w:rsid w:val="00803414"/>
    <w:rsid w:val="00803D2B"/>
    <w:rsid w:val="00804C4A"/>
    <w:rsid w:val="00804C86"/>
    <w:rsid w:val="00804F58"/>
    <w:rsid w:val="00806363"/>
    <w:rsid w:val="00806A9F"/>
    <w:rsid w:val="00806D7E"/>
    <w:rsid w:val="00807E07"/>
    <w:rsid w:val="008105FE"/>
    <w:rsid w:val="0081180D"/>
    <w:rsid w:val="00812E9D"/>
    <w:rsid w:val="00813984"/>
    <w:rsid w:val="00813A15"/>
    <w:rsid w:val="0081597B"/>
    <w:rsid w:val="00815C3A"/>
    <w:rsid w:val="00815D59"/>
    <w:rsid w:val="00815E75"/>
    <w:rsid w:val="00816B46"/>
    <w:rsid w:val="00816D6A"/>
    <w:rsid w:val="00817A9A"/>
    <w:rsid w:val="00820086"/>
    <w:rsid w:val="0082030B"/>
    <w:rsid w:val="00821627"/>
    <w:rsid w:val="00821899"/>
    <w:rsid w:val="008219F4"/>
    <w:rsid w:val="00821C54"/>
    <w:rsid w:val="008230F3"/>
    <w:rsid w:val="008232C1"/>
    <w:rsid w:val="00823F50"/>
    <w:rsid w:val="008247DA"/>
    <w:rsid w:val="0082529E"/>
    <w:rsid w:val="008260CB"/>
    <w:rsid w:val="00826DB0"/>
    <w:rsid w:val="008329FF"/>
    <w:rsid w:val="008339DA"/>
    <w:rsid w:val="00833F4F"/>
    <w:rsid w:val="00834306"/>
    <w:rsid w:val="0083462A"/>
    <w:rsid w:val="0083471D"/>
    <w:rsid w:val="00834FB0"/>
    <w:rsid w:val="00836B84"/>
    <w:rsid w:val="0083728B"/>
    <w:rsid w:val="00841DEE"/>
    <w:rsid w:val="00842455"/>
    <w:rsid w:val="00842932"/>
    <w:rsid w:val="0084584B"/>
    <w:rsid w:val="00845D84"/>
    <w:rsid w:val="00846D61"/>
    <w:rsid w:val="00847408"/>
    <w:rsid w:val="0085076F"/>
    <w:rsid w:val="00851587"/>
    <w:rsid w:val="0085224C"/>
    <w:rsid w:val="008531E1"/>
    <w:rsid w:val="008537F9"/>
    <w:rsid w:val="008543BB"/>
    <w:rsid w:val="008550FF"/>
    <w:rsid w:val="00855388"/>
    <w:rsid w:val="0085539A"/>
    <w:rsid w:val="008560E2"/>
    <w:rsid w:val="00856FDD"/>
    <w:rsid w:val="00857EFD"/>
    <w:rsid w:val="008600B2"/>
    <w:rsid w:val="008613D4"/>
    <w:rsid w:val="00861B6D"/>
    <w:rsid w:val="00864DA2"/>
    <w:rsid w:val="008659FB"/>
    <w:rsid w:val="00866CAA"/>
    <w:rsid w:val="008708AB"/>
    <w:rsid w:val="00871A46"/>
    <w:rsid w:val="0087538F"/>
    <w:rsid w:val="00881A08"/>
    <w:rsid w:val="00882519"/>
    <w:rsid w:val="00883242"/>
    <w:rsid w:val="00883E6E"/>
    <w:rsid w:val="0088483C"/>
    <w:rsid w:val="00885271"/>
    <w:rsid w:val="00886275"/>
    <w:rsid w:val="008877C4"/>
    <w:rsid w:val="008879E8"/>
    <w:rsid w:val="00890038"/>
    <w:rsid w:val="00890A40"/>
    <w:rsid w:val="00890D28"/>
    <w:rsid w:val="0089193C"/>
    <w:rsid w:val="00892E50"/>
    <w:rsid w:val="0089338F"/>
    <w:rsid w:val="00894A11"/>
    <w:rsid w:val="0089532A"/>
    <w:rsid w:val="00896543"/>
    <w:rsid w:val="00896A10"/>
    <w:rsid w:val="00897148"/>
    <w:rsid w:val="008A092A"/>
    <w:rsid w:val="008A0B8C"/>
    <w:rsid w:val="008A1AA1"/>
    <w:rsid w:val="008A379C"/>
    <w:rsid w:val="008A7672"/>
    <w:rsid w:val="008A78A5"/>
    <w:rsid w:val="008B01A8"/>
    <w:rsid w:val="008B07E5"/>
    <w:rsid w:val="008B0CF6"/>
    <w:rsid w:val="008C04DD"/>
    <w:rsid w:val="008C28BA"/>
    <w:rsid w:val="008C33D3"/>
    <w:rsid w:val="008C3A35"/>
    <w:rsid w:val="008C3BD0"/>
    <w:rsid w:val="008C3BDC"/>
    <w:rsid w:val="008C6569"/>
    <w:rsid w:val="008C6E94"/>
    <w:rsid w:val="008C7454"/>
    <w:rsid w:val="008C76EF"/>
    <w:rsid w:val="008D0A0A"/>
    <w:rsid w:val="008D0ECD"/>
    <w:rsid w:val="008D20D2"/>
    <w:rsid w:val="008D32CC"/>
    <w:rsid w:val="008D32D4"/>
    <w:rsid w:val="008D593B"/>
    <w:rsid w:val="008D6515"/>
    <w:rsid w:val="008D6632"/>
    <w:rsid w:val="008D720B"/>
    <w:rsid w:val="008D7664"/>
    <w:rsid w:val="008E6A89"/>
    <w:rsid w:val="008E6EEE"/>
    <w:rsid w:val="008E6FBF"/>
    <w:rsid w:val="008E72E0"/>
    <w:rsid w:val="008E7652"/>
    <w:rsid w:val="008F09E1"/>
    <w:rsid w:val="008F1316"/>
    <w:rsid w:val="008F2377"/>
    <w:rsid w:val="008F34D5"/>
    <w:rsid w:val="008F384B"/>
    <w:rsid w:val="008F5775"/>
    <w:rsid w:val="008F66A1"/>
    <w:rsid w:val="008F7563"/>
    <w:rsid w:val="0090255D"/>
    <w:rsid w:val="00905A2C"/>
    <w:rsid w:val="00905C03"/>
    <w:rsid w:val="00905DBD"/>
    <w:rsid w:val="00905F1C"/>
    <w:rsid w:val="009074CE"/>
    <w:rsid w:val="00910A94"/>
    <w:rsid w:val="0091149C"/>
    <w:rsid w:val="009118A7"/>
    <w:rsid w:val="0091224C"/>
    <w:rsid w:val="00914793"/>
    <w:rsid w:val="0091507D"/>
    <w:rsid w:val="00921612"/>
    <w:rsid w:val="009251F7"/>
    <w:rsid w:val="0092607B"/>
    <w:rsid w:val="009266EA"/>
    <w:rsid w:val="00927383"/>
    <w:rsid w:val="00930123"/>
    <w:rsid w:val="00932101"/>
    <w:rsid w:val="0093367A"/>
    <w:rsid w:val="009344A6"/>
    <w:rsid w:val="00935B7D"/>
    <w:rsid w:val="0093656C"/>
    <w:rsid w:val="0094004F"/>
    <w:rsid w:val="0094058C"/>
    <w:rsid w:val="00941C14"/>
    <w:rsid w:val="00941D66"/>
    <w:rsid w:val="00942C59"/>
    <w:rsid w:val="0094606C"/>
    <w:rsid w:val="00946CED"/>
    <w:rsid w:val="00946F4B"/>
    <w:rsid w:val="0094722A"/>
    <w:rsid w:val="0094767A"/>
    <w:rsid w:val="00951489"/>
    <w:rsid w:val="009516A5"/>
    <w:rsid w:val="00953853"/>
    <w:rsid w:val="009548BD"/>
    <w:rsid w:val="009548E8"/>
    <w:rsid w:val="00955530"/>
    <w:rsid w:val="00955CD4"/>
    <w:rsid w:val="009563DF"/>
    <w:rsid w:val="0095649B"/>
    <w:rsid w:val="00956CA1"/>
    <w:rsid w:val="0096058D"/>
    <w:rsid w:val="0096183D"/>
    <w:rsid w:val="00962F41"/>
    <w:rsid w:val="00963F28"/>
    <w:rsid w:val="00964E79"/>
    <w:rsid w:val="00965460"/>
    <w:rsid w:val="00966DFE"/>
    <w:rsid w:val="00967F96"/>
    <w:rsid w:val="00970286"/>
    <w:rsid w:val="00971D00"/>
    <w:rsid w:val="00971D22"/>
    <w:rsid w:val="0097237A"/>
    <w:rsid w:val="009729DE"/>
    <w:rsid w:val="009730C7"/>
    <w:rsid w:val="009743F9"/>
    <w:rsid w:val="009744A1"/>
    <w:rsid w:val="009749D7"/>
    <w:rsid w:val="009767F5"/>
    <w:rsid w:val="009775A7"/>
    <w:rsid w:val="009813E8"/>
    <w:rsid w:val="009843F2"/>
    <w:rsid w:val="00984985"/>
    <w:rsid w:val="00985D4E"/>
    <w:rsid w:val="0098795E"/>
    <w:rsid w:val="00987FDA"/>
    <w:rsid w:val="009902B3"/>
    <w:rsid w:val="00990914"/>
    <w:rsid w:val="00993E7C"/>
    <w:rsid w:val="0099680D"/>
    <w:rsid w:val="009968BE"/>
    <w:rsid w:val="0099743C"/>
    <w:rsid w:val="009975FD"/>
    <w:rsid w:val="009A424F"/>
    <w:rsid w:val="009A5663"/>
    <w:rsid w:val="009A6DE4"/>
    <w:rsid w:val="009B06B2"/>
    <w:rsid w:val="009B2F1D"/>
    <w:rsid w:val="009B3199"/>
    <w:rsid w:val="009B3278"/>
    <w:rsid w:val="009B393A"/>
    <w:rsid w:val="009B6A71"/>
    <w:rsid w:val="009C0BAE"/>
    <w:rsid w:val="009C2250"/>
    <w:rsid w:val="009C2556"/>
    <w:rsid w:val="009C29AA"/>
    <w:rsid w:val="009C42AE"/>
    <w:rsid w:val="009C4318"/>
    <w:rsid w:val="009C5165"/>
    <w:rsid w:val="009C6310"/>
    <w:rsid w:val="009C64AE"/>
    <w:rsid w:val="009C7194"/>
    <w:rsid w:val="009D00DB"/>
    <w:rsid w:val="009D1A2E"/>
    <w:rsid w:val="009D2669"/>
    <w:rsid w:val="009D2A1B"/>
    <w:rsid w:val="009D3278"/>
    <w:rsid w:val="009D5946"/>
    <w:rsid w:val="009D685C"/>
    <w:rsid w:val="009D7B35"/>
    <w:rsid w:val="009D7E09"/>
    <w:rsid w:val="009E008D"/>
    <w:rsid w:val="009E0C87"/>
    <w:rsid w:val="009E4E1E"/>
    <w:rsid w:val="009E727A"/>
    <w:rsid w:val="009E72FB"/>
    <w:rsid w:val="009E7BCA"/>
    <w:rsid w:val="009F3245"/>
    <w:rsid w:val="009F410C"/>
    <w:rsid w:val="009F53D4"/>
    <w:rsid w:val="009F60FD"/>
    <w:rsid w:val="009F7B4C"/>
    <w:rsid w:val="00A02E4A"/>
    <w:rsid w:val="00A02F7A"/>
    <w:rsid w:val="00A05139"/>
    <w:rsid w:val="00A05183"/>
    <w:rsid w:val="00A05C62"/>
    <w:rsid w:val="00A05F77"/>
    <w:rsid w:val="00A1033F"/>
    <w:rsid w:val="00A107E9"/>
    <w:rsid w:val="00A11AC9"/>
    <w:rsid w:val="00A1230F"/>
    <w:rsid w:val="00A12AE6"/>
    <w:rsid w:val="00A12EE2"/>
    <w:rsid w:val="00A16718"/>
    <w:rsid w:val="00A16766"/>
    <w:rsid w:val="00A20A01"/>
    <w:rsid w:val="00A2290B"/>
    <w:rsid w:val="00A235D5"/>
    <w:rsid w:val="00A2392E"/>
    <w:rsid w:val="00A2399D"/>
    <w:rsid w:val="00A24593"/>
    <w:rsid w:val="00A25878"/>
    <w:rsid w:val="00A25DF5"/>
    <w:rsid w:val="00A2725C"/>
    <w:rsid w:val="00A30CBC"/>
    <w:rsid w:val="00A321A7"/>
    <w:rsid w:val="00A330C9"/>
    <w:rsid w:val="00A339AD"/>
    <w:rsid w:val="00A36513"/>
    <w:rsid w:val="00A376E3"/>
    <w:rsid w:val="00A37BD4"/>
    <w:rsid w:val="00A401B2"/>
    <w:rsid w:val="00A40CA5"/>
    <w:rsid w:val="00A4103F"/>
    <w:rsid w:val="00A41BD6"/>
    <w:rsid w:val="00A448F0"/>
    <w:rsid w:val="00A4573A"/>
    <w:rsid w:val="00A505FA"/>
    <w:rsid w:val="00A50A24"/>
    <w:rsid w:val="00A5106C"/>
    <w:rsid w:val="00A5198D"/>
    <w:rsid w:val="00A530FD"/>
    <w:rsid w:val="00A5437F"/>
    <w:rsid w:val="00A54C94"/>
    <w:rsid w:val="00A54CFB"/>
    <w:rsid w:val="00A55A88"/>
    <w:rsid w:val="00A55CE3"/>
    <w:rsid w:val="00A55D0C"/>
    <w:rsid w:val="00A55E14"/>
    <w:rsid w:val="00A56E02"/>
    <w:rsid w:val="00A60B2B"/>
    <w:rsid w:val="00A60E76"/>
    <w:rsid w:val="00A60E9F"/>
    <w:rsid w:val="00A61076"/>
    <w:rsid w:val="00A62139"/>
    <w:rsid w:val="00A624FB"/>
    <w:rsid w:val="00A6405D"/>
    <w:rsid w:val="00A6426B"/>
    <w:rsid w:val="00A644AE"/>
    <w:rsid w:val="00A64944"/>
    <w:rsid w:val="00A660BB"/>
    <w:rsid w:val="00A66C47"/>
    <w:rsid w:val="00A67621"/>
    <w:rsid w:val="00A6765F"/>
    <w:rsid w:val="00A707C2"/>
    <w:rsid w:val="00A72173"/>
    <w:rsid w:val="00A7313A"/>
    <w:rsid w:val="00A75C8C"/>
    <w:rsid w:val="00A76950"/>
    <w:rsid w:val="00A771CE"/>
    <w:rsid w:val="00A77EEB"/>
    <w:rsid w:val="00A80B70"/>
    <w:rsid w:val="00A8107E"/>
    <w:rsid w:val="00A826B4"/>
    <w:rsid w:val="00A83DC5"/>
    <w:rsid w:val="00A849A0"/>
    <w:rsid w:val="00A84D27"/>
    <w:rsid w:val="00A84E79"/>
    <w:rsid w:val="00A850AC"/>
    <w:rsid w:val="00A8652F"/>
    <w:rsid w:val="00A86FC6"/>
    <w:rsid w:val="00A873F1"/>
    <w:rsid w:val="00A877A4"/>
    <w:rsid w:val="00A911F0"/>
    <w:rsid w:val="00A9374B"/>
    <w:rsid w:val="00A93C9D"/>
    <w:rsid w:val="00A95DAA"/>
    <w:rsid w:val="00A9636F"/>
    <w:rsid w:val="00A96403"/>
    <w:rsid w:val="00A9651D"/>
    <w:rsid w:val="00AA0711"/>
    <w:rsid w:val="00AA2678"/>
    <w:rsid w:val="00AA28F4"/>
    <w:rsid w:val="00AA498B"/>
    <w:rsid w:val="00AA49F1"/>
    <w:rsid w:val="00AA50D7"/>
    <w:rsid w:val="00AA5DF3"/>
    <w:rsid w:val="00AA62A8"/>
    <w:rsid w:val="00AA7780"/>
    <w:rsid w:val="00AB2F3A"/>
    <w:rsid w:val="00AB345F"/>
    <w:rsid w:val="00AB37F9"/>
    <w:rsid w:val="00AB68B0"/>
    <w:rsid w:val="00AB6D82"/>
    <w:rsid w:val="00AC04A5"/>
    <w:rsid w:val="00AC1DB9"/>
    <w:rsid w:val="00AC2C66"/>
    <w:rsid w:val="00AC32A3"/>
    <w:rsid w:val="00AC6B9A"/>
    <w:rsid w:val="00AC6D02"/>
    <w:rsid w:val="00AD1B3C"/>
    <w:rsid w:val="00AD1BE8"/>
    <w:rsid w:val="00AD2108"/>
    <w:rsid w:val="00AD3B67"/>
    <w:rsid w:val="00AD5A67"/>
    <w:rsid w:val="00AD67DA"/>
    <w:rsid w:val="00AD6841"/>
    <w:rsid w:val="00AD6CCE"/>
    <w:rsid w:val="00AD7430"/>
    <w:rsid w:val="00AD7CE3"/>
    <w:rsid w:val="00AD7CFF"/>
    <w:rsid w:val="00AE0CBC"/>
    <w:rsid w:val="00AE3D46"/>
    <w:rsid w:val="00AE409F"/>
    <w:rsid w:val="00AE4FBD"/>
    <w:rsid w:val="00AE5BC0"/>
    <w:rsid w:val="00AE602A"/>
    <w:rsid w:val="00AE6074"/>
    <w:rsid w:val="00AE640A"/>
    <w:rsid w:val="00AE7D38"/>
    <w:rsid w:val="00AF138A"/>
    <w:rsid w:val="00AF1E11"/>
    <w:rsid w:val="00AF26FA"/>
    <w:rsid w:val="00AF393A"/>
    <w:rsid w:val="00AF44C1"/>
    <w:rsid w:val="00AF6045"/>
    <w:rsid w:val="00AF723C"/>
    <w:rsid w:val="00AF7FFA"/>
    <w:rsid w:val="00B010BA"/>
    <w:rsid w:val="00B02023"/>
    <w:rsid w:val="00B02196"/>
    <w:rsid w:val="00B0277F"/>
    <w:rsid w:val="00B0341C"/>
    <w:rsid w:val="00B0536A"/>
    <w:rsid w:val="00B05461"/>
    <w:rsid w:val="00B063F4"/>
    <w:rsid w:val="00B0676D"/>
    <w:rsid w:val="00B06CA9"/>
    <w:rsid w:val="00B07D7E"/>
    <w:rsid w:val="00B108DD"/>
    <w:rsid w:val="00B11D6E"/>
    <w:rsid w:val="00B13672"/>
    <w:rsid w:val="00B142A3"/>
    <w:rsid w:val="00B148C5"/>
    <w:rsid w:val="00B15433"/>
    <w:rsid w:val="00B15FE6"/>
    <w:rsid w:val="00B20143"/>
    <w:rsid w:val="00B20218"/>
    <w:rsid w:val="00B2025E"/>
    <w:rsid w:val="00B22C94"/>
    <w:rsid w:val="00B242D7"/>
    <w:rsid w:val="00B24DD5"/>
    <w:rsid w:val="00B24FD3"/>
    <w:rsid w:val="00B250BE"/>
    <w:rsid w:val="00B25C04"/>
    <w:rsid w:val="00B25ED5"/>
    <w:rsid w:val="00B265D2"/>
    <w:rsid w:val="00B2663D"/>
    <w:rsid w:val="00B26DFF"/>
    <w:rsid w:val="00B3075E"/>
    <w:rsid w:val="00B30BD8"/>
    <w:rsid w:val="00B32E5A"/>
    <w:rsid w:val="00B331D7"/>
    <w:rsid w:val="00B34624"/>
    <w:rsid w:val="00B34E4D"/>
    <w:rsid w:val="00B40A82"/>
    <w:rsid w:val="00B426E6"/>
    <w:rsid w:val="00B42807"/>
    <w:rsid w:val="00B43145"/>
    <w:rsid w:val="00B443D2"/>
    <w:rsid w:val="00B443F1"/>
    <w:rsid w:val="00B44ABF"/>
    <w:rsid w:val="00B44E66"/>
    <w:rsid w:val="00B4606A"/>
    <w:rsid w:val="00B4765B"/>
    <w:rsid w:val="00B51306"/>
    <w:rsid w:val="00B52601"/>
    <w:rsid w:val="00B52842"/>
    <w:rsid w:val="00B532DF"/>
    <w:rsid w:val="00B53D6B"/>
    <w:rsid w:val="00B54A69"/>
    <w:rsid w:val="00B557AD"/>
    <w:rsid w:val="00B57C25"/>
    <w:rsid w:val="00B619C0"/>
    <w:rsid w:val="00B61DAC"/>
    <w:rsid w:val="00B628AD"/>
    <w:rsid w:val="00B62AAE"/>
    <w:rsid w:val="00B635FF"/>
    <w:rsid w:val="00B7313E"/>
    <w:rsid w:val="00B7673B"/>
    <w:rsid w:val="00B76EB6"/>
    <w:rsid w:val="00B800E1"/>
    <w:rsid w:val="00B804A9"/>
    <w:rsid w:val="00B80CEB"/>
    <w:rsid w:val="00B81B5C"/>
    <w:rsid w:val="00B82877"/>
    <w:rsid w:val="00B833F9"/>
    <w:rsid w:val="00B87412"/>
    <w:rsid w:val="00B90883"/>
    <w:rsid w:val="00B91965"/>
    <w:rsid w:val="00B92AE1"/>
    <w:rsid w:val="00B934AD"/>
    <w:rsid w:val="00B94929"/>
    <w:rsid w:val="00B95724"/>
    <w:rsid w:val="00B97521"/>
    <w:rsid w:val="00B97A91"/>
    <w:rsid w:val="00BA0250"/>
    <w:rsid w:val="00BA0A71"/>
    <w:rsid w:val="00BA1893"/>
    <w:rsid w:val="00BA19AE"/>
    <w:rsid w:val="00BA1F48"/>
    <w:rsid w:val="00BA201C"/>
    <w:rsid w:val="00BA24AF"/>
    <w:rsid w:val="00BA3461"/>
    <w:rsid w:val="00BA471A"/>
    <w:rsid w:val="00BA4827"/>
    <w:rsid w:val="00BA4A84"/>
    <w:rsid w:val="00BA5301"/>
    <w:rsid w:val="00BA6735"/>
    <w:rsid w:val="00BA74F6"/>
    <w:rsid w:val="00BA7A4D"/>
    <w:rsid w:val="00BA7AEA"/>
    <w:rsid w:val="00BA7E45"/>
    <w:rsid w:val="00BB0C9F"/>
    <w:rsid w:val="00BB0DEE"/>
    <w:rsid w:val="00BB1081"/>
    <w:rsid w:val="00BB11E4"/>
    <w:rsid w:val="00BB2951"/>
    <w:rsid w:val="00BB4CFA"/>
    <w:rsid w:val="00BB4E4B"/>
    <w:rsid w:val="00BB620A"/>
    <w:rsid w:val="00BB64BC"/>
    <w:rsid w:val="00BB71C5"/>
    <w:rsid w:val="00BC0DD3"/>
    <w:rsid w:val="00BC1968"/>
    <w:rsid w:val="00BC450D"/>
    <w:rsid w:val="00BC588E"/>
    <w:rsid w:val="00BC6166"/>
    <w:rsid w:val="00BC66EF"/>
    <w:rsid w:val="00BC6BB0"/>
    <w:rsid w:val="00BC6D36"/>
    <w:rsid w:val="00BC72CA"/>
    <w:rsid w:val="00BC7F02"/>
    <w:rsid w:val="00BD199F"/>
    <w:rsid w:val="00BD2D0B"/>
    <w:rsid w:val="00BD30B2"/>
    <w:rsid w:val="00BD3C50"/>
    <w:rsid w:val="00BD42A9"/>
    <w:rsid w:val="00BD5E18"/>
    <w:rsid w:val="00BE0098"/>
    <w:rsid w:val="00BE0555"/>
    <w:rsid w:val="00BE470A"/>
    <w:rsid w:val="00BE5195"/>
    <w:rsid w:val="00BE77B3"/>
    <w:rsid w:val="00BF256C"/>
    <w:rsid w:val="00BF4D60"/>
    <w:rsid w:val="00BF6754"/>
    <w:rsid w:val="00BF753C"/>
    <w:rsid w:val="00C022D3"/>
    <w:rsid w:val="00C02C9D"/>
    <w:rsid w:val="00C02EF1"/>
    <w:rsid w:val="00C031C6"/>
    <w:rsid w:val="00C04592"/>
    <w:rsid w:val="00C048BB"/>
    <w:rsid w:val="00C05973"/>
    <w:rsid w:val="00C068C2"/>
    <w:rsid w:val="00C10D60"/>
    <w:rsid w:val="00C12412"/>
    <w:rsid w:val="00C12634"/>
    <w:rsid w:val="00C12738"/>
    <w:rsid w:val="00C1424E"/>
    <w:rsid w:val="00C14B25"/>
    <w:rsid w:val="00C17C7F"/>
    <w:rsid w:val="00C17CE3"/>
    <w:rsid w:val="00C2285F"/>
    <w:rsid w:val="00C22CE8"/>
    <w:rsid w:val="00C2426D"/>
    <w:rsid w:val="00C24382"/>
    <w:rsid w:val="00C25F41"/>
    <w:rsid w:val="00C2610C"/>
    <w:rsid w:val="00C27733"/>
    <w:rsid w:val="00C304E4"/>
    <w:rsid w:val="00C30B2C"/>
    <w:rsid w:val="00C35CDF"/>
    <w:rsid w:val="00C36D2A"/>
    <w:rsid w:val="00C4017B"/>
    <w:rsid w:val="00C409D3"/>
    <w:rsid w:val="00C41904"/>
    <w:rsid w:val="00C41A98"/>
    <w:rsid w:val="00C424AE"/>
    <w:rsid w:val="00C428CB"/>
    <w:rsid w:val="00C439EC"/>
    <w:rsid w:val="00C44961"/>
    <w:rsid w:val="00C4562F"/>
    <w:rsid w:val="00C4622B"/>
    <w:rsid w:val="00C50961"/>
    <w:rsid w:val="00C509EA"/>
    <w:rsid w:val="00C50FBF"/>
    <w:rsid w:val="00C5261A"/>
    <w:rsid w:val="00C54580"/>
    <w:rsid w:val="00C54DB1"/>
    <w:rsid w:val="00C5515C"/>
    <w:rsid w:val="00C55849"/>
    <w:rsid w:val="00C60AE8"/>
    <w:rsid w:val="00C62A9F"/>
    <w:rsid w:val="00C64E99"/>
    <w:rsid w:val="00C659D0"/>
    <w:rsid w:val="00C66A44"/>
    <w:rsid w:val="00C66A73"/>
    <w:rsid w:val="00C67137"/>
    <w:rsid w:val="00C717CF"/>
    <w:rsid w:val="00C717E1"/>
    <w:rsid w:val="00C725A5"/>
    <w:rsid w:val="00C74D86"/>
    <w:rsid w:val="00C75548"/>
    <w:rsid w:val="00C75F62"/>
    <w:rsid w:val="00C76C28"/>
    <w:rsid w:val="00C770F7"/>
    <w:rsid w:val="00C7753E"/>
    <w:rsid w:val="00C806AD"/>
    <w:rsid w:val="00C8332E"/>
    <w:rsid w:val="00C844C0"/>
    <w:rsid w:val="00C85071"/>
    <w:rsid w:val="00C863CF"/>
    <w:rsid w:val="00C864DD"/>
    <w:rsid w:val="00C869F2"/>
    <w:rsid w:val="00C86C7B"/>
    <w:rsid w:val="00C8774D"/>
    <w:rsid w:val="00C93205"/>
    <w:rsid w:val="00C93349"/>
    <w:rsid w:val="00C97D54"/>
    <w:rsid w:val="00CA0EDC"/>
    <w:rsid w:val="00CA1759"/>
    <w:rsid w:val="00CA1F80"/>
    <w:rsid w:val="00CA3B4A"/>
    <w:rsid w:val="00CA6371"/>
    <w:rsid w:val="00CA6892"/>
    <w:rsid w:val="00CA7854"/>
    <w:rsid w:val="00CB172D"/>
    <w:rsid w:val="00CB7961"/>
    <w:rsid w:val="00CB7C91"/>
    <w:rsid w:val="00CB7CF9"/>
    <w:rsid w:val="00CC0C37"/>
    <w:rsid w:val="00CC0F42"/>
    <w:rsid w:val="00CC12B6"/>
    <w:rsid w:val="00CC1E12"/>
    <w:rsid w:val="00CC552D"/>
    <w:rsid w:val="00CC5623"/>
    <w:rsid w:val="00CC5B11"/>
    <w:rsid w:val="00CC6464"/>
    <w:rsid w:val="00CC6BB1"/>
    <w:rsid w:val="00CC784D"/>
    <w:rsid w:val="00CD102C"/>
    <w:rsid w:val="00CD2504"/>
    <w:rsid w:val="00CD272A"/>
    <w:rsid w:val="00CD3084"/>
    <w:rsid w:val="00CD4A0B"/>
    <w:rsid w:val="00CD55A4"/>
    <w:rsid w:val="00CD67C7"/>
    <w:rsid w:val="00CD6850"/>
    <w:rsid w:val="00CD70D9"/>
    <w:rsid w:val="00CD7B5D"/>
    <w:rsid w:val="00CE1B0A"/>
    <w:rsid w:val="00CE209B"/>
    <w:rsid w:val="00CE2308"/>
    <w:rsid w:val="00CE2D42"/>
    <w:rsid w:val="00CE2E51"/>
    <w:rsid w:val="00CE325F"/>
    <w:rsid w:val="00CE43AC"/>
    <w:rsid w:val="00CE440C"/>
    <w:rsid w:val="00CE4EBA"/>
    <w:rsid w:val="00CE6EE7"/>
    <w:rsid w:val="00CF05FE"/>
    <w:rsid w:val="00CF07E8"/>
    <w:rsid w:val="00CF37E3"/>
    <w:rsid w:val="00CF441F"/>
    <w:rsid w:val="00CF4C5E"/>
    <w:rsid w:val="00CF5372"/>
    <w:rsid w:val="00CF5955"/>
    <w:rsid w:val="00CF59BF"/>
    <w:rsid w:val="00CF5BCE"/>
    <w:rsid w:val="00D00188"/>
    <w:rsid w:val="00D00643"/>
    <w:rsid w:val="00D00C66"/>
    <w:rsid w:val="00D02B62"/>
    <w:rsid w:val="00D032E4"/>
    <w:rsid w:val="00D03304"/>
    <w:rsid w:val="00D03481"/>
    <w:rsid w:val="00D03BB1"/>
    <w:rsid w:val="00D0439E"/>
    <w:rsid w:val="00D049DC"/>
    <w:rsid w:val="00D06362"/>
    <w:rsid w:val="00D07897"/>
    <w:rsid w:val="00D07CC0"/>
    <w:rsid w:val="00D12BD4"/>
    <w:rsid w:val="00D14DC0"/>
    <w:rsid w:val="00D14FA4"/>
    <w:rsid w:val="00D15B5B"/>
    <w:rsid w:val="00D16439"/>
    <w:rsid w:val="00D16FCF"/>
    <w:rsid w:val="00D2021D"/>
    <w:rsid w:val="00D20DEE"/>
    <w:rsid w:val="00D220A6"/>
    <w:rsid w:val="00D22856"/>
    <w:rsid w:val="00D24C1E"/>
    <w:rsid w:val="00D3000B"/>
    <w:rsid w:val="00D3047D"/>
    <w:rsid w:val="00D30E78"/>
    <w:rsid w:val="00D312DF"/>
    <w:rsid w:val="00D31C3E"/>
    <w:rsid w:val="00D325D6"/>
    <w:rsid w:val="00D33046"/>
    <w:rsid w:val="00D34104"/>
    <w:rsid w:val="00D3537C"/>
    <w:rsid w:val="00D3602A"/>
    <w:rsid w:val="00D36543"/>
    <w:rsid w:val="00D36963"/>
    <w:rsid w:val="00D36B3C"/>
    <w:rsid w:val="00D3751D"/>
    <w:rsid w:val="00D4039A"/>
    <w:rsid w:val="00D4073D"/>
    <w:rsid w:val="00D41251"/>
    <w:rsid w:val="00D41D5F"/>
    <w:rsid w:val="00D4605B"/>
    <w:rsid w:val="00D460DC"/>
    <w:rsid w:val="00D464A8"/>
    <w:rsid w:val="00D50788"/>
    <w:rsid w:val="00D528E3"/>
    <w:rsid w:val="00D53590"/>
    <w:rsid w:val="00D54A43"/>
    <w:rsid w:val="00D55103"/>
    <w:rsid w:val="00D5571D"/>
    <w:rsid w:val="00D57FCC"/>
    <w:rsid w:val="00D606DC"/>
    <w:rsid w:val="00D61224"/>
    <w:rsid w:val="00D616DB"/>
    <w:rsid w:val="00D6188B"/>
    <w:rsid w:val="00D628D3"/>
    <w:rsid w:val="00D63A2F"/>
    <w:rsid w:val="00D63C80"/>
    <w:rsid w:val="00D665D8"/>
    <w:rsid w:val="00D67621"/>
    <w:rsid w:val="00D719B9"/>
    <w:rsid w:val="00D73D33"/>
    <w:rsid w:val="00D7447E"/>
    <w:rsid w:val="00D74F83"/>
    <w:rsid w:val="00D75827"/>
    <w:rsid w:val="00D76581"/>
    <w:rsid w:val="00D774B7"/>
    <w:rsid w:val="00D817DE"/>
    <w:rsid w:val="00D81AF4"/>
    <w:rsid w:val="00D829C9"/>
    <w:rsid w:val="00D85C28"/>
    <w:rsid w:val="00D864AD"/>
    <w:rsid w:val="00D87A4E"/>
    <w:rsid w:val="00D925B4"/>
    <w:rsid w:val="00D9270E"/>
    <w:rsid w:val="00D942C9"/>
    <w:rsid w:val="00D94BF3"/>
    <w:rsid w:val="00DA0766"/>
    <w:rsid w:val="00DA22BB"/>
    <w:rsid w:val="00DA2337"/>
    <w:rsid w:val="00DA2D13"/>
    <w:rsid w:val="00DA3284"/>
    <w:rsid w:val="00DA32A5"/>
    <w:rsid w:val="00DA4610"/>
    <w:rsid w:val="00DA48C0"/>
    <w:rsid w:val="00DA4E7C"/>
    <w:rsid w:val="00DA6589"/>
    <w:rsid w:val="00DB0A9F"/>
    <w:rsid w:val="00DB344D"/>
    <w:rsid w:val="00DB3DE8"/>
    <w:rsid w:val="00DB40DA"/>
    <w:rsid w:val="00DB51BF"/>
    <w:rsid w:val="00DB69CD"/>
    <w:rsid w:val="00DB6C06"/>
    <w:rsid w:val="00DB74AB"/>
    <w:rsid w:val="00DB79B6"/>
    <w:rsid w:val="00DC0FC3"/>
    <w:rsid w:val="00DC1774"/>
    <w:rsid w:val="00DC1B72"/>
    <w:rsid w:val="00DC2669"/>
    <w:rsid w:val="00DC4971"/>
    <w:rsid w:val="00DC5079"/>
    <w:rsid w:val="00DC5521"/>
    <w:rsid w:val="00DC56F5"/>
    <w:rsid w:val="00DC7F16"/>
    <w:rsid w:val="00DD1669"/>
    <w:rsid w:val="00DD2359"/>
    <w:rsid w:val="00DD4A6A"/>
    <w:rsid w:val="00DD52DC"/>
    <w:rsid w:val="00DD5AA6"/>
    <w:rsid w:val="00DD6F71"/>
    <w:rsid w:val="00DE0510"/>
    <w:rsid w:val="00DE27B2"/>
    <w:rsid w:val="00DE2B45"/>
    <w:rsid w:val="00DE439D"/>
    <w:rsid w:val="00DE675E"/>
    <w:rsid w:val="00DE70CA"/>
    <w:rsid w:val="00DF1265"/>
    <w:rsid w:val="00DF3E58"/>
    <w:rsid w:val="00DF5823"/>
    <w:rsid w:val="00DF6207"/>
    <w:rsid w:val="00DF67AF"/>
    <w:rsid w:val="00E00C89"/>
    <w:rsid w:val="00E027A0"/>
    <w:rsid w:val="00E0366A"/>
    <w:rsid w:val="00E039CB"/>
    <w:rsid w:val="00E05629"/>
    <w:rsid w:val="00E07524"/>
    <w:rsid w:val="00E1066B"/>
    <w:rsid w:val="00E13E87"/>
    <w:rsid w:val="00E15A1B"/>
    <w:rsid w:val="00E1715E"/>
    <w:rsid w:val="00E17D02"/>
    <w:rsid w:val="00E203A4"/>
    <w:rsid w:val="00E2042C"/>
    <w:rsid w:val="00E20D40"/>
    <w:rsid w:val="00E20FCC"/>
    <w:rsid w:val="00E21C61"/>
    <w:rsid w:val="00E23673"/>
    <w:rsid w:val="00E23C5C"/>
    <w:rsid w:val="00E242C4"/>
    <w:rsid w:val="00E2459B"/>
    <w:rsid w:val="00E259A7"/>
    <w:rsid w:val="00E25EDF"/>
    <w:rsid w:val="00E268F5"/>
    <w:rsid w:val="00E26BF1"/>
    <w:rsid w:val="00E3041C"/>
    <w:rsid w:val="00E30EA5"/>
    <w:rsid w:val="00E31197"/>
    <w:rsid w:val="00E32B3E"/>
    <w:rsid w:val="00E32B76"/>
    <w:rsid w:val="00E347F6"/>
    <w:rsid w:val="00E34E53"/>
    <w:rsid w:val="00E36959"/>
    <w:rsid w:val="00E36E96"/>
    <w:rsid w:val="00E3718A"/>
    <w:rsid w:val="00E371EC"/>
    <w:rsid w:val="00E402C8"/>
    <w:rsid w:val="00E4066A"/>
    <w:rsid w:val="00E40A13"/>
    <w:rsid w:val="00E42A77"/>
    <w:rsid w:val="00E4385D"/>
    <w:rsid w:val="00E43F60"/>
    <w:rsid w:val="00E45201"/>
    <w:rsid w:val="00E46941"/>
    <w:rsid w:val="00E47897"/>
    <w:rsid w:val="00E53863"/>
    <w:rsid w:val="00E53CFD"/>
    <w:rsid w:val="00E54ABA"/>
    <w:rsid w:val="00E55B3C"/>
    <w:rsid w:val="00E56543"/>
    <w:rsid w:val="00E56A4A"/>
    <w:rsid w:val="00E60228"/>
    <w:rsid w:val="00E61244"/>
    <w:rsid w:val="00E61BB6"/>
    <w:rsid w:val="00E61F6E"/>
    <w:rsid w:val="00E625C5"/>
    <w:rsid w:val="00E639FD"/>
    <w:rsid w:val="00E64209"/>
    <w:rsid w:val="00E64672"/>
    <w:rsid w:val="00E65A76"/>
    <w:rsid w:val="00E65FC0"/>
    <w:rsid w:val="00E70910"/>
    <w:rsid w:val="00E71181"/>
    <w:rsid w:val="00E7122C"/>
    <w:rsid w:val="00E72011"/>
    <w:rsid w:val="00E72533"/>
    <w:rsid w:val="00E7356C"/>
    <w:rsid w:val="00E74D3F"/>
    <w:rsid w:val="00E759C0"/>
    <w:rsid w:val="00E75F2F"/>
    <w:rsid w:val="00E764EB"/>
    <w:rsid w:val="00E768ED"/>
    <w:rsid w:val="00E76B0F"/>
    <w:rsid w:val="00E773F6"/>
    <w:rsid w:val="00E809DF"/>
    <w:rsid w:val="00E8157B"/>
    <w:rsid w:val="00E8397C"/>
    <w:rsid w:val="00E84A0F"/>
    <w:rsid w:val="00E859EB"/>
    <w:rsid w:val="00E86AC4"/>
    <w:rsid w:val="00E87E8B"/>
    <w:rsid w:val="00E91FAA"/>
    <w:rsid w:val="00E92926"/>
    <w:rsid w:val="00E946B8"/>
    <w:rsid w:val="00E953E3"/>
    <w:rsid w:val="00E95432"/>
    <w:rsid w:val="00E96308"/>
    <w:rsid w:val="00E9642B"/>
    <w:rsid w:val="00E96F5D"/>
    <w:rsid w:val="00E97B37"/>
    <w:rsid w:val="00EA23DE"/>
    <w:rsid w:val="00EA2A82"/>
    <w:rsid w:val="00EA3E97"/>
    <w:rsid w:val="00EA43DC"/>
    <w:rsid w:val="00EA563D"/>
    <w:rsid w:val="00EA7316"/>
    <w:rsid w:val="00EA7B9C"/>
    <w:rsid w:val="00EB0D02"/>
    <w:rsid w:val="00EB1598"/>
    <w:rsid w:val="00EB1635"/>
    <w:rsid w:val="00EB2F21"/>
    <w:rsid w:val="00EB3ED7"/>
    <w:rsid w:val="00EB7A81"/>
    <w:rsid w:val="00EC0005"/>
    <w:rsid w:val="00EC2D1A"/>
    <w:rsid w:val="00EC5ACA"/>
    <w:rsid w:val="00EC762D"/>
    <w:rsid w:val="00ED39D0"/>
    <w:rsid w:val="00ED3E95"/>
    <w:rsid w:val="00ED494A"/>
    <w:rsid w:val="00ED4F24"/>
    <w:rsid w:val="00ED6042"/>
    <w:rsid w:val="00ED6085"/>
    <w:rsid w:val="00ED6CF0"/>
    <w:rsid w:val="00ED6EEF"/>
    <w:rsid w:val="00EE0745"/>
    <w:rsid w:val="00EE2106"/>
    <w:rsid w:val="00EE33FF"/>
    <w:rsid w:val="00EE3728"/>
    <w:rsid w:val="00EE41AE"/>
    <w:rsid w:val="00EE6432"/>
    <w:rsid w:val="00EE6EE0"/>
    <w:rsid w:val="00EE7133"/>
    <w:rsid w:val="00EE7CAE"/>
    <w:rsid w:val="00EF0EDA"/>
    <w:rsid w:val="00EF273F"/>
    <w:rsid w:val="00EF5CBC"/>
    <w:rsid w:val="00EF6494"/>
    <w:rsid w:val="00EF6CC1"/>
    <w:rsid w:val="00F00C1E"/>
    <w:rsid w:val="00F0128E"/>
    <w:rsid w:val="00F0186F"/>
    <w:rsid w:val="00F0240A"/>
    <w:rsid w:val="00F026B4"/>
    <w:rsid w:val="00F0321B"/>
    <w:rsid w:val="00F0461C"/>
    <w:rsid w:val="00F055F9"/>
    <w:rsid w:val="00F06052"/>
    <w:rsid w:val="00F06287"/>
    <w:rsid w:val="00F0648C"/>
    <w:rsid w:val="00F06565"/>
    <w:rsid w:val="00F11D5C"/>
    <w:rsid w:val="00F12900"/>
    <w:rsid w:val="00F12B59"/>
    <w:rsid w:val="00F1457F"/>
    <w:rsid w:val="00F14E66"/>
    <w:rsid w:val="00F1500A"/>
    <w:rsid w:val="00F15C2E"/>
    <w:rsid w:val="00F21AE1"/>
    <w:rsid w:val="00F21C58"/>
    <w:rsid w:val="00F227BC"/>
    <w:rsid w:val="00F2292F"/>
    <w:rsid w:val="00F2362A"/>
    <w:rsid w:val="00F24B1B"/>
    <w:rsid w:val="00F24C33"/>
    <w:rsid w:val="00F24F4E"/>
    <w:rsid w:val="00F2512A"/>
    <w:rsid w:val="00F26655"/>
    <w:rsid w:val="00F303B2"/>
    <w:rsid w:val="00F3079A"/>
    <w:rsid w:val="00F30A96"/>
    <w:rsid w:val="00F31181"/>
    <w:rsid w:val="00F312A4"/>
    <w:rsid w:val="00F33752"/>
    <w:rsid w:val="00F358E7"/>
    <w:rsid w:val="00F35A76"/>
    <w:rsid w:val="00F407A4"/>
    <w:rsid w:val="00F428F6"/>
    <w:rsid w:val="00F43CEA"/>
    <w:rsid w:val="00F43D4E"/>
    <w:rsid w:val="00F44089"/>
    <w:rsid w:val="00F44416"/>
    <w:rsid w:val="00F47734"/>
    <w:rsid w:val="00F50505"/>
    <w:rsid w:val="00F505F3"/>
    <w:rsid w:val="00F51955"/>
    <w:rsid w:val="00F5204E"/>
    <w:rsid w:val="00F52564"/>
    <w:rsid w:val="00F531C1"/>
    <w:rsid w:val="00F53820"/>
    <w:rsid w:val="00F5456B"/>
    <w:rsid w:val="00F54F28"/>
    <w:rsid w:val="00F55C13"/>
    <w:rsid w:val="00F56D6F"/>
    <w:rsid w:val="00F56ED1"/>
    <w:rsid w:val="00F57534"/>
    <w:rsid w:val="00F603EB"/>
    <w:rsid w:val="00F60875"/>
    <w:rsid w:val="00F617D1"/>
    <w:rsid w:val="00F622D6"/>
    <w:rsid w:val="00F62483"/>
    <w:rsid w:val="00F62E9C"/>
    <w:rsid w:val="00F63300"/>
    <w:rsid w:val="00F64481"/>
    <w:rsid w:val="00F64AE8"/>
    <w:rsid w:val="00F64E70"/>
    <w:rsid w:val="00F65B00"/>
    <w:rsid w:val="00F65F14"/>
    <w:rsid w:val="00F676A5"/>
    <w:rsid w:val="00F67712"/>
    <w:rsid w:val="00F67E25"/>
    <w:rsid w:val="00F70A1F"/>
    <w:rsid w:val="00F71DE5"/>
    <w:rsid w:val="00F72495"/>
    <w:rsid w:val="00F72C20"/>
    <w:rsid w:val="00F7498D"/>
    <w:rsid w:val="00F74A32"/>
    <w:rsid w:val="00F74CA7"/>
    <w:rsid w:val="00F75D17"/>
    <w:rsid w:val="00F83931"/>
    <w:rsid w:val="00F8459D"/>
    <w:rsid w:val="00F847DB"/>
    <w:rsid w:val="00F85EF1"/>
    <w:rsid w:val="00F87DF7"/>
    <w:rsid w:val="00F91679"/>
    <w:rsid w:val="00F917A9"/>
    <w:rsid w:val="00F918CA"/>
    <w:rsid w:val="00F934CD"/>
    <w:rsid w:val="00F936A9"/>
    <w:rsid w:val="00F937D0"/>
    <w:rsid w:val="00F9455B"/>
    <w:rsid w:val="00F945F2"/>
    <w:rsid w:val="00F94749"/>
    <w:rsid w:val="00F95C80"/>
    <w:rsid w:val="00F96373"/>
    <w:rsid w:val="00F979E4"/>
    <w:rsid w:val="00F97B08"/>
    <w:rsid w:val="00FA1053"/>
    <w:rsid w:val="00FA26DC"/>
    <w:rsid w:val="00FA2AEF"/>
    <w:rsid w:val="00FA3F57"/>
    <w:rsid w:val="00FA63D2"/>
    <w:rsid w:val="00FA76B5"/>
    <w:rsid w:val="00FA7AC6"/>
    <w:rsid w:val="00FB4BC9"/>
    <w:rsid w:val="00FB5E2A"/>
    <w:rsid w:val="00FC1FFB"/>
    <w:rsid w:val="00FC2016"/>
    <w:rsid w:val="00FC3036"/>
    <w:rsid w:val="00FC3F08"/>
    <w:rsid w:val="00FC516E"/>
    <w:rsid w:val="00FC5D94"/>
    <w:rsid w:val="00FC65CC"/>
    <w:rsid w:val="00FC7C19"/>
    <w:rsid w:val="00FD03FC"/>
    <w:rsid w:val="00FD133C"/>
    <w:rsid w:val="00FD371B"/>
    <w:rsid w:val="00FD3B1C"/>
    <w:rsid w:val="00FD4D0C"/>
    <w:rsid w:val="00FD5717"/>
    <w:rsid w:val="00FD5A08"/>
    <w:rsid w:val="00FD639E"/>
    <w:rsid w:val="00FD70CE"/>
    <w:rsid w:val="00FE0769"/>
    <w:rsid w:val="00FE470B"/>
    <w:rsid w:val="00FE5695"/>
    <w:rsid w:val="00FE628B"/>
    <w:rsid w:val="00FE66E5"/>
    <w:rsid w:val="00FE7348"/>
    <w:rsid w:val="00FF09D8"/>
    <w:rsid w:val="00FF0C55"/>
    <w:rsid w:val="00FF10C3"/>
    <w:rsid w:val="00FF1560"/>
    <w:rsid w:val="00FF1C97"/>
    <w:rsid w:val="00FF25CD"/>
    <w:rsid w:val="00FF48B7"/>
    <w:rsid w:val="00FF5046"/>
    <w:rsid w:val="00FF58C1"/>
    <w:rsid w:val="00FF5B5D"/>
    <w:rsid w:val="00FF6F14"/>
    <w:rsid w:val="00FF74AC"/>
    <w:rsid w:val="00FF7618"/>
    <w:rsid w:val="00FF7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style="mso-width-percent:1000;mso-width-relative:margin"/>
    <o:shapelayout v:ext="edit">
      <o:idmap v:ext="edit" data="2"/>
      <o:rules v:ext="edit">
        <o:r id="V:Rule1" type="connector" idref="#_x0000_s2050"/>
        <o:r id="V:Rule2" type="connector" idref="#_x0000_s2051"/>
      </o:rules>
    </o:shapelayout>
  </w:shapeDefaults>
  <w:decimalSymbol w:val="."/>
  <w:listSeparator w:val=","/>
  <w14:docId w14:val="617604FF"/>
  <w15:docId w15:val="{DDF087D4-A89C-3241-8764-061F7309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012"/>
    <w:pPr>
      <w:spacing w:after="0" w:line="240" w:lineRule="auto"/>
      <w:jc w:val="both"/>
    </w:pPr>
    <w:rPr>
      <w:rFonts w:ascii="Cambria" w:hAnsi="Cambria"/>
      <w:kern w:val="16"/>
      <w:sz w:val="20"/>
    </w:rPr>
  </w:style>
  <w:style w:type="paragraph" w:styleId="Heading1">
    <w:name w:val="heading 1"/>
    <w:basedOn w:val="Normal"/>
    <w:next w:val="Normal"/>
    <w:link w:val="Heading1Char"/>
    <w:uiPriority w:val="9"/>
    <w:qFormat/>
    <w:rsid w:val="00240C86"/>
    <w:pPr>
      <w:pageBreakBefore/>
      <w:spacing w:before="1440" w:after="1440" w:line="360" w:lineRule="auto"/>
      <w:ind w:firstLine="0"/>
      <w:jc w:val="center"/>
      <w:outlineLvl w:val="0"/>
    </w:pPr>
    <w:rPr>
      <w:rFonts w:ascii="Arial" w:eastAsiaTheme="majorEastAsia" w:hAnsi="Arial" w:cstheme="majorBidi"/>
      <w:b/>
      <w:bCs/>
      <w:i/>
      <w:iCs/>
      <w:sz w:val="36"/>
      <w:szCs w:val="32"/>
    </w:rPr>
  </w:style>
  <w:style w:type="paragraph" w:styleId="Heading2">
    <w:name w:val="heading 2"/>
    <w:basedOn w:val="Normal"/>
    <w:next w:val="Normal"/>
    <w:link w:val="Heading2Char"/>
    <w:uiPriority w:val="9"/>
    <w:unhideWhenUsed/>
    <w:qFormat/>
    <w:rsid w:val="00E76B0F"/>
    <w:pPr>
      <w:keepNext/>
      <w:spacing w:before="240" w:line="360" w:lineRule="auto"/>
      <w:ind w:firstLine="0"/>
      <w:outlineLvl w:val="1"/>
    </w:pPr>
    <w:rPr>
      <w:rFonts w:ascii="Arial" w:eastAsiaTheme="majorEastAsia" w:hAnsi="Arial" w:cstheme="majorBidi"/>
      <w:b/>
      <w:bCs/>
      <w:iCs/>
      <w:sz w:val="24"/>
      <w:szCs w:val="28"/>
    </w:rPr>
  </w:style>
  <w:style w:type="paragraph" w:styleId="Heading3">
    <w:name w:val="heading 3"/>
    <w:basedOn w:val="Normal"/>
    <w:next w:val="Normal"/>
    <w:link w:val="Heading3Char"/>
    <w:uiPriority w:val="9"/>
    <w:unhideWhenUsed/>
    <w:qFormat/>
    <w:rsid w:val="002B6617"/>
    <w:pPr>
      <w:keepNext/>
      <w:spacing w:before="240" w:line="360" w:lineRule="auto"/>
      <w:outlineLvl w:val="2"/>
    </w:pPr>
    <w:rPr>
      <w:rFonts w:asciiTheme="majorHAnsi" w:eastAsiaTheme="majorEastAsia" w:hAnsiTheme="majorHAnsi" w:cstheme="majorBidi"/>
      <w:b/>
      <w:bCs/>
      <w:i/>
      <w:iCs/>
      <w:szCs w:val="26"/>
    </w:rPr>
  </w:style>
  <w:style w:type="paragraph" w:styleId="Heading4">
    <w:name w:val="heading 4"/>
    <w:basedOn w:val="Normal"/>
    <w:next w:val="Normal"/>
    <w:link w:val="Heading4Char"/>
    <w:uiPriority w:val="9"/>
    <w:unhideWhenUsed/>
    <w:qFormat/>
    <w:rsid w:val="00DD6F71"/>
    <w:pPr>
      <w:spacing w:before="28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DD6F71"/>
    <w:pPr>
      <w:spacing w:before="28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DD6F71"/>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D6F71"/>
    <w:pPr>
      <w:spacing w:before="280" w:line="360" w:lineRule="auto"/>
      <w:ind w:firstLine="0"/>
      <w:outlineLvl w:val="6"/>
    </w:pPr>
    <w:rPr>
      <w:rFonts w:asciiTheme="majorHAnsi" w:eastAsiaTheme="majorEastAsia" w:hAnsiTheme="majorHAnsi" w:cstheme="majorBidi"/>
      <w:b/>
      <w:bCs/>
      <w:i/>
      <w:iCs/>
      <w:szCs w:val="20"/>
    </w:rPr>
  </w:style>
  <w:style w:type="paragraph" w:styleId="Heading8">
    <w:name w:val="heading 8"/>
    <w:basedOn w:val="Normal"/>
    <w:next w:val="Normal"/>
    <w:link w:val="Heading8Char"/>
    <w:uiPriority w:val="9"/>
    <w:semiHidden/>
    <w:unhideWhenUsed/>
    <w:qFormat/>
    <w:rsid w:val="00DD6F71"/>
    <w:pPr>
      <w:spacing w:before="28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DD6F71"/>
    <w:pPr>
      <w:spacing w:before="28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A660BB"/>
    <w:pPr>
      <w:tabs>
        <w:tab w:val="center" w:pos="4320"/>
        <w:tab w:val="right" w:pos="8640"/>
      </w:tabs>
      <w:spacing w:after="60"/>
      <w:ind w:firstLine="0"/>
      <w:jc w:val="center"/>
    </w:pPr>
    <w:rPr>
      <w:rFonts w:eastAsia="Times New Roman" w:cs="Times New Roman"/>
      <w:b/>
      <w:smallCaps/>
      <w:sz w:val="24"/>
      <w:szCs w:val="24"/>
    </w:rPr>
  </w:style>
  <w:style w:type="character" w:customStyle="1" w:styleId="HeaderChar">
    <w:name w:val="Header Char"/>
    <w:basedOn w:val="DefaultParagraphFont"/>
    <w:link w:val="Header"/>
    <w:uiPriority w:val="99"/>
    <w:rsid w:val="00A660BB"/>
    <w:rPr>
      <w:rFonts w:ascii="Cambria" w:eastAsia="Times New Roman" w:hAnsi="Cambria" w:cs="Times New Roman"/>
      <w:b/>
      <w:smallCaps/>
      <w:sz w:val="24"/>
      <w:szCs w:val="24"/>
    </w:rPr>
  </w:style>
  <w:style w:type="character" w:styleId="Strong">
    <w:name w:val="Strong"/>
    <w:basedOn w:val="DefaultParagraphFont"/>
    <w:uiPriority w:val="22"/>
    <w:qFormat/>
    <w:rsid w:val="00DD6F71"/>
    <w:rPr>
      <w:b/>
      <w:bCs/>
      <w:spacing w:val="0"/>
    </w:rPr>
  </w:style>
  <w:style w:type="character" w:styleId="Emphasis">
    <w:name w:val="Emphasis"/>
    <w:uiPriority w:val="20"/>
    <w:qFormat/>
    <w:rsid w:val="00DD6F71"/>
    <w:rPr>
      <w:b/>
      <w:bCs/>
      <w:i/>
      <w:iCs/>
      <w:color w:val="auto"/>
    </w:rPr>
  </w:style>
  <w:style w:type="paragraph" w:styleId="NormalWeb">
    <w:name w:val="Normal (Web)"/>
    <w:basedOn w:val="Normal"/>
    <w:uiPriority w:val="99"/>
    <w:rsid w:val="001767A9"/>
    <w:pPr>
      <w:spacing w:before="100" w:beforeAutospacing="1" w:after="100" w:afterAutospacing="1"/>
    </w:pPr>
    <w:rPr>
      <w:rFonts w:ascii="Calibri" w:eastAsia="Times New Roman" w:hAnsi="Calibri" w:cs="Times New Roman"/>
    </w:rPr>
  </w:style>
  <w:style w:type="paragraph" w:styleId="Footer">
    <w:name w:val="footer"/>
    <w:basedOn w:val="Normal"/>
    <w:link w:val="FooterChar"/>
    <w:uiPriority w:val="99"/>
    <w:unhideWhenUsed/>
    <w:rsid w:val="001767A9"/>
    <w:pPr>
      <w:tabs>
        <w:tab w:val="center" w:pos="4680"/>
        <w:tab w:val="right" w:pos="9360"/>
      </w:tabs>
    </w:pPr>
  </w:style>
  <w:style w:type="character" w:customStyle="1" w:styleId="FooterChar">
    <w:name w:val="Footer Char"/>
    <w:basedOn w:val="DefaultParagraphFont"/>
    <w:link w:val="Footer"/>
    <w:uiPriority w:val="99"/>
    <w:rsid w:val="001767A9"/>
  </w:style>
  <w:style w:type="paragraph" w:styleId="ListParagraph">
    <w:name w:val="List Paragraph"/>
    <w:basedOn w:val="Normal"/>
    <w:uiPriority w:val="34"/>
    <w:qFormat/>
    <w:rsid w:val="00DD6F71"/>
    <w:pPr>
      <w:ind w:left="720"/>
      <w:contextualSpacing/>
    </w:pPr>
  </w:style>
  <w:style w:type="character" w:customStyle="1" w:styleId="Heading1Char">
    <w:name w:val="Heading 1 Char"/>
    <w:basedOn w:val="DefaultParagraphFont"/>
    <w:link w:val="Heading1"/>
    <w:uiPriority w:val="9"/>
    <w:rsid w:val="00240C86"/>
    <w:rPr>
      <w:rFonts w:ascii="Arial" w:eastAsiaTheme="majorEastAsia" w:hAnsi="Arial" w:cstheme="majorBidi"/>
      <w:b/>
      <w:bCs/>
      <w:i/>
      <w:iCs/>
      <w:sz w:val="36"/>
      <w:szCs w:val="32"/>
    </w:rPr>
  </w:style>
  <w:style w:type="character" w:customStyle="1" w:styleId="Heading2Char">
    <w:name w:val="Heading 2 Char"/>
    <w:basedOn w:val="DefaultParagraphFont"/>
    <w:link w:val="Heading2"/>
    <w:uiPriority w:val="9"/>
    <w:rsid w:val="00E76B0F"/>
    <w:rPr>
      <w:rFonts w:ascii="Arial" w:eastAsiaTheme="majorEastAsia" w:hAnsi="Arial" w:cstheme="majorBidi"/>
      <w:b/>
      <w:bCs/>
      <w:iCs/>
      <w:sz w:val="24"/>
      <w:szCs w:val="28"/>
    </w:rPr>
  </w:style>
  <w:style w:type="character" w:customStyle="1" w:styleId="Heading3Char">
    <w:name w:val="Heading 3 Char"/>
    <w:basedOn w:val="DefaultParagraphFont"/>
    <w:link w:val="Heading3"/>
    <w:uiPriority w:val="9"/>
    <w:rsid w:val="002B6617"/>
    <w:rPr>
      <w:rFonts w:asciiTheme="majorHAnsi" w:eastAsiaTheme="majorEastAsia" w:hAnsiTheme="majorHAnsi" w:cstheme="majorBidi"/>
      <w:b/>
      <w:bCs/>
      <w:i/>
      <w:iCs/>
      <w:sz w:val="20"/>
      <w:szCs w:val="26"/>
    </w:rPr>
  </w:style>
  <w:style w:type="character" w:customStyle="1" w:styleId="Heading4Char">
    <w:name w:val="Heading 4 Char"/>
    <w:basedOn w:val="DefaultParagraphFont"/>
    <w:link w:val="Heading4"/>
    <w:uiPriority w:val="9"/>
    <w:rsid w:val="00DD6F71"/>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DD6F71"/>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DD6F7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D6F71"/>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DD6F71"/>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DD6F71"/>
    <w:rPr>
      <w:rFonts w:asciiTheme="majorHAnsi" w:eastAsiaTheme="majorEastAsia" w:hAnsiTheme="majorHAnsi" w:cstheme="majorBidi"/>
      <w:i/>
      <w:iCs/>
      <w:sz w:val="18"/>
      <w:szCs w:val="18"/>
    </w:rPr>
  </w:style>
  <w:style w:type="paragraph" w:styleId="Caption">
    <w:name w:val="caption"/>
    <w:basedOn w:val="Normal"/>
    <w:next w:val="Normal"/>
    <w:uiPriority w:val="35"/>
    <w:unhideWhenUsed/>
    <w:qFormat/>
    <w:rsid w:val="000E7151"/>
    <w:pPr>
      <w:keepNext/>
      <w:keepLines/>
      <w:spacing w:before="120" w:after="60"/>
      <w:ind w:firstLine="0"/>
      <w:jc w:val="center"/>
    </w:pPr>
    <w:rPr>
      <w:bCs/>
      <w:sz w:val="18"/>
      <w:szCs w:val="18"/>
      <w:u w:val="single"/>
    </w:rPr>
  </w:style>
  <w:style w:type="paragraph" w:styleId="Title">
    <w:name w:val="Title"/>
    <w:basedOn w:val="Normal"/>
    <w:next w:val="Normal"/>
    <w:link w:val="TitleChar"/>
    <w:uiPriority w:val="10"/>
    <w:qFormat/>
    <w:rsid w:val="00DD6F71"/>
    <w:pPr>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DD6F71"/>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DD6F71"/>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DD6F71"/>
    <w:rPr>
      <w:i/>
      <w:iCs/>
      <w:color w:val="808080" w:themeColor="text1" w:themeTint="7F"/>
      <w:spacing w:val="10"/>
      <w:sz w:val="24"/>
      <w:szCs w:val="24"/>
    </w:rPr>
  </w:style>
  <w:style w:type="paragraph" w:styleId="NoSpacing">
    <w:name w:val="No Spacing"/>
    <w:basedOn w:val="Normal"/>
    <w:link w:val="NoSpacingChar"/>
    <w:uiPriority w:val="1"/>
    <w:qFormat/>
    <w:rsid w:val="00DD6F71"/>
    <w:pPr>
      <w:ind w:firstLine="0"/>
    </w:pPr>
  </w:style>
  <w:style w:type="paragraph" w:styleId="Quote">
    <w:name w:val="Quote"/>
    <w:basedOn w:val="Normal"/>
    <w:next w:val="Normal"/>
    <w:link w:val="QuoteChar"/>
    <w:uiPriority w:val="29"/>
    <w:qFormat/>
    <w:rsid w:val="00DD6F71"/>
    <w:rPr>
      <w:color w:val="5A5A5A" w:themeColor="text1" w:themeTint="A5"/>
    </w:rPr>
  </w:style>
  <w:style w:type="character" w:customStyle="1" w:styleId="QuoteChar">
    <w:name w:val="Quote Char"/>
    <w:basedOn w:val="DefaultParagraphFont"/>
    <w:link w:val="Quote"/>
    <w:uiPriority w:val="29"/>
    <w:rsid w:val="00DD6F71"/>
    <w:rPr>
      <w:rFonts w:asciiTheme="minorHAnsi"/>
      <w:color w:val="5A5A5A" w:themeColor="text1" w:themeTint="A5"/>
    </w:rPr>
  </w:style>
  <w:style w:type="paragraph" w:styleId="IntenseQuote">
    <w:name w:val="Intense Quote"/>
    <w:basedOn w:val="Normal"/>
    <w:next w:val="Normal"/>
    <w:link w:val="IntenseQuoteChar"/>
    <w:uiPriority w:val="30"/>
    <w:qFormat/>
    <w:rsid w:val="00DD6F71"/>
    <w:pPr>
      <w:spacing w:before="320" w:after="480"/>
      <w:ind w:left="720" w:right="720" w:firstLine="0"/>
      <w:jc w:val="center"/>
    </w:pPr>
    <w:rPr>
      <w:rFonts w:asciiTheme="majorHAnsi" w:eastAsiaTheme="majorEastAsia" w:hAnsiTheme="majorHAnsi" w:cstheme="majorBidi"/>
      <w:i/>
      <w:iCs/>
      <w:szCs w:val="20"/>
    </w:rPr>
  </w:style>
  <w:style w:type="character" w:customStyle="1" w:styleId="IntenseQuoteChar">
    <w:name w:val="Intense Quote Char"/>
    <w:basedOn w:val="DefaultParagraphFont"/>
    <w:link w:val="IntenseQuote"/>
    <w:uiPriority w:val="30"/>
    <w:rsid w:val="00DD6F71"/>
    <w:rPr>
      <w:rFonts w:asciiTheme="majorHAnsi" w:eastAsiaTheme="majorEastAsia" w:hAnsiTheme="majorHAnsi" w:cstheme="majorBidi"/>
      <w:i/>
      <w:iCs/>
      <w:sz w:val="20"/>
      <w:szCs w:val="20"/>
    </w:rPr>
  </w:style>
  <w:style w:type="character" w:styleId="SubtleEmphasis">
    <w:name w:val="Subtle Emphasis"/>
    <w:uiPriority w:val="19"/>
    <w:qFormat/>
    <w:rsid w:val="00DD6F71"/>
    <w:rPr>
      <w:i/>
      <w:iCs/>
      <w:color w:val="5A5A5A" w:themeColor="text1" w:themeTint="A5"/>
    </w:rPr>
  </w:style>
  <w:style w:type="character" w:styleId="IntenseEmphasis">
    <w:name w:val="Intense Emphasis"/>
    <w:uiPriority w:val="21"/>
    <w:qFormat/>
    <w:rsid w:val="00DD6F71"/>
    <w:rPr>
      <w:b/>
      <w:bCs/>
      <w:i/>
      <w:iCs/>
      <w:color w:val="auto"/>
      <w:u w:val="single"/>
    </w:rPr>
  </w:style>
  <w:style w:type="character" w:styleId="SubtleReference">
    <w:name w:val="Subtle Reference"/>
    <w:uiPriority w:val="31"/>
    <w:qFormat/>
    <w:rsid w:val="00DD6F71"/>
    <w:rPr>
      <w:smallCaps/>
    </w:rPr>
  </w:style>
  <w:style w:type="character" w:styleId="IntenseReference">
    <w:name w:val="Intense Reference"/>
    <w:uiPriority w:val="32"/>
    <w:qFormat/>
    <w:rsid w:val="00DD6F71"/>
    <w:rPr>
      <w:b/>
      <w:bCs/>
      <w:smallCaps/>
      <w:color w:val="auto"/>
    </w:rPr>
  </w:style>
  <w:style w:type="character" w:styleId="BookTitle">
    <w:name w:val="Book Title"/>
    <w:uiPriority w:val="33"/>
    <w:qFormat/>
    <w:rsid w:val="00DD6F71"/>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unhideWhenUsed/>
    <w:qFormat/>
    <w:rsid w:val="00DD6F71"/>
    <w:pPr>
      <w:outlineLvl w:val="9"/>
    </w:pPr>
  </w:style>
  <w:style w:type="paragraph" w:styleId="DocumentMap">
    <w:name w:val="Document Map"/>
    <w:basedOn w:val="Normal"/>
    <w:link w:val="DocumentMapChar"/>
    <w:uiPriority w:val="99"/>
    <w:semiHidden/>
    <w:unhideWhenUsed/>
    <w:rsid w:val="008560E2"/>
    <w:rPr>
      <w:rFonts w:ascii="Tahoma" w:hAnsi="Tahoma" w:cs="Tahoma"/>
      <w:sz w:val="16"/>
      <w:szCs w:val="16"/>
    </w:rPr>
  </w:style>
  <w:style w:type="character" w:customStyle="1" w:styleId="DocumentMapChar">
    <w:name w:val="Document Map Char"/>
    <w:basedOn w:val="DefaultParagraphFont"/>
    <w:link w:val="DocumentMap"/>
    <w:uiPriority w:val="99"/>
    <w:semiHidden/>
    <w:rsid w:val="008560E2"/>
    <w:rPr>
      <w:rFonts w:ascii="Tahoma" w:hAnsi="Tahoma" w:cs="Tahoma"/>
      <w:sz w:val="16"/>
      <w:szCs w:val="16"/>
    </w:rPr>
  </w:style>
  <w:style w:type="paragraph" w:styleId="BalloonText">
    <w:name w:val="Balloon Text"/>
    <w:basedOn w:val="Normal"/>
    <w:link w:val="BalloonTextChar"/>
    <w:uiPriority w:val="99"/>
    <w:semiHidden/>
    <w:unhideWhenUsed/>
    <w:rsid w:val="00592EED"/>
    <w:rPr>
      <w:rFonts w:ascii="Tahoma" w:hAnsi="Tahoma" w:cs="Tahoma"/>
      <w:sz w:val="16"/>
      <w:szCs w:val="16"/>
    </w:rPr>
  </w:style>
  <w:style w:type="character" w:customStyle="1" w:styleId="BalloonTextChar">
    <w:name w:val="Balloon Text Char"/>
    <w:basedOn w:val="DefaultParagraphFont"/>
    <w:link w:val="BalloonText"/>
    <w:uiPriority w:val="99"/>
    <w:semiHidden/>
    <w:rsid w:val="00592EED"/>
    <w:rPr>
      <w:rFonts w:ascii="Tahoma" w:hAnsi="Tahoma" w:cs="Tahoma"/>
      <w:sz w:val="16"/>
      <w:szCs w:val="16"/>
    </w:rPr>
  </w:style>
  <w:style w:type="character" w:customStyle="1" w:styleId="NoSpacingChar">
    <w:name w:val="No Spacing Char"/>
    <w:basedOn w:val="DefaultParagraphFont"/>
    <w:link w:val="NoSpacing"/>
    <w:uiPriority w:val="1"/>
    <w:rsid w:val="00DD6F71"/>
  </w:style>
  <w:style w:type="character" w:styleId="Hyperlink">
    <w:name w:val="Hyperlink"/>
    <w:basedOn w:val="DefaultParagraphFont"/>
    <w:uiPriority w:val="99"/>
    <w:unhideWhenUsed/>
    <w:rsid w:val="009729DE"/>
    <w:rPr>
      <w:color w:val="0000FF" w:themeColor="hyperlink"/>
      <w:sz w:val="18"/>
      <w:u w:val="single"/>
    </w:rPr>
  </w:style>
  <w:style w:type="character" w:customStyle="1" w:styleId="body">
    <w:name w:val="body"/>
    <w:basedOn w:val="DefaultParagraphFont"/>
    <w:rsid w:val="00B2025E"/>
  </w:style>
  <w:style w:type="character" w:styleId="FollowedHyperlink">
    <w:name w:val="FollowedHyperlink"/>
    <w:basedOn w:val="DefaultParagraphFont"/>
    <w:uiPriority w:val="99"/>
    <w:semiHidden/>
    <w:unhideWhenUsed/>
    <w:rsid w:val="0058484D"/>
    <w:rPr>
      <w:color w:val="800080" w:themeColor="followedHyperlink"/>
      <w:u w:val="single"/>
    </w:rPr>
  </w:style>
  <w:style w:type="paragraph" w:styleId="EndnoteText">
    <w:name w:val="endnote text"/>
    <w:basedOn w:val="Normal"/>
    <w:link w:val="EndnoteTextChar"/>
    <w:uiPriority w:val="99"/>
    <w:unhideWhenUsed/>
    <w:rsid w:val="006118F9"/>
    <w:pPr>
      <w:spacing w:after="60"/>
      <w:ind w:hanging="288"/>
    </w:pPr>
    <w:rPr>
      <w:sz w:val="15"/>
      <w:szCs w:val="20"/>
    </w:rPr>
  </w:style>
  <w:style w:type="character" w:customStyle="1" w:styleId="EndnoteTextChar">
    <w:name w:val="Endnote Text Char"/>
    <w:basedOn w:val="DefaultParagraphFont"/>
    <w:link w:val="EndnoteText"/>
    <w:uiPriority w:val="99"/>
    <w:rsid w:val="006118F9"/>
    <w:rPr>
      <w:rFonts w:ascii="Cambria" w:hAnsi="Cambria"/>
      <w:kern w:val="16"/>
      <w:sz w:val="15"/>
      <w:szCs w:val="20"/>
    </w:rPr>
  </w:style>
  <w:style w:type="character" w:styleId="EndnoteReference">
    <w:name w:val="endnote reference"/>
    <w:basedOn w:val="DefaultParagraphFont"/>
    <w:uiPriority w:val="99"/>
    <w:unhideWhenUsed/>
    <w:rsid w:val="0019071F"/>
    <w:rPr>
      <w:vertAlign w:val="superscript"/>
    </w:rPr>
  </w:style>
  <w:style w:type="paragraph" w:styleId="Bibliography">
    <w:name w:val="Bibliography"/>
    <w:basedOn w:val="Normal"/>
    <w:next w:val="Normal"/>
    <w:uiPriority w:val="37"/>
    <w:unhideWhenUsed/>
    <w:rsid w:val="006A165B"/>
    <w:pPr>
      <w:spacing w:after="120"/>
      <w:ind w:left="432" w:hanging="432"/>
    </w:pPr>
    <w:rPr>
      <w:sz w:val="18"/>
    </w:rPr>
  </w:style>
  <w:style w:type="paragraph" w:styleId="TOC1">
    <w:name w:val="toc 1"/>
    <w:basedOn w:val="Normal"/>
    <w:next w:val="Normal"/>
    <w:autoRedefine/>
    <w:uiPriority w:val="39"/>
    <w:unhideWhenUsed/>
    <w:qFormat/>
    <w:rsid w:val="009729DE"/>
    <w:pPr>
      <w:keepNext/>
      <w:tabs>
        <w:tab w:val="right" w:leader="dot" w:pos="6750"/>
      </w:tabs>
      <w:spacing w:before="120"/>
      <w:ind w:firstLine="0"/>
    </w:pPr>
    <w:rPr>
      <w:b/>
    </w:rPr>
  </w:style>
  <w:style w:type="paragraph" w:styleId="TOC2">
    <w:name w:val="toc 2"/>
    <w:basedOn w:val="Normal"/>
    <w:next w:val="Normal"/>
    <w:link w:val="TOC2Char"/>
    <w:autoRedefine/>
    <w:uiPriority w:val="39"/>
    <w:unhideWhenUsed/>
    <w:qFormat/>
    <w:rsid w:val="009729DE"/>
    <w:pPr>
      <w:tabs>
        <w:tab w:val="right" w:leader="dot" w:pos="6750"/>
      </w:tabs>
      <w:ind w:firstLine="720"/>
    </w:pPr>
    <w:rPr>
      <w:noProof/>
    </w:rPr>
  </w:style>
  <w:style w:type="paragraph" w:styleId="TOC3">
    <w:name w:val="toc 3"/>
    <w:basedOn w:val="Normal"/>
    <w:next w:val="Normal"/>
    <w:autoRedefine/>
    <w:uiPriority w:val="39"/>
    <w:unhideWhenUsed/>
    <w:qFormat/>
    <w:rsid w:val="009729DE"/>
    <w:pPr>
      <w:tabs>
        <w:tab w:val="right" w:leader="dot" w:pos="6750"/>
      </w:tabs>
      <w:ind w:firstLine="1440"/>
    </w:pPr>
  </w:style>
  <w:style w:type="paragraph" w:styleId="TOC4">
    <w:name w:val="toc 4"/>
    <w:basedOn w:val="Normal"/>
    <w:next w:val="Normal"/>
    <w:autoRedefine/>
    <w:uiPriority w:val="39"/>
    <w:unhideWhenUsed/>
    <w:rsid w:val="007A635C"/>
    <w:pPr>
      <w:spacing w:after="100" w:line="276" w:lineRule="auto"/>
      <w:ind w:left="660" w:firstLine="0"/>
    </w:pPr>
    <w:rPr>
      <w:lang w:bidi="ar-SA"/>
    </w:rPr>
  </w:style>
  <w:style w:type="paragraph" w:styleId="TOC5">
    <w:name w:val="toc 5"/>
    <w:basedOn w:val="Normal"/>
    <w:next w:val="Normal"/>
    <w:autoRedefine/>
    <w:uiPriority w:val="39"/>
    <w:unhideWhenUsed/>
    <w:rsid w:val="007A635C"/>
    <w:pPr>
      <w:spacing w:after="100" w:line="276" w:lineRule="auto"/>
      <w:ind w:left="880" w:firstLine="0"/>
    </w:pPr>
    <w:rPr>
      <w:lang w:bidi="ar-SA"/>
    </w:rPr>
  </w:style>
  <w:style w:type="paragraph" w:styleId="TOC6">
    <w:name w:val="toc 6"/>
    <w:basedOn w:val="Normal"/>
    <w:next w:val="Normal"/>
    <w:autoRedefine/>
    <w:uiPriority w:val="39"/>
    <w:unhideWhenUsed/>
    <w:rsid w:val="007A635C"/>
    <w:pPr>
      <w:spacing w:after="100" w:line="276" w:lineRule="auto"/>
      <w:ind w:left="1100" w:firstLine="0"/>
    </w:pPr>
    <w:rPr>
      <w:lang w:bidi="ar-SA"/>
    </w:rPr>
  </w:style>
  <w:style w:type="paragraph" w:styleId="TOC7">
    <w:name w:val="toc 7"/>
    <w:basedOn w:val="Normal"/>
    <w:next w:val="Normal"/>
    <w:autoRedefine/>
    <w:uiPriority w:val="39"/>
    <w:unhideWhenUsed/>
    <w:rsid w:val="007A635C"/>
    <w:pPr>
      <w:spacing w:after="100" w:line="276" w:lineRule="auto"/>
      <w:ind w:left="1320" w:firstLine="0"/>
    </w:pPr>
    <w:rPr>
      <w:lang w:bidi="ar-SA"/>
    </w:rPr>
  </w:style>
  <w:style w:type="paragraph" w:styleId="TOC8">
    <w:name w:val="toc 8"/>
    <w:basedOn w:val="Normal"/>
    <w:next w:val="Normal"/>
    <w:autoRedefine/>
    <w:uiPriority w:val="39"/>
    <w:unhideWhenUsed/>
    <w:rsid w:val="007A635C"/>
    <w:pPr>
      <w:spacing w:after="100" w:line="276" w:lineRule="auto"/>
      <w:ind w:left="1540" w:firstLine="0"/>
    </w:pPr>
    <w:rPr>
      <w:lang w:bidi="ar-SA"/>
    </w:rPr>
  </w:style>
  <w:style w:type="paragraph" w:styleId="TOC9">
    <w:name w:val="toc 9"/>
    <w:basedOn w:val="Normal"/>
    <w:next w:val="Normal"/>
    <w:autoRedefine/>
    <w:uiPriority w:val="39"/>
    <w:unhideWhenUsed/>
    <w:rsid w:val="007A635C"/>
    <w:pPr>
      <w:spacing w:after="100" w:line="276" w:lineRule="auto"/>
      <w:ind w:left="1760" w:firstLine="0"/>
    </w:pPr>
    <w:rPr>
      <w:lang w:bidi="ar-SA"/>
    </w:rPr>
  </w:style>
  <w:style w:type="paragraph" w:styleId="TableofFigures">
    <w:name w:val="table of figures"/>
    <w:basedOn w:val="Normal"/>
    <w:next w:val="Normal"/>
    <w:uiPriority w:val="99"/>
    <w:unhideWhenUsed/>
    <w:rsid w:val="009729DE"/>
    <w:pPr>
      <w:ind w:firstLine="0"/>
    </w:pPr>
    <w:rPr>
      <w:sz w:val="16"/>
    </w:rPr>
  </w:style>
  <w:style w:type="paragraph" w:styleId="FootnoteText">
    <w:name w:val="footnote text"/>
    <w:basedOn w:val="Normal"/>
    <w:link w:val="FootnoteTextChar"/>
    <w:uiPriority w:val="99"/>
    <w:semiHidden/>
    <w:unhideWhenUsed/>
    <w:rsid w:val="00C304E4"/>
    <w:rPr>
      <w:szCs w:val="20"/>
    </w:rPr>
  </w:style>
  <w:style w:type="character" w:customStyle="1" w:styleId="FootnoteTextChar">
    <w:name w:val="Footnote Text Char"/>
    <w:basedOn w:val="DefaultParagraphFont"/>
    <w:link w:val="FootnoteText"/>
    <w:uiPriority w:val="99"/>
    <w:semiHidden/>
    <w:rsid w:val="00C304E4"/>
    <w:rPr>
      <w:sz w:val="20"/>
      <w:szCs w:val="20"/>
    </w:rPr>
  </w:style>
  <w:style w:type="character" w:styleId="FootnoteReference">
    <w:name w:val="footnote reference"/>
    <w:basedOn w:val="DefaultParagraphFont"/>
    <w:uiPriority w:val="99"/>
    <w:semiHidden/>
    <w:unhideWhenUsed/>
    <w:rsid w:val="00C304E4"/>
    <w:rPr>
      <w:vertAlign w:val="superscript"/>
    </w:rPr>
  </w:style>
  <w:style w:type="character" w:customStyle="1" w:styleId="TOC2Char">
    <w:name w:val="TOC 2 Char"/>
    <w:basedOn w:val="DefaultParagraphFont"/>
    <w:link w:val="TOC2"/>
    <w:uiPriority w:val="39"/>
    <w:rsid w:val="009729DE"/>
    <w:rPr>
      <w:rFonts w:ascii="Cambria" w:hAnsi="Cambria"/>
      <w:noProof/>
      <w:sz w:val="19"/>
    </w:rPr>
  </w:style>
  <w:style w:type="paragraph" w:customStyle="1" w:styleId="Graphics">
    <w:name w:val="Graphics"/>
    <w:basedOn w:val="Normal"/>
    <w:link w:val="GraphicsChar"/>
    <w:qFormat/>
    <w:rsid w:val="000E7151"/>
    <w:pPr>
      <w:spacing w:after="120"/>
      <w:ind w:firstLine="0"/>
      <w:jc w:val="center"/>
    </w:pPr>
    <w:rPr>
      <w:noProof/>
      <w:lang w:bidi="ar-SA"/>
    </w:rPr>
  </w:style>
  <w:style w:type="character" w:customStyle="1" w:styleId="GraphicsChar">
    <w:name w:val="Graphics Char"/>
    <w:basedOn w:val="DefaultParagraphFont"/>
    <w:link w:val="Graphics"/>
    <w:rsid w:val="000E7151"/>
    <w:rPr>
      <w:rFonts w:ascii="Times New Roman" w:hAnsi="Times New Roman"/>
      <w:noProof/>
      <w:sz w:val="20"/>
      <w:lang w:bidi="ar-SA"/>
    </w:rPr>
  </w:style>
  <w:style w:type="paragraph" w:styleId="Index1">
    <w:name w:val="index 1"/>
    <w:basedOn w:val="Normal"/>
    <w:next w:val="Normal"/>
    <w:autoRedefine/>
    <w:uiPriority w:val="99"/>
    <w:unhideWhenUsed/>
    <w:rsid w:val="00E75F2F"/>
    <w:pPr>
      <w:ind w:left="200" w:hanging="200"/>
      <w:jc w:val="left"/>
    </w:pPr>
    <w:rPr>
      <w:sz w:val="18"/>
      <w:szCs w:val="18"/>
    </w:rPr>
  </w:style>
  <w:style w:type="paragraph" w:styleId="Index2">
    <w:name w:val="index 2"/>
    <w:basedOn w:val="Normal"/>
    <w:next w:val="Normal"/>
    <w:autoRedefine/>
    <w:uiPriority w:val="99"/>
    <w:unhideWhenUsed/>
    <w:rsid w:val="001112A5"/>
    <w:pPr>
      <w:ind w:left="400" w:hanging="200"/>
      <w:jc w:val="left"/>
    </w:pPr>
    <w:rPr>
      <w:rFonts w:asciiTheme="minorHAnsi" w:hAnsiTheme="minorHAnsi"/>
      <w:sz w:val="18"/>
      <w:szCs w:val="18"/>
    </w:rPr>
  </w:style>
  <w:style w:type="paragraph" w:styleId="Index3">
    <w:name w:val="index 3"/>
    <w:basedOn w:val="Normal"/>
    <w:next w:val="Normal"/>
    <w:autoRedefine/>
    <w:uiPriority w:val="99"/>
    <w:unhideWhenUsed/>
    <w:rsid w:val="001112A5"/>
    <w:pPr>
      <w:ind w:left="600" w:hanging="200"/>
      <w:jc w:val="left"/>
    </w:pPr>
    <w:rPr>
      <w:rFonts w:asciiTheme="minorHAnsi" w:hAnsiTheme="minorHAnsi"/>
      <w:sz w:val="18"/>
      <w:szCs w:val="18"/>
    </w:rPr>
  </w:style>
  <w:style w:type="paragraph" w:styleId="Index4">
    <w:name w:val="index 4"/>
    <w:basedOn w:val="Normal"/>
    <w:next w:val="Normal"/>
    <w:autoRedefine/>
    <w:uiPriority w:val="99"/>
    <w:unhideWhenUsed/>
    <w:rsid w:val="001112A5"/>
    <w:pPr>
      <w:ind w:left="800" w:hanging="200"/>
      <w:jc w:val="left"/>
    </w:pPr>
    <w:rPr>
      <w:rFonts w:asciiTheme="minorHAnsi" w:hAnsiTheme="minorHAnsi"/>
      <w:sz w:val="18"/>
      <w:szCs w:val="18"/>
    </w:rPr>
  </w:style>
  <w:style w:type="paragraph" w:styleId="Index5">
    <w:name w:val="index 5"/>
    <w:basedOn w:val="Normal"/>
    <w:next w:val="Normal"/>
    <w:autoRedefine/>
    <w:uiPriority w:val="99"/>
    <w:unhideWhenUsed/>
    <w:rsid w:val="001112A5"/>
    <w:pPr>
      <w:ind w:left="1000" w:hanging="200"/>
      <w:jc w:val="left"/>
    </w:pPr>
    <w:rPr>
      <w:rFonts w:asciiTheme="minorHAnsi" w:hAnsiTheme="minorHAnsi"/>
      <w:sz w:val="18"/>
      <w:szCs w:val="18"/>
    </w:rPr>
  </w:style>
  <w:style w:type="paragraph" w:styleId="Index6">
    <w:name w:val="index 6"/>
    <w:basedOn w:val="Normal"/>
    <w:next w:val="Normal"/>
    <w:autoRedefine/>
    <w:uiPriority w:val="99"/>
    <w:unhideWhenUsed/>
    <w:rsid w:val="001112A5"/>
    <w:pPr>
      <w:ind w:left="1200" w:hanging="200"/>
      <w:jc w:val="left"/>
    </w:pPr>
    <w:rPr>
      <w:rFonts w:asciiTheme="minorHAnsi" w:hAnsiTheme="minorHAnsi"/>
      <w:sz w:val="18"/>
      <w:szCs w:val="18"/>
    </w:rPr>
  </w:style>
  <w:style w:type="paragraph" w:styleId="Index7">
    <w:name w:val="index 7"/>
    <w:basedOn w:val="Normal"/>
    <w:next w:val="Normal"/>
    <w:autoRedefine/>
    <w:uiPriority w:val="99"/>
    <w:unhideWhenUsed/>
    <w:rsid w:val="001112A5"/>
    <w:pPr>
      <w:ind w:left="1400" w:hanging="200"/>
      <w:jc w:val="left"/>
    </w:pPr>
    <w:rPr>
      <w:rFonts w:asciiTheme="minorHAnsi" w:hAnsiTheme="minorHAnsi"/>
      <w:sz w:val="18"/>
      <w:szCs w:val="18"/>
    </w:rPr>
  </w:style>
  <w:style w:type="paragraph" w:styleId="Index8">
    <w:name w:val="index 8"/>
    <w:basedOn w:val="Normal"/>
    <w:next w:val="Normal"/>
    <w:autoRedefine/>
    <w:uiPriority w:val="99"/>
    <w:unhideWhenUsed/>
    <w:rsid w:val="001112A5"/>
    <w:pPr>
      <w:ind w:left="1600" w:hanging="200"/>
      <w:jc w:val="left"/>
    </w:pPr>
    <w:rPr>
      <w:rFonts w:asciiTheme="minorHAnsi" w:hAnsiTheme="minorHAnsi"/>
      <w:sz w:val="18"/>
      <w:szCs w:val="18"/>
    </w:rPr>
  </w:style>
  <w:style w:type="paragraph" w:styleId="Index9">
    <w:name w:val="index 9"/>
    <w:basedOn w:val="Normal"/>
    <w:next w:val="Normal"/>
    <w:autoRedefine/>
    <w:uiPriority w:val="99"/>
    <w:unhideWhenUsed/>
    <w:rsid w:val="001112A5"/>
    <w:pPr>
      <w:ind w:left="1800" w:hanging="200"/>
      <w:jc w:val="left"/>
    </w:pPr>
    <w:rPr>
      <w:rFonts w:asciiTheme="minorHAnsi" w:hAnsiTheme="minorHAnsi"/>
      <w:sz w:val="18"/>
      <w:szCs w:val="18"/>
    </w:rPr>
  </w:style>
  <w:style w:type="paragraph" w:styleId="IndexHeading">
    <w:name w:val="index heading"/>
    <w:basedOn w:val="Normal"/>
    <w:next w:val="Index1"/>
    <w:uiPriority w:val="99"/>
    <w:unhideWhenUsed/>
    <w:rsid w:val="001112A5"/>
    <w:pPr>
      <w:spacing w:before="240" w:after="120"/>
      <w:jc w:val="center"/>
    </w:pPr>
    <w:rPr>
      <w:rFonts w:asciiTheme="minorHAnsi" w:hAnsiTheme="minorHAnsi"/>
      <w:b/>
      <w:bCs/>
      <w:sz w:val="26"/>
      <w:szCs w:val="26"/>
    </w:rPr>
  </w:style>
  <w:style w:type="character" w:styleId="UnresolvedMention">
    <w:name w:val="Unresolved Mention"/>
    <w:basedOn w:val="DefaultParagraphFont"/>
    <w:uiPriority w:val="99"/>
    <w:semiHidden/>
    <w:unhideWhenUsed/>
    <w:rsid w:val="007E3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1059">
      <w:bodyDiv w:val="1"/>
      <w:marLeft w:val="0"/>
      <w:marRight w:val="0"/>
      <w:marTop w:val="0"/>
      <w:marBottom w:val="0"/>
      <w:divBdr>
        <w:top w:val="none" w:sz="0" w:space="0" w:color="auto"/>
        <w:left w:val="none" w:sz="0" w:space="0" w:color="auto"/>
        <w:bottom w:val="none" w:sz="0" w:space="0" w:color="auto"/>
        <w:right w:val="none" w:sz="0" w:space="0" w:color="auto"/>
      </w:divBdr>
    </w:div>
    <w:div w:id="38432790">
      <w:bodyDiv w:val="1"/>
      <w:marLeft w:val="0"/>
      <w:marRight w:val="0"/>
      <w:marTop w:val="0"/>
      <w:marBottom w:val="0"/>
      <w:divBdr>
        <w:top w:val="none" w:sz="0" w:space="0" w:color="auto"/>
        <w:left w:val="none" w:sz="0" w:space="0" w:color="auto"/>
        <w:bottom w:val="none" w:sz="0" w:space="0" w:color="auto"/>
        <w:right w:val="none" w:sz="0" w:space="0" w:color="auto"/>
      </w:divBdr>
    </w:div>
    <w:div w:id="61754333">
      <w:bodyDiv w:val="1"/>
      <w:marLeft w:val="0"/>
      <w:marRight w:val="0"/>
      <w:marTop w:val="0"/>
      <w:marBottom w:val="0"/>
      <w:divBdr>
        <w:top w:val="none" w:sz="0" w:space="0" w:color="auto"/>
        <w:left w:val="none" w:sz="0" w:space="0" w:color="auto"/>
        <w:bottom w:val="none" w:sz="0" w:space="0" w:color="auto"/>
        <w:right w:val="none" w:sz="0" w:space="0" w:color="auto"/>
      </w:divBdr>
    </w:div>
    <w:div w:id="84616684">
      <w:bodyDiv w:val="1"/>
      <w:marLeft w:val="0"/>
      <w:marRight w:val="0"/>
      <w:marTop w:val="0"/>
      <w:marBottom w:val="0"/>
      <w:divBdr>
        <w:top w:val="none" w:sz="0" w:space="0" w:color="auto"/>
        <w:left w:val="none" w:sz="0" w:space="0" w:color="auto"/>
        <w:bottom w:val="none" w:sz="0" w:space="0" w:color="auto"/>
        <w:right w:val="none" w:sz="0" w:space="0" w:color="auto"/>
      </w:divBdr>
    </w:div>
    <w:div w:id="110172431">
      <w:bodyDiv w:val="1"/>
      <w:marLeft w:val="0"/>
      <w:marRight w:val="0"/>
      <w:marTop w:val="0"/>
      <w:marBottom w:val="0"/>
      <w:divBdr>
        <w:top w:val="none" w:sz="0" w:space="0" w:color="auto"/>
        <w:left w:val="none" w:sz="0" w:space="0" w:color="auto"/>
        <w:bottom w:val="none" w:sz="0" w:space="0" w:color="auto"/>
        <w:right w:val="none" w:sz="0" w:space="0" w:color="auto"/>
      </w:divBdr>
    </w:div>
    <w:div w:id="111170830">
      <w:bodyDiv w:val="1"/>
      <w:marLeft w:val="0"/>
      <w:marRight w:val="0"/>
      <w:marTop w:val="0"/>
      <w:marBottom w:val="0"/>
      <w:divBdr>
        <w:top w:val="none" w:sz="0" w:space="0" w:color="auto"/>
        <w:left w:val="none" w:sz="0" w:space="0" w:color="auto"/>
        <w:bottom w:val="none" w:sz="0" w:space="0" w:color="auto"/>
        <w:right w:val="none" w:sz="0" w:space="0" w:color="auto"/>
      </w:divBdr>
    </w:div>
    <w:div w:id="112293452">
      <w:bodyDiv w:val="1"/>
      <w:marLeft w:val="0"/>
      <w:marRight w:val="0"/>
      <w:marTop w:val="0"/>
      <w:marBottom w:val="0"/>
      <w:divBdr>
        <w:top w:val="none" w:sz="0" w:space="0" w:color="auto"/>
        <w:left w:val="none" w:sz="0" w:space="0" w:color="auto"/>
        <w:bottom w:val="none" w:sz="0" w:space="0" w:color="auto"/>
        <w:right w:val="none" w:sz="0" w:space="0" w:color="auto"/>
      </w:divBdr>
    </w:div>
    <w:div w:id="121659870">
      <w:bodyDiv w:val="1"/>
      <w:marLeft w:val="0"/>
      <w:marRight w:val="0"/>
      <w:marTop w:val="0"/>
      <w:marBottom w:val="0"/>
      <w:divBdr>
        <w:top w:val="none" w:sz="0" w:space="0" w:color="auto"/>
        <w:left w:val="none" w:sz="0" w:space="0" w:color="auto"/>
        <w:bottom w:val="none" w:sz="0" w:space="0" w:color="auto"/>
        <w:right w:val="none" w:sz="0" w:space="0" w:color="auto"/>
      </w:divBdr>
    </w:div>
    <w:div w:id="139346482">
      <w:bodyDiv w:val="1"/>
      <w:marLeft w:val="0"/>
      <w:marRight w:val="0"/>
      <w:marTop w:val="0"/>
      <w:marBottom w:val="0"/>
      <w:divBdr>
        <w:top w:val="none" w:sz="0" w:space="0" w:color="auto"/>
        <w:left w:val="none" w:sz="0" w:space="0" w:color="auto"/>
        <w:bottom w:val="none" w:sz="0" w:space="0" w:color="auto"/>
        <w:right w:val="none" w:sz="0" w:space="0" w:color="auto"/>
      </w:divBdr>
    </w:div>
    <w:div w:id="149098235">
      <w:bodyDiv w:val="1"/>
      <w:marLeft w:val="0"/>
      <w:marRight w:val="0"/>
      <w:marTop w:val="0"/>
      <w:marBottom w:val="0"/>
      <w:divBdr>
        <w:top w:val="none" w:sz="0" w:space="0" w:color="auto"/>
        <w:left w:val="none" w:sz="0" w:space="0" w:color="auto"/>
        <w:bottom w:val="none" w:sz="0" w:space="0" w:color="auto"/>
        <w:right w:val="none" w:sz="0" w:space="0" w:color="auto"/>
      </w:divBdr>
    </w:div>
    <w:div w:id="226958337">
      <w:bodyDiv w:val="1"/>
      <w:marLeft w:val="0"/>
      <w:marRight w:val="0"/>
      <w:marTop w:val="0"/>
      <w:marBottom w:val="0"/>
      <w:divBdr>
        <w:top w:val="none" w:sz="0" w:space="0" w:color="auto"/>
        <w:left w:val="none" w:sz="0" w:space="0" w:color="auto"/>
        <w:bottom w:val="none" w:sz="0" w:space="0" w:color="auto"/>
        <w:right w:val="none" w:sz="0" w:space="0" w:color="auto"/>
      </w:divBdr>
    </w:div>
    <w:div w:id="338656307">
      <w:bodyDiv w:val="1"/>
      <w:marLeft w:val="0"/>
      <w:marRight w:val="0"/>
      <w:marTop w:val="0"/>
      <w:marBottom w:val="0"/>
      <w:divBdr>
        <w:top w:val="none" w:sz="0" w:space="0" w:color="auto"/>
        <w:left w:val="none" w:sz="0" w:space="0" w:color="auto"/>
        <w:bottom w:val="none" w:sz="0" w:space="0" w:color="auto"/>
        <w:right w:val="none" w:sz="0" w:space="0" w:color="auto"/>
      </w:divBdr>
    </w:div>
    <w:div w:id="402677527">
      <w:bodyDiv w:val="1"/>
      <w:marLeft w:val="0"/>
      <w:marRight w:val="0"/>
      <w:marTop w:val="0"/>
      <w:marBottom w:val="0"/>
      <w:divBdr>
        <w:top w:val="none" w:sz="0" w:space="0" w:color="auto"/>
        <w:left w:val="none" w:sz="0" w:space="0" w:color="auto"/>
        <w:bottom w:val="none" w:sz="0" w:space="0" w:color="auto"/>
        <w:right w:val="none" w:sz="0" w:space="0" w:color="auto"/>
      </w:divBdr>
    </w:div>
    <w:div w:id="409892363">
      <w:bodyDiv w:val="1"/>
      <w:marLeft w:val="0"/>
      <w:marRight w:val="0"/>
      <w:marTop w:val="0"/>
      <w:marBottom w:val="0"/>
      <w:divBdr>
        <w:top w:val="none" w:sz="0" w:space="0" w:color="auto"/>
        <w:left w:val="none" w:sz="0" w:space="0" w:color="auto"/>
        <w:bottom w:val="none" w:sz="0" w:space="0" w:color="auto"/>
        <w:right w:val="none" w:sz="0" w:space="0" w:color="auto"/>
      </w:divBdr>
    </w:div>
    <w:div w:id="419831801">
      <w:bodyDiv w:val="1"/>
      <w:marLeft w:val="0"/>
      <w:marRight w:val="0"/>
      <w:marTop w:val="0"/>
      <w:marBottom w:val="0"/>
      <w:divBdr>
        <w:top w:val="none" w:sz="0" w:space="0" w:color="auto"/>
        <w:left w:val="none" w:sz="0" w:space="0" w:color="auto"/>
        <w:bottom w:val="none" w:sz="0" w:space="0" w:color="auto"/>
        <w:right w:val="none" w:sz="0" w:space="0" w:color="auto"/>
      </w:divBdr>
    </w:div>
    <w:div w:id="441263773">
      <w:bodyDiv w:val="1"/>
      <w:marLeft w:val="0"/>
      <w:marRight w:val="0"/>
      <w:marTop w:val="0"/>
      <w:marBottom w:val="0"/>
      <w:divBdr>
        <w:top w:val="none" w:sz="0" w:space="0" w:color="auto"/>
        <w:left w:val="none" w:sz="0" w:space="0" w:color="auto"/>
        <w:bottom w:val="none" w:sz="0" w:space="0" w:color="auto"/>
        <w:right w:val="none" w:sz="0" w:space="0" w:color="auto"/>
      </w:divBdr>
    </w:div>
    <w:div w:id="493910200">
      <w:bodyDiv w:val="1"/>
      <w:marLeft w:val="0"/>
      <w:marRight w:val="0"/>
      <w:marTop w:val="0"/>
      <w:marBottom w:val="0"/>
      <w:divBdr>
        <w:top w:val="none" w:sz="0" w:space="0" w:color="auto"/>
        <w:left w:val="none" w:sz="0" w:space="0" w:color="auto"/>
        <w:bottom w:val="none" w:sz="0" w:space="0" w:color="auto"/>
        <w:right w:val="none" w:sz="0" w:space="0" w:color="auto"/>
      </w:divBdr>
    </w:div>
    <w:div w:id="564335606">
      <w:bodyDiv w:val="1"/>
      <w:marLeft w:val="0"/>
      <w:marRight w:val="0"/>
      <w:marTop w:val="0"/>
      <w:marBottom w:val="0"/>
      <w:divBdr>
        <w:top w:val="none" w:sz="0" w:space="0" w:color="auto"/>
        <w:left w:val="none" w:sz="0" w:space="0" w:color="auto"/>
        <w:bottom w:val="none" w:sz="0" w:space="0" w:color="auto"/>
        <w:right w:val="none" w:sz="0" w:space="0" w:color="auto"/>
      </w:divBdr>
    </w:div>
    <w:div w:id="595678687">
      <w:bodyDiv w:val="1"/>
      <w:marLeft w:val="0"/>
      <w:marRight w:val="0"/>
      <w:marTop w:val="0"/>
      <w:marBottom w:val="0"/>
      <w:divBdr>
        <w:top w:val="none" w:sz="0" w:space="0" w:color="auto"/>
        <w:left w:val="none" w:sz="0" w:space="0" w:color="auto"/>
        <w:bottom w:val="none" w:sz="0" w:space="0" w:color="auto"/>
        <w:right w:val="none" w:sz="0" w:space="0" w:color="auto"/>
      </w:divBdr>
    </w:div>
    <w:div w:id="604076599">
      <w:bodyDiv w:val="1"/>
      <w:marLeft w:val="0"/>
      <w:marRight w:val="0"/>
      <w:marTop w:val="0"/>
      <w:marBottom w:val="0"/>
      <w:divBdr>
        <w:top w:val="none" w:sz="0" w:space="0" w:color="auto"/>
        <w:left w:val="none" w:sz="0" w:space="0" w:color="auto"/>
        <w:bottom w:val="none" w:sz="0" w:space="0" w:color="auto"/>
        <w:right w:val="none" w:sz="0" w:space="0" w:color="auto"/>
      </w:divBdr>
    </w:div>
    <w:div w:id="641496143">
      <w:bodyDiv w:val="1"/>
      <w:marLeft w:val="0"/>
      <w:marRight w:val="0"/>
      <w:marTop w:val="0"/>
      <w:marBottom w:val="0"/>
      <w:divBdr>
        <w:top w:val="none" w:sz="0" w:space="0" w:color="auto"/>
        <w:left w:val="none" w:sz="0" w:space="0" w:color="auto"/>
        <w:bottom w:val="none" w:sz="0" w:space="0" w:color="auto"/>
        <w:right w:val="none" w:sz="0" w:space="0" w:color="auto"/>
      </w:divBdr>
    </w:div>
    <w:div w:id="681853666">
      <w:bodyDiv w:val="1"/>
      <w:marLeft w:val="0"/>
      <w:marRight w:val="0"/>
      <w:marTop w:val="0"/>
      <w:marBottom w:val="0"/>
      <w:divBdr>
        <w:top w:val="none" w:sz="0" w:space="0" w:color="auto"/>
        <w:left w:val="none" w:sz="0" w:space="0" w:color="auto"/>
        <w:bottom w:val="none" w:sz="0" w:space="0" w:color="auto"/>
        <w:right w:val="none" w:sz="0" w:space="0" w:color="auto"/>
      </w:divBdr>
    </w:div>
    <w:div w:id="685909963">
      <w:bodyDiv w:val="1"/>
      <w:marLeft w:val="0"/>
      <w:marRight w:val="0"/>
      <w:marTop w:val="0"/>
      <w:marBottom w:val="0"/>
      <w:divBdr>
        <w:top w:val="none" w:sz="0" w:space="0" w:color="auto"/>
        <w:left w:val="none" w:sz="0" w:space="0" w:color="auto"/>
        <w:bottom w:val="none" w:sz="0" w:space="0" w:color="auto"/>
        <w:right w:val="none" w:sz="0" w:space="0" w:color="auto"/>
      </w:divBdr>
    </w:div>
    <w:div w:id="690182257">
      <w:bodyDiv w:val="1"/>
      <w:marLeft w:val="0"/>
      <w:marRight w:val="0"/>
      <w:marTop w:val="0"/>
      <w:marBottom w:val="0"/>
      <w:divBdr>
        <w:top w:val="none" w:sz="0" w:space="0" w:color="auto"/>
        <w:left w:val="none" w:sz="0" w:space="0" w:color="auto"/>
        <w:bottom w:val="none" w:sz="0" w:space="0" w:color="auto"/>
        <w:right w:val="none" w:sz="0" w:space="0" w:color="auto"/>
      </w:divBdr>
    </w:div>
    <w:div w:id="743336909">
      <w:bodyDiv w:val="1"/>
      <w:marLeft w:val="0"/>
      <w:marRight w:val="0"/>
      <w:marTop w:val="0"/>
      <w:marBottom w:val="0"/>
      <w:divBdr>
        <w:top w:val="none" w:sz="0" w:space="0" w:color="auto"/>
        <w:left w:val="none" w:sz="0" w:space="0" w:color="auto"/>
        <w:bottom w:val="none" w:sz="0" w:space="0" w:color="auto"/>
        <w:right w:val="none" w:sz="0" w:space="0" w:color="auto"/>
      </w:divBdr>
    </w:div>
    <w:div w:id="770275620">
      <w:bodyDiv w:val="1"/>
      <w:marLeft w:val="0"/>
      <w:marRight w:val="0"/>
      <w:marTop w:val="0"/>
      <w:marBottom w:val="0"/>
      <w:divBdr>
        <w:top w:val="none" w:sz="0" w:space="0" w:color="auto"/>
        <w:left w:val="none" w:sz="0" w:space="0" w:color="auto"/>
        <w:bottom w:val="none" w:sz="0" w:space="0" w:color="auto"/>
        <w:right w:val="none" w:sz="0" w:space="0" w:color="auto"/>
      </w:divBdr>
    </w:div>
    <w:div w:id="778456528">
      <w:bodyDiv w:val="1"/>
      <w:marLeft w:val="0"/>
      <w:marRight w:val="0"/>
      <w:marTop w:val="0"/>
      <w:marBottom w:val="0"/>
      <w:divBdr>
        <w:top w:val="none" w:sz="0" w:space="0" w:color="auto"/>
        <w:left w:val="none" w:sz="0" w:space="0" w:color="auto"/>
        <w:bottom w:val="none" w:sz="0" w:space="0" w:color="auto"/>
        <w:right w:val="none" w:sz="0" w:space="0" w:color="auto"/>
      </w:divBdr>
    </w:div>
    <w:div w:id="839731220">
      <w:bodyDiv w:val="1"/>
      <w:marLeft w:val="0"/>
      <w:marRight w:val="0"/>
      <w:marTop w:val="0"/>
      <w:marBottom w:val="0"/>
      <w:divBdr>
        <w:top w:val="none" w:sz="0" w:space="0" w:color="auto"/>
        <w:left w:val="none" w:sz="0" w:space="0" w:color="auto"/>
        <w:bottom w:val="none" w:sz="0" w:space="0" w:color="auto"/>
        <w:right w:val="none" w:sz="0" w:space="0" w:color="auto"/>
      </w:divBdr>
    </w:div>
    <w:div w:id="910896254">
      <w:bodyDiv w:val="1"/>
      <w:marLeft w:val="0"/>
      <w:marRight w:val="0"/>
      <w:marTop w:val="0"/>
      <w:marBottom w:val="0"/>
      <w:divBdr>
        <w:top w:val="none" w:sz="0" w:space="0" w:color="auto"/>
        <w:left w:val="none" w:sz="0" w:space="0" w:color="auto"/>
        <w:bottom w:val="none" w:sz="0" w:space="0" w:color="auto"/>
        <w:right w:val="none" w:sz="0" w:space="0" w:color="auto"/>
      </w:divBdr>
    </w:div>
    <w:div w:id="928192378">
      <w:bodyDiv w:val="1"/>
      <w:marLeft w:val="0"/>
      <w:marRight w:val="0"/>
      <w:marTop w:val="0"/>
      <w:marBottom w:val="0"/>
      <w:divBdr>
        <w:top w:val="none" w:sz="0" w:space="0" w:color="auto"/>
        <w:left w:val="none" w:sz="0" w:space="0" w:color="auto"/>
        <w:bottom w:val="none" w:sz="0" w:space="0" w:color="auto"/>
        <w:right w:val="none" w:sz="0" w:space="0" w:color="auto"/>
      </w:divBdr>
    </w:div>
    <w:div w:id="952521384">
      <w:bodyDiv w:val="1"/>
      <w:marLeft w:val="0"/>
      <w:marRight w:val="0"/>
      <w:marTop w:val="0"/>
      <w:marBottom w:val="0"/>
      <w:divBdr>
        <w:top w:val="none" w:sz="0" w:space="0" w:color="auto"/>
        <w:left w:val="none" w:sz="0" w:space="0" w:color="auto"/>
        <w:bottom w:val="none" w:sz="0" w:space="0" w:color="auto"/>
        <w:right w:val="none" w:sz="0" w:space="0" w:color="auto"/>
      </w:divBdr>
    </w:div>
    <w:div w:id="1020669326">
      <w:bodyDiv w:val="1"/>
      <w:marLeft w:val="0"/>
      <w:marRight w:val="0"/>
      <w:marTop w:val="0"/>
      <w:marBottom w:val="0"/>
      <w:divBdr>
        <w:top w:val="none" w:sz="0" w:space="0" w:color="auto"/>
        <w:left w:val="none" w:sz="0" w:space="0" w:color="auto"/>
        <w:bottom w:val="none" w:sz="0" w:space="0" w:color="auto"/>
        <w:right w:val="none" w:sz="0" w:space="0" w:color="auto"/>
      </w:divBdr>
    </w:div>
    <w:div w:id="1025599511">
      <w:bodyDiv w:val="1"/>
      <w:marLeft w:val="0"/>
      <w:marRight w:val="0"/>
      <w:marTop w:val="0"/>
      <w:marBottom w:val="0"/>
      <w:divBdr>
        <w:top w:val="none" w:sz="0" w:space="0" w:color="auto"/>
        <w:left w:val="none" w:sz="0" w:space="0" w:color="auto"/>
        <w:bottom w:val="none" w:sz="0" w:space="0" w:color="auto"/>
        <w:right w:val="none" w:sz="0" w:space="0" w:color="auto"/>
      </w:divBdr>
    </w:div>
    <w:div w:id="1098216343">
      <w:bodyDiv w:val="1"/>
      <w:marLeft w:val="0"/>
      <w:marRight w:val="0"/>
      <w:marTop w:val="0"/>
      <w:marBottom w:val="0"/>
      <w:divBdr>
        <w:top w:val="none" w:sz="0" w:space="0" w:color="auto"/>
        <w:left w:val="none" w:sz="0" w:space="0" w:color="auto"/>
        <w:bottom w:val="none" w:sz="0" w:space="0" w:color="auto"/>
        <w:right w:val="none" w:sz="0" w:space="0" w:color="auto"/>
      </w:divBdr>
    </w:div>
    <w:div w:id="1101871613">
      <w:bodyDiv w:val="1"/>
      <w:marLeft w:val="0"/>
      <w:marRight w:val="0"/>
      <w:marTop w:val="0"/>
      <w:marBottom w:val="0"/>
      <w:divBdr>
        <w:top w:val="none" w:sz="0" w:space="0" w:color="auto"/>
        <w:left w:val="none" w:sz="0" w:space="0" w:color="auto"/>
        <w:bottom w:val="none" w:sz="0" w:space="0" w:color="auto"/>
        <w:right w:val="none" w:sz="0" w:space="0" w:color="auto"/>
      </w:divBdr>
    </w:div>
    <w:div w:id="1103650953">
      <w:bodyDiv w:val="1"/>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 w:id="472450332">
          <w:marLeft w:val="0"/>
          <w:marRight w:val="0"/>
          <w:marTop w:val="0"/>
          <w:marBottom w:val="0"/>
          <w:divBdr>
            <w:top w:val="none" w:sz="0" w:space="0" w:color="auto"/>
            <w:left w:val="none" w:sz="0" w:space="0" w:color="auto"/>
            <w:bottom w:val="none" w:sz="0" w:space="0" w:color="auto"/>
            <w:right w:val="none" w:sz="0" w:space="0" w:color="auto"/>
          </w:divBdr>
        </w:div>
        <w:div w:id="423261023">
          <w:marLeft w:val="0"/>
          <w:marRight w:val="0"/>
          <w:marTop w:val="0"/>
          <w:marBottom w:val="0"/>
          <w:divBdr>
            <w:top w:val="none" w:sz="0" w:space="0" w:color="auto"/>
            <w:left w:val="none" w:sz="0" w:space="0" w:color="auto"/>
            <w:bottom w:val="none" w:sz="0" w:space="0" w:color="auto"/>
            <w:right w:val="none" w:sz="0" w:space="0" w:color="auto"/>
          </w:divBdr>
        </w:div>
        <w:div w:id="811798390">
          <w:marLeft w:val="0"/>
          <w:marRight w:val="0"/>
          <w:marTop w:val="0"/>
          <w:marBottom w:val="0"/>
          <w:divBdr>
            <w:top w:val="none" w:sz="0" w:space="0" w:color="auto"/>
            <w:left w:val="none" w:sz="0" w:space="0" w:color="auto"/>
            <w:bottom w:val="none" w:sz="0" w:space="0" w:color="auto"/>
            <w:right w:val="none" w:sz="0" w:space="0" w:color="auto"/>
          </w:divBdr>
        </w:div>
        <w:div w:id="817114572">
          <w:marLeft w:val="0"/>
          <w:marRight w:val="0"/>
          <w:marTop w:val="0"/>
          <w:marBottom w:val="0"/>
          <w:divBdr>
            <w:top w:val="none" w:sz="0" w:space="0" w:color="auto"/>
            <w:left w:val="none" w:sz="0" w:space="0" w:color="auto"/>
            <w:bottom w:val="none" w:sz="0" w:space="0" w:color="auto"/>
            <w:right w:val="none" w:sz="0" w:space="0" w:color="auto"/>
          </w:divBdr>
        </w:div>
        <w:div w:id="1970621181">
          <w:marLeft w:val="0"/>
          <w:marRight w:val="0"/>
          <w:marTop w:val="0"/>
          <w:marBottom w:val="0"/>
          <w:divBdr>
            <w:top w:val="none" w:sz="0" w:space="0" w:color="auto"/>
            <w:left w:val="none" w:sz="0" w:space="0" w:color="auto"/>
            <w:bottom w:val="none" w:sz="0" w:space="0" w:color="auto"/>
            <w:right w:val="none" w:sz="0" w:space="0" w:color="auto"/>
          </w:divBdr>
        </w:div>
        <w:div w:id="1479414530">
          <w:marLeft w:val="0"/>
          <w:marRight w:val="0"/>
          <w:marTop w:val="0"/>
          <w:marBottom w:val="0"/>
          <w:divBdr>
            <w:top w:val="none" w:sz="0" w:space="0" w:color="auto"/>
            <w:left w:val="none" w:sz="0" w:space="0" w:color="auto"/>
            <w:bottom w:val="none" w:sz="0" w:space="0" w:color="auto"/>
            <w:right w:val="none" w:sz="0" w:space="0" w:color="auto"/>
          </w:divBdr>
        </w:div>
        <w:div w:id="1034159446">
          <w:marLeft w:val="0"/>
          <w:marRight w:val="0"/>
          <w:marTop w:val="0"/>
          <w:marBottom w:val="0"/>
          <w:divBdr>
            <w:top w:val="none" w:sz="0" w:space="0" w:color="auto"/>
            <w:left w:val="none" w:sz="0" w:space="0" w:color="auto"/>
            <w:bottom w:val="none" w:sz="0" w:space="0" w:color="auto"/>
            <w:right w:val="none" w:sz="0" w:space="0" w:color="auto"/>
          </w:divBdr>
        </w:div>
        <w:div w:id="846359134">
          <w:marLeft w:val="0"/>
          <w:marRight w:val="0"/>
          <w:marTop w:val="0"/>
          <w:marBottom w:val="0"/>
          <w:divBdr>
            <w:top w:val="none" w:sz="0" w:space="0" w:color="auto"/>
            <w:left w:val="none" w:sz="0" w:space="0" w:color="auto"/>
            <w:bottom w:val="none" w:sz="0" w:space="0" w:color="auto"/>
            <w:right w:val="none" w:sz="0" w:space="0" w:color="auto"/>
          </w:divBdr>
        </w:div>
        <w:div w:id="777136986">
          <w:marLeft w:val="0"/>
          <w:marRight w:val="0"/>
          <w:marTop w:val="0"/>
          <w:marBottom w:val="0"/>
          <w:divBdr>
            <w:top w:val="none" w:sz="0" w:space="0" w:color="auto"/>
            <w:left w:val="none" w:sz="0" w:space="0" w:color="auto"/>
            <w:bottom w:val="none" w:sz="0" w:space="0" w:color="auto"/>
            <w:right w:val="none" w:sz="0" w:space="0" w:color="auto"/>
          </w:divBdr>
        </w:div>
        <w:div w:id="846481835">
          <w:marLeft w:val="0"/>
          <w:marRight w:val="0"/>
          <w:marTop w:val="0"/>
          <w:marBottom w:val="0"/>
          <w:divBdr>
            <w:top w:val="none" w:sz="0" w:space="0" w:color="auto"/>
            <w:left w:val="none" w:sz="0" w:space="0" w:color="auto"/>
            <w:bottom w:val="none" w:sz="0" w:space="0" w:color="auto"/>
            <w:right w:val="none" w:sz="0" w:space="0" w:color="auto"/>
          </w:divBdr>
        </w:div>
        <w:div w:id="1031953155">
          <w:marLeft w:val="0"/>
          <w:marRight w:val="0"/>
          <w:marTop w:val="0"/>
          <w:marBottom w:val="0"/>
          <w:divBdr>
            <w:top w:val="none" w:sz="0" w:space="0" w:color="auto"/>
            <w:left w:val="none" w:sz="0" w:space="0" w:color="auto"/>
            <w:bottom w:val="none" w:sz="0" w:space="0" w:color="auto"/>
            <w:right w:val="none" w:sz="0" w:space="0" w:color="auto"/>
          </w:divBdr>
        </w:div>
        <w:div w:id="645820722">
          <w:marLeft w:val="0"/>
          <w:marRight w:val="0"/>
          <w:marTop w:val="0"/>
          <w:marBottom w:val="0"/>
          <w:divBdr>
            <w:top w:val="none" w:sz="0" w:space="0" w:color="auto"/>
            <w:left w:val="none" w:sz="0" w:space="0" w:color="auto"/>
            <w:bottom w:val="none" w:sz="0" w:space="0" w:color="auto"/>
            <w:right w:val="none" w:sz="0" w:space="0" w:color="auto"/>
          </w:divBdr>
        </w:div>
        <w:div w:id="868758686">
          <w:marLeft w:val="0"/>
          <w:marRight w:val="0"/>
          <w:marTop w:val="0"/>
          <w:marBottom w:val="0"/>
          <w:divBdr>
            <w:top w:val="none" w:sz="0" w:space="0" w:color="auto"/>
            <w:left w:val="none" w:sz="0" w:space="0" w:color="auto"/>
            <w:bottom w:val="none" w:sz="0" w:space="0" w:color="auto"/>
            <w:right w:val="none" w:sz="0" w:space="0" w:color="auto"/>
          </w:divBdr>
        </w:div>
        <w:div w:id="948857899">
          <w:marLeft w:val="0"/>
          <w:marRight w:val="0"/>
          <w:marTop w:val="0"/>
          <w:marBottom w:val="0"/>
          <w:divBdr>
            <w:top w:val="none" w:sz="0" w:space="0" w:color="auto"/>
            <w:left w:val="none" w:sz="0" w:space="0" w:color="auto"/>
            <w:bottom w:val="none" w:sz="0" w:space="0" w:color="auto"/>
            <w:right w:val="none" w:sz="0" w:space="0" w:color="auto"/>
          </w:divBdr>
        </w:div>
        <w:div w:id="1154831344">
          <w:marLeft w:val="0"/>
          <w:marRight w:val="0"/>
          <w:marTop w:val="0"/>
          <w:marBottom w:val="0"/>
          <w:divBdr>
            <w:top w:val="none" w:sz="0" w:space="0" w:color="auto"/>
            <w:left w:val="none" w:sz="0" w:space="0" w:color="auto"/>
            <w:bottom w:val="none" w:sz="0" w:space="0" w:color="auto"/>
            <w:right w:val="none" w:sz="0" w:space="0" w:color="auto"/>
          </w:divBdr>
        </w:div>
        <w:div w:id="1117413456">
          <w:marLeft w:val="0"/>
          <w:marRight w:val="0"/>
          <w:marTop w:val="0"/>
          <w:marBottom w:val="0"/>
          <w:divBdr>
            <w:top w:val="none" w:sz="0" w:space="0" w:color="auto"/>
            <w:left w:val="none" w:sz="0" w:space="0" w:color="auto"/>
            <w:bottom w:val="none" w:sz="0" w:space="0" w:color="auto"/>
            <w:right w:val="none" w:sz="0" w:space="0" w:color="auto"/>
          </w:divBdr>
        </w:div>
        <w:div w:id="214124403">
          <w:marLeft w:val="0"/>
          <w:marRight w:val="0"/>
          <w:marTop w:val="0"/>
          <w:marBottom w:val="0"/>
          <w:divBdr>
            <w:top w:val="none" w:sz="0" w:space="0" w:color="auto"/>
            <w:left w:val="none" w:sz="0" w:space="0" w:color="auto"/>
            <w:bottom w:val="none" w:sz="0" w:space="0" w:color="auto"/>
            <w:right w:val="none" w:sz="0" w:space="0" w:color="auto"/>
          </w:divBdr>
        </w:div>
        <w:div w:id="771321412">
          <w:marLeft w:val="0"/>
          <w:marRight w:val="0"/>
          <w:marTop w:val="0"/>
          <w:marBottom w:val="0"/>
          <w:divBdr>
            <w:top w:val="none" w:sz="0" w:space="0" w:color="auto"/>
            <w:left w:val="none" w:sz="0" w:space="0" w:color="auto"/>
            <w:bottom w:val="none" w:sz="0" w:space="0" w:color="auto"/>
            <w:right w:val="none" w:sz="0" w:space="0" w:color="auto"/>
          </w:divBdr>
        </w:div>
        <w:div w:id="1579100005">
          <w:marLeft w:val="0"/>
          <w:marRight w:val="0"/>
          <w:marTop w:val="0"/>
          <w:marBottom w:val="0"/>
          <w:divBdr>
            <w:top w:val="none" w:sz="0" w:space="0" w:color="auto"/>
            <w:left w:val="none" w:sz="0" w:space="0" w:color="auto"/>
            <w:bottom w:val="none" w:sz="0" w:space="0" w:color="auto"/>
            <w:right w:val="none" w:sz="0" w:space="0" w:color="auto"/>
          </w:divBdr>
        </w:div>
        <w:div w:id="1359427081">
          <w:marLeft w:val="0"/>
          <w:marRight w:val="0"/>
          <w:marTop w:val="0"/>
          <w:marBottom w:val="0"/>
          <w:divBdr>
            <w:top w:val="none" w:sz="0" w:space="0" w:color="auto"/>
            <w:left w:val="none" w:sz="0" w:space="0" w:color="auto"/>
            <w:bottom w:val="none" w:sz="0" w:space="0" w:color="auto"/>
            <w:right w:val="none" w:sz="0" w:space="0" w:color="auto"/>
          </w:divBdr>
        </w:div>
        <w:div w:id="468787672">
          <w:marLeft w:val="0"/>
          <w:marRight w:val="0"/>
          <w:marTop w:val="0"/>
          <w:marBottom w:val="0"/>
          <w:divBdr>
            <w:top w:val="none" w:sz="0" w:space="0" w:color="auto"/>
            <w:left w:val="none" w:sz="0" w:space="0" w:color="auto"/>
            <w:bottom w:val="none" w:sz="0" w:space="0" w:color="auto"/>
            <w:right w:val="none" w:sz="0" w:space="0" w:color="auto"/>
          </w:divBdr>
        </w:div>
        <w:div w:id="1782917855">
          <w:marLeft w:val="0"/>
          <w:marRight w:val="0"/>
          <w:marTop w:val="0"/>
          <w:marBottom w:val="0"/>
          <w:divBdr>
            <w:top w:val="none" w:sz="0" w:space="0" w:color="auto"/>
            <w:left w:val="none" w:sz="0" w:space="0" w:color="auto"/>
            <w:bottom w:val="none" w:sz="0" w:space="0" w:color="auto"/>
            <w:right w:val="none" w:sz="0" w:space="0" w:color="auto"/>
          </w:divBdr>
        </w:div>
        <w:div w:id="1206285411">
          <w:marLeft w:val="0"/>
          <w:marRight w:val="0"/>
          <w:marTop w:val="0"/>
          <w:marBottom w:val="0"/>
          <w:divBdr>
            <w:top w:val="none" w:sz="0" w:space="0" w:color="auto"/>
            <w:left w:val="none" w:sz="0" w:space="0" w:color="auto"/>
            <w:bottom w:val="none" w:sz="0" w:space="0" w:color="auto"/>
            <w:right w:val="none" w:sz="0" w:space="0" w:color="auto"/>
          </w:divBdr>
        </w:div>
        <w:div w:id="323436588">
          <w:marLeft w:val="0"/>
          <w:marRight w:val="0"/>
          <w:marTop w:val="0"/>
          <w:marBottom w:val="0"/>
          <w:divBdr>
            <w:top w:val="none" w:sz="0" w:space="0" w:color="auto"/>
            <w:left w:val="none" w:sz="0" w:space="0" w:color="auto"/>
            <w:bottom w:val="none" w:sz="0" w:space="0" w:color="auto"/>
            <w:right w:val="none" w:sz="0" w:space="0" w:color="auto"/>
          </w:divBdr>
        </w:div>
        <w:div w:id="2008289392">
          <w:marLeft w:val="0"/>
          <w:marRight w:val="0"/>
          <w:marTop w:val="0"/>
          <w:marBottom w:val="0"/>
          <w:divBdr>
            <w:top w:val="none" w:sz="0" w:space="0" w:color="auto"/>
            <w:left w:val="none" w:sz="0" w:space="0" w:color="auto"/>
            <w:bottom w:val="none" w:sz="0" w:space="0" w:color="auto"/>
            <w:right w:val="none" w:sz="0" w:space="0" w:color="auto"/>
          </w:divBdr>
        </w:div>
        <w:div w:id="384910075">
          <w:marLeft w:val="0"/>
          <w:marRight w:val="0"/>
          <w:marTop w:val="0"/>
          <w:marBottom w:val="0"/>
          <w:divBdr>
            <w:top w:val="none" w:sz="0" w:space="0" w:color="auto"/>
            <w:left w:val="none" w:sz="0" w:space="0" w:color="auto"/>
            <w:bottom w:val="none" w:sz="0" w:space="0" w:color="auto"/>
            <w:right w:val="none" w:sz="0" w:space="0" w:color="auto"/>
          </w:divBdr>
        </w:div>
        <w:div w:id="742022740">
          <w:marLeft w:val="0"/>
          <w:marRight w:val="0"/>
          <w:marTop w:val="0"/>
          <w:marBottom w:val="0"/>
          <w:divBdr>
            <w:top w:val="none" w:sz="0" w:space="0" w:color="auto"/>
            <w:left w:val="none" w:sz="0" w:space="0" w:color="auto"/>
            <w:bottom w:val="none" w:sz="0" w:space="0" w:color="auto"/>
            <w:right w:val="none" w:sz="0" w:space="0" w:color="auto"/>
          </w:divBdr>
        </w:div>
        <w:div w:id="1916010528">
          <w:marLeft w:val="0"/>
          <w:marRight w:val="0"/>
          <w:marTop w:val="0"/>
          <w:marBottom w:val="0"/>
          <w:divBdr>
            <w:top w:val="none" w:sz="0" w:space="0" w:color="auto"/>
            <w:left w:val="none" w:sz="0" w:space="0" w:color="auto"/>
            <w:bottom w:val="none" w:sz="0" w:space="0" w:color="auto"/>
            <w:right w:val="none" w:sz="0" w:space="0" w:color="auto"/>
          </w:divBdr>
        </w:div>
        <w:div w:id="1164661973">
          <w:marLeft w:val="0"/>
          <w:marRight w:val="0"/>
          <w:marTop w:val="0"/>
          <w:marBottom w:val="0"/>
          <w:divBdr>
            <w:top w:val="none" w:sz="0" w:space="0" w:color="auto"/>
            <w:left w:val="none" w:sz="0" w:space="0" w:color="auto"/>
            <w:bottom w:val="none" w:sz="0" w:space="0" w:color="auto"/>
            <w:right w:val="none" w:sz="0" w:space="0" w:color="auto"/>
          </w:divBdr>
        </w:div>
        <w:div w:id="368847488">
          <w:marLeft w:val="0"/>
          <w:marRight w:val="0"/>
          <w:marTop w:val="0"/>
          <w:marBottom w:val="0"/>
          <w:divBdr>
            <w:top w:val="none" w:sz="0" w:space="0" w:color="auto"/>
            <w:left w:val="none" w:sz="0" w:space="0" w:color="auto"/>
            <w:bottom w:val="none" w:sz="0" w:space="0" w:color="auto"/>
            <w:right w:val="none" w:sz="0" w:space="0" w:color="auto"/>
          </w:divBdr>
        </w:div>
        <w:div w:id="154225293">
          <w:marLeft w:val="0"/>
          <w:marRight w:val="0"/>
          <w:marTop w:val="0"/>
          <w:marBottom w:val="0"/>
          <w:divBdr>
            <w:top w:val="none" w:sz="0" w:space="0" w:color="auto"/>
            <w:left w:val="none" w:sz="0" w:space="0" w:color="auto"/>
            <w:bottom w:val="none" w:sz="0" w:space="0" w:color="auto"/>
            <w:right w:val="none" w:sz="0" w:space="0" w:color="auto"/>
          </w:divBdr>
        </w:div>
        <w:div w:id="361636342">
          <w:marLeft w:val="0"/>
          <w:marRight w:val="0"/>
          <w:marTop w:val="0"/>
          <w:marBottom w:val="0"/>
          <w:divBdr>
            <w:top w:val="none" w:sz="0" w:space="0" w:color="auto"/>
            <w:left w:val="none" w:sz="0" w:space="0" w:color="auto"/>
            <w:bottom w:val="none" w:sz="0" w:space="0" w:color="auto"/>
            <w:right w:val="none" w:sz="0" w:space="0" w:color="auto"/>
          </w:divBdr>
        </w:div>
        <w:div w:id="1918442887">
          <w:marLeft w:val="0"/>
          <w:marRight w:val="0"/>
          <w:marTop w:val="0"/>
          <w:marBottom w:val="0"/>
          <w:divBdr>
            <w:top w:val="none" w:sz="0" w:space="0" w:color="auto"/>
            <w:left w:val="none" w:sz="0" w:space="0" w:color="auto"/>
            <w:bottom w:val="none" w:sz="0" w:space="0" w:color="auto"/>
            <w:right w:val="none" w:sz="0" w:space="0" w:color="auto"/>
          </w:divBdr>
        </w:div>
        <w:div w:id="1125123762">
          <w:marLeft w:val="0"/>
          <w:marRight w:val="0"/>
          <w:marTop w:val="0"/>
          <w:marBottom w:val="0"/>
          <w:divBdr>
            <w:top w:val="none" w:sz="0" w:space="0" w:color="auto"/>
            <w:left w:val="none" w:sz="0" w:space="0" w:color="auto"/>
            <w:bottom w:val="none" w:sz="0" w:space="0" w:color="auto"/>
            <w:right w:val="none" w:sz="0" w:space="0" w:color="auto"/>
          </w:divBdr>
        </w:div>
        <w:div w:id="1812864698">
          <w:marLeft w:val="0"/>
          <w:marRight w:val="0"/>
          <w:marTop w:val="0"/>
          <w:marBottom w:val="0"/>
          <w:divBdr>
            <w:top w:val="none" w:sz="0" w:space="0" w:color="auto"/>
            <w:left w:val="none" w:sz="0" w:space="0" w:color="auto"/>
            <w:bottom w:val="none" w:sz="0" w:space="0" w:color="auto"/>
            <w:right w:val="none" w:sz="0" w:space="0" w:color="auto"/>
          </w:divBdr>
        </w:div>
        <w:div w:id="1719548884">
          <w:marLeft w:val="0"/>
          <w:marRight w:val="0"/>
          <w:marTop w:val="0"/>
          <w:marBottom w:val="0"/>
          <w:divBdr>
            <w:top w:val="none" w:sz="0" w:space="0" w:color="auto"/>
            <w:left w:val="none" w:sz="0" w:space="0" w:color="auto"/>
            <w:bottom w:val="none" w:sz="0" w:space="0" w:color="auto"/>
            <w:right w:val="none" w:sz="0" w:space="0" w:color="auto"/>
          </w:divBdr>
        </w:div>
        <w:div w:id="1479108261">
          <w:marLeft w:val="0"/>
          <w:marRight w:val="0"/>
          <w:marTop w:val="0"/>
          <w:marBottom w:val="0"/>
          <w:divBdr>
            <w:top w:val="none" w:sz="0" w:space="0" w:color="auto"/>
            <w:left w:val="none" w:sz="0" w:space="0" w:color="auto"/>
            <w:bottom w:val="none" w:sz="0" w:space="0" w:color="auto"/>
            <w:right w:val="none" w:sz="0" w:space="0" w:color="auto"/>
          </w:divBdr>
        </w:div>
        <w:div w:id="1753893210">
          <w:marLeft w:val="0"/>
          <w:marRight w:val="0"/>
          <w:marTop w:val="0"/>
          <w:marBottom w:val="0"/>
          <w:divBdr>
            <w:top w:val="none" w:sz="0" w:space="0" w:color="auto"/>
            <w:left w:val="none" w:sz="0" w:space="0" w:color="auto"/>
            <w:bottom w:val="none" w:sz="0" w:space="0" w:color="auto"/>
            <w:right w:val="none" w:sz="0" w:space="0" w:color="auto"/>
          </w:divBdr>
        </w:div>
        <w:div w:id="271548013">
          <w:marLeft w:val="0"/>
          <w:marRight w:val="0"/>
          <w:marTop w:val="0"/>
          <w:marBottom w:val="0"/>
          <w:divBdr>
            <w:top w:val="none" w:sz="0" w:space="0" w:color="auto"/>
            <w:left w:val="none" w:sz="0" w:space="0" w:color="auto"/>
            <w:bottom w:val="none" w:sz="0" w:space="0" w:color="auto"/>
            <w:right w:val="none" w:sz="0" w:space="0" w:color="auto"/>
          </w:divBdr>
        </w:div>
      </w:divsChild>
    </w:div>
    <w:div w:id="1116413025">
      <w:bodyDiv w:val="1"/>
      <w:marLeft w:val="0"/>
      <w:marRight w:val="0"/>
      <w:marTop w:val="0"/>
      <w:marBottom w:val="0"/>
      <w:divBdr>
        <w:top w:val="none" w:sz="0" w:space="0" w:color="auto"/>
        <w:left w:val="none" w:sz="0" w:space="0" w:color="auto"/>
        <w:bottom w:val="none" w:sz="0" w:space="0" w:color="auto"/>
        <w:right w:val="none" w:sz="0" w:space="0" w:color="auto"/>
      </w:divBdr>
    </w:div>
    <w:div w:id="1167747687">
      <w:bodyDiv w:val="1"/>
      <w:marLeft w:val="0"/>
      <w:marRight w:val="0"/>
      <w:marTop w:val="0"/>
      <w:marBottom w:val="0"/>
      <w:divBdr>
        <w:top w:val="none" w:sz="0" w:space="0" w:color="auto"/>
        <w:left w:val="none" w:sz="0" w:space="0" w:color="auto"/>
        <w:bottom w:val="none" w:sz="0" w:space="0" w:color="auto"/>
        <w:right w:val="none" w:sz="0" w:space="0" w:color="auto"/>
      </w:divBdr>
    </w:div>
    <w:div w:id="1214198405">
      <w:bodyDiv w:val="1"/>
      <w:marLeft w:val="0"/>
      <w:marRight w:val="0"/>
      <w:marTop w:val="0"/>
      <w:marBottom w:val="0"/>
      <w:divBdr>
        <w:top w:val="none" w:sz="0" w:space="0" w:color="auto"/>
        <w:left w:val="none" w:sz="0" w:space="0" w:color="auto"/>
        <w:bottom w:val="none" w:sz="0" w:space="0" w:color="auto"/>
        <w:right w:val="none" w:sz="0" w:space="0" w:color="auto"/>
      </w:divBdr>
    </w:div>
    <w:div w:id="1215658833">
      <w:bodyDiv w:val="1"/>
      <w:marLeft w:val="0"/>
      <w:marRight w:val="0"/>
      <w:marTop w:val="0"/>
      <w:marBottom w:val="0"/>
      <w:divBdr>
        <w:top w:val="none" w:sz="0" w:space="0" w:color="auto"/>
        <w:left w:val="none" w:sz="0" w:space="0" w:color="auto"/>
        <w:bottom w:val="none" w:sz="0" w:space="0" w:color="auto"/>
        <w:right w:val="none" w:sz="0" w:space="0" w:color="auto"/>
      </w:divBdr>
    </w:div>
    <w:div w:id="1227303186">
      <w:bodyDiv w:val="1"/>
      <w:marLeft w:val="0"/>
      <w:marRight w:val="0"/>
      <w:marTop w:val="0"/>
      <w:marBottom w:val="0"/>
      <w:divBdr>
        <w:top w:val="none" w:sz="0" w:space="0" w:color="auto"/>
        <w:left w:val="none" w:sz="0" w:space="0" w:color="auto"/>
        <w:bottom w:val="none" w:sz="0" w:space="0" w:color="auto"/>
        <w:right w:val="none" w:sz="0" w:space="0" w:color="auto"/>
      </w:divBdr>
    </w:div>
    <w:div w:id="1227913638">
      <w:bodyDiv w:val="1"/>
      <w:marLeft w:val="0"/>
      <w:marRight w:val="0"/>
      <w:marTop w:val="0"/>
      <w:marBottom w:val="0"/>
      <w:divBdr>
        <w:top w:val="none" w:sz="0" w:space="0" w:color="auto"/>
        <w:left w:val="none" w:sz="0" w:space="0" w:color="auto"/>
        <w:bottom w:val="none" w:sz="0" w:space="0" w:color="auto"/>
        <w:right w:val="none" w:sz="0" w:space="0" w:color="auto"/>
      </w:divBdr>
    </w:div>
    <w:div w:id="1279680817">
      <w:bodyDiv w:val="1"/>
      <w:marLeft w:val="0"/>
      <w:marRight w:val="0"/>
      <w:marTop w:val="0"/>
      <w:marBottom w:val="0"/>
      <w:divBdr>
        <w:top w:val="none" w:sz="0" w:space="0" w:color="auto"/>
        <w:left w:val="none" w:sz="0" w:space="0" w:color="auto"/>
        <w:bottom w:val="none" w:sz="0" w:space="0" w:color="auto"/>
        <w:right w:val="none" w:sz="0" w:space="0" w:color="auto"/>
      </w:divBdr>
    </w:div>
    <w:div w:id="1340736587">
      <w:bodyDiv w:val="1"/>
      <w:marLeft w:val="0"/>
      <w:marRight w:val="0"/>
      <w:marTop w:val="0"/>
      <w:marBottom w:val="0"/>
      <w:divBdr>
        <w:top w:val="none" w:sz="0" w:space="0" w:color="auto"/>
        <w:left w:val="none" w:sz="0" w:space="0" w:color="auto"/>
        <w:bottom w:val="none" w:sz="0" w:space="0" w:color="auto"/>
        <w:right w:val="none" w:sz="0" w:space="0" w:color="auto"/>
      </w:divBdr>
    </w:div>
    <w:div w:id="1372799332">
      <w:bodyDiv w:val="1"/>
      <w:marLeft w:val="0"/>
      <w:marRight w:val="0"/>
      <w:marTop w:val="0"/>
      <w:marBottom w:val="0"/>
      <w:divBdr>
        <w:top w:val="none" w:sz="0" w:space="0" w:color="auto"/>
        <w:left w:val="none" w:sz="0" w:space="0" w:color="auto"/>
        <w:bottom w:val="none" w:sz="0" w:space="0" w:color="auto"/>
        <w:right w:val="none" w:sz="0" w:space="0" w:color="auto"/>
      </w:divBdr>
    </w:div>
    <w:div w:id="1407728217">
      <w:bodyDiv w:val="1"/>
      <w:marLeft w:val="0"/>
      <w:marRight w:val="0"/>
      <w:marTop w:val="0"/>
      <w:marBottom w:val="0"/>
      <w:divBdr>
        <w:top w:val="none" w:sz="0" w:space="0" w:color="auto"/>
        <w:left w:val="none" w:sz="0" w:space="0" w:color="auto"/>
        <w:bottom w:val="none" w:sz="0" w:space="0" w:color="auto"/>
        <w:right w:val="none" w:sz="0" w:space="0" w:color="auto"/>
      </w:divBdr>
    </w:div>
    <w:div w:id="1419979190">
      <w:bodyDiv w:val="1"/>
      <w:marLeft w:val="0"/>
      <w:marRight w:val="0"/>
      <w:marTop w:val="0"/>
      <w:marBottom w:val="0"/>
      <w:divBdr>
        <w:top w:val="none" w:sz="0" w:space="0" w:color="auto"/>
        <w:left w:val="none" w:sz="0" w:space="0" w:color="auto"/>
        <w:bottom w:val="none" w:sz="0" w:space="0" w:color="auto"/>
        <w:right w:val="none" w:sz="0" w:space="0" w:color="auto"/>
      </w:divBdr>
    </w:div>
    <w:div w:id="1440023122">
      <w:bodyDiv w:val="1"/>
      <w:marLeft w:val="0"/>
      <w:marRight w:val="0"/>
      <w:marTop w:val="0"/>
      <w:marBottom w:val="0"/>
      <w:divBdr>
        <w:top w:val="none" w:sz="0" w:space="0" w:color="auto"/>
        <w:left w:val="none" w:sz="0" w:space="0" w:color="auto"/>
        <w:bottom w:val="none" w:sz="0" w:space="0" w:color="auto"/>
        <w:right w:val="none" w:sz="0" w:space="0" w:color="auto"/>
      </w:divBdr>
    </w:div>
    <w:div w:id="1457526217">
      <w:bodyDiv w:val="1"/>
      <w:marLeft w:val="0"/>
      <w:marRight w:val="0"/>
      <w:marTop w:val="0"/>
      <w:marBottom w:val="0"/>
      <w:divBdr>
        <w:top w:val="none" w:sz="0" w:space="0" w:color="auto"/>
        <w:left w:val="none" w:sz="0" w:space="0" w:color="auto"/>
        <w:bottom w:val="none" w:sz="0" w:space="0" w:color="auto"/>
        <w:right w:val="none" w:sz="0" w:space="0" w:color="auto"/>
      </w:divBdr>
    </w:div>
    <w:div w:id="1463425571">
      <w:bodyDiv w:val="1"/>
      <w:marLeft w:val="0"/>
      <w:marRight w:val="0"/>
      <w:marTop w:val="0"/>
      <w:marBottom w:val="0"/>
      <w:divBdr>
        <w:top w:val="none" w:sz="0" w:space="0" w:color="auto"/>
        <w:left w:val="none" w:sz="0" w:space="0" w:color="auto"/>
        <w:bottom w:val="none" w:sz="0" w:space="0" w:color="auto"/>
        <w:right w:val="none" w:sz="0" w:space="0" w:color="auto"/>
      </w:divBdr>
    </w:div>
    <w:div w:id="1473982590">
      <w:bodyDiv w:val="1"/>
      <w:marLeft w:val="0"/>
      <w:marRight w:val="0"/>
      <w:marTop w:val="0"/>
      <w:marBottom w:val="0"/>
      <w:divBdr>
        <w:top w:val="none" w:sz="0" w:space="0" w:color="auto"/>
        <w:left w:val="none" w:sz="0" w:space="0" w:color="auto"/>
        <w:bottom w:val="none" w:sz="0" w:space="0" w:color="auto"/>
        <w:right w:val="none" w:sz="0" w:space="0" w:color="auto"/>
      </w:divBdr>
    </w:div>
    <w:div w:id="1505897523">
      <w:bodyDiv w:val="1"/>
      <w:marLeft w:val="0"/>
      <w:marRight w:val="0"/>
      <w:marTop w:val="0"/>
      <w:marBottom w:val="0"/>
      <w:divBdr>
        <w:top w:val="none" w:sz="0" w:space="0" w:color="auto"/>
        <w:left w:val="none" w:sz="0" w:space="0" w:color="auto"/>
        <w:bottom w:val="none" w:sz="0" w:space="0" w:color="auto"/>
        <w:right w:val="none" w:sz="0" w:space="0" w:color="auto"/>
      </w:divBdr>
    </w:div>
    <w:div w:id="1549217724">
      <w:bodyDiv w:val="1"/>
      <w:marLeft w:val="0"/>
      <w:marRight w:val="0"/>
      <w:marTop w:val="0"/>
      <w:marBottom w:val="0"/>
      <w:divBdr>
        <w:top w:val="none" w:sz="0" w:space="0" w:color="auto"/>
        <w:left w:val="none" w:sz="0" w:space="0" w:color="auto"/>
        <w:bottom w:val="none" w:sz="0" w:space="0" w:color="auto"/>
        <w:right w:val="none" w:sz="0" w:space="0" w:color="auto"/>
      </w:divBdr>
    </w:div>
    <w:div w:id="1550874153">
      <w:bodyDiv w:val="1"/>
      <w:marLeft w:val="0"/>
      <w:marRight w:val="0"/>
      <w:marTop w:val="0"/>
      <w:marBottom w:val="0"/>
      <w:divBdr>
        <w:top w:val="none" w:sz="0" w:space="0" w:color="auto"/>
        <w:left w:val="none" w:sz="0" w:space="0" w:color="auto"/>
        <w:bottom w:val="none" w:sz="0" w:space="0" w:color="auto"/>
        <w:right w:val="none" w:sz="0" w:space="0" w:color="auto"/>
      </w:divBdr>
    </w:div>
    <w:div w:id="1561014032">
      <w:bodyDiv w:val="1"/>
      <w:marLeft w:val="0"/>
      <w:marRight w:val="0"/>
      <w:marTop w:val="0"/>
      <w:marBottom w:val="0"/>
      <w:divBdr>
        <w:top w:val="none" w:sz="0" w:space="0" w:color="auto"/>
        <w:left w:val="none" w:sz="0" w:space="0" w:color="auto"/>
        <w:bottom w:val="none" w:sz="0" w:space="0" w:color="auto"/>
        <w:right w:val="none" w:sz="0" w:space="0" w:color="auto"/>
      </w:divBdr>
    </w:div>
    <w:div w:id="1576237772">
      <w:bodyDiv w:val="1"/>
      <w:marLeft w:val="0"/>
      <w:marRight w:val="0"/>
      <w:marTop w:val="0"/>
      <w:marBottom w:val="0"/>
      <w:divBdr>
        <w:top w:val="none" w:sz="0" w:space="0" w:color="auto"/>
        <w:left w:val="none" w:sz="0" w:space="0" w:color="auto"/>
        <w:bottom w:val="none" w:sz="0" w:space="0" w:color="auto"/>
        <w:right w:val="none" w:sz="0" w:space="0" w:color="auto"/>
      </w:divBdr>
    </w:div>
    <w:div w:id="1629242988">
      <w:bodyDiv w:val="1"/>
      <w:marLeft w:val="0"/>
      <w:marRight w:val="0"/>
      <w:marTop w:val="0"/>
      <w:marBottom w:val="0"/>
      <w:divBdr>
        <w:top w:val="none" w:sz="0" w:space="0" w:color="auto"/>
        <w:left w:val="none" w:sz="0" w:space="0" w:color="auto"/>
        <w:bottom w:val="none" w:sz="0" w:space="0" w:color="auto"/>
        <w:right w:val="none" w:sz="0" w:space="0" w:color="auto"/>
      </w:divBdr>
    </w:div>
    <w:div w:id="1635060442">
      <w:bodyDiv w:val="1"/>
      <w:marLeft w:val="0"/>
      <w:marRight w:val="0"/>
      <w:marTop w:val="0"/>
      <w:marBottom w:val="0"/>
      <w:divBdr>
        <w:top w:val="none" w:sz="0" w:space="0" w:color="auto"/>
        <w:left w:val="none" w:sz="0" w:space="0" w:color="auto"/>
        <w:bottom w:val="none" w:sz="0" w:space="0" w:color="auto"/>
        <w:right w:val="none" w:sz="0" w:space="0" w:color="auto"/>
      </w:divBdr>
    </w:div>
    <w:div w:id="1649556799">
      <w:bodyDiv w:val="1"/>
      <w:marLeft w:val="0"/>
      <w:marRight w:val="0"/>
      <w:marTop w:val="0"/>
      <w:marBottom w:val="0"/>
      <w:divBdr>
        <w:top w:val="none" w:sz="0" w:space="0" w:color="auto"/>
        <w:left w:val="none" w:sz="0" w:space="0" w:color="auto"/>
        <w:bottom w:val="none" w:sz="0" w:space="0" w:color="auto"/>
        <w:right w:val="none" w:sz="0" w:space="0" w:color="auto"/>
      </w:divBdr>
    </w:div>
    <w:div w:id="1679696501">
      <w:bodyDiv w:val="1"/>
      <w:marLeft w:val="0"/>
      <w:marRight w:val="0"/>
      <w:marTop w:val="0"/>
      <w:marBottom w:val="0"/>
      <w:divBdr>
        <w:top w:val="none" w:sz="0" w:space="0" w:color="auto"/>
        <w:left w:val="none" w:sz="0" w:space="0" w:color="auto"/>
        <w:bottom w:val="none" w:sz="0" w:space="0" w:color="auto"/>
        <w:right w:val="none" w:sz="0" w:space="0" w:color="auto"/>
      </w:divBdr>
    </w:div>
    <w:div w:id="1683165896">
      <w:bodyDiv w:val="1"/>
      <w:marLeft w:val="0"/>
      <w:marRight w:val="0"/>
      <w:marTop w:val="0"/>
      <w:marBottom w:val="0"/>
      <w:divBdr>
        <w:top w:val="none" w:sz="0" w:space="0" w:color="auto"/>
        <w:left w:val="none" w:sz="0" w:space="0" w:color="auto"/>
        <w:bottom w:val="none" w:sz="0" w:space="0" w:color="auto"/>
        <w:right w:val="none" w:sz="0" w:space="0" w:color="auto"/>
      </w:divBdr>
    </w:div>
    <w:div w:id="1704207857">
      <w:bodyDiv w:val="1"/>
      <w:marLeft w:val="0"/>
      <w:marRight w:val="0"/>
      <w:marTop w:val="0"/>
      <w:marBottom w:val="0"/>
      <w:divBdr>
        <w:top w:val="none" w:sz="0" w:space="0" w:color="auto"/>
        <w:left w:val="none" w:sz="0" w:space="0" w:color="auto"/>
        <w:bottom w:val="none" w:sz="0" w:space="0" w:color="auto"/>
        <w:right w:val="none" w:sz="0" w:space="0" w:color="auto"/>
      </w:divBdr>
    </w:div>
    <w:div w:id="1723671459">
      <w:bodyDiv w:val="1"/>
      <w:marLeft w:val="0"/>
      <w:marRight w:val="0"/>
      <w:marTop w:val="0"/>
      <w:marBottom w:val="0"/>
      <w:divBdr>
        <w:top w:val="none" w:sz="0" w:space="0" w:color="auto"/>
        <w:left w:val="none" w:sz="0" w:space="0" w:color="auto"/>
        <w:bottom w:val="none" w:sz="0" w:space="0" w:color="auto"/>
        <w:right w:val="none" w:sz="0" w:space="0" w:color="auto"/>
      </w:divBdr>
    </w:div>
    <w:div w:id="1739982876">
      <w:bodyDiv w:val="1"/>
      <w:marLeft w:val="0"/>
      <w:marRight w:val="0"/>
      <w:marTop w:val="0"/>
      <w:marBottom w:val="0"/>
      <w:divBdr>
        <w:top w:val="none" w:sz="0" w:space="0" w:color="auto"/>
        <w:left w:val="none" w:sz="0" w:space="0" w:color="auto"/>
        <w:bottom w:val="none" w:sz="0" w:space="0" w:color="auto"/>
        <w:right w:val="none" w:sz="0" w:space="0" w:color="auto"/>
      </w:divBdr>
    </w:div>
    <w:div w:id="1870070558">
      <w:bodyDiv w:val="1"/>
      <w:marLeft w:val="0"/>
      <w:marRight w:val="0"/>
      <w:marTop w:val="0"/>
      <w:marBottom w:val="0"/>
      <w:divBdr>
        <w:top w:val="none" w:sz="0" w:space="0" w:color="auto"/>
        <w:left w:val="none" w:sz="0" w:space="0" w:color="auto"/>
        <w:bottom w:val="none" w:sz="0" w:space="0" w:color="auto"/>
        <w:right w:val="none" w:sz="0" w:space="0" w:color="auto"/>
      </w:divBdr>
    </w:div>
    <w:div w:id="1915045047">
      <w:bodyDiv w:val="1"/>
      <w:marLeft w:val="0"/>
      <w:marRight w:val="0"/>
      <w:marTop w:val="0"/>
      <w:marBottom w:val="0"/>
      <w:divBdr>
        <w:top w:val="none" w:sz="0" w:space="0" w:color="auto"/>
        <w:left w:val="none" w:sz="0" w:space="0" w:color="auto"/>
        <w:bottom w:val="none" w:sz="0" w:space="0" w:color="auto"/>
        <w:right w:val="none" w:sz="0" w:space="0" w:color="auto"/>
      </w:divBdr>
    </w:div>
    <w:div w:id="1935018552">
      <w:bodyDiv w:val="1"/>
      <w:marLeft w:val="0"/>
      <w:marRight w:val="0"/>
      <w:marTop w:val="0"/>
      <w:marBottom w:val="0"/>
      <w:divBdr>
        <w:top w:val="none" w:sz="0" w:space="0" w:color="auto"/>
        <w:left w:val="none" w:sz="0" w:space="0" w:color="auto"/>
        <w:bottom w:val="none" w:sz="0" w:space="0" w:color="auto"/>
        <w:right w:val="none" w:sz="0" w:space="0" w:color="auto"/>
      </w:divBdr>
    </w:div>
    <w:div w:id="1939177186">
      <w:bodyDiv w:val="1"/>
      <w:marLeft w:val="0"/>
      <w:marRight w:val="0"/>
      <w:marTop w:val="0"/>
      <w:marBottom w:val="0"/>
      <w:divBdr>
        <w:top w:val="none" w:sz="0" w:space="0" w:color="auto"/>
        <w:left w:val="none" w:sz="0" w:space="0" w:color="auto"/>
        <w:bottom w:val="none" w:sz="0" w:space="0" w:color="auto"/>
        <w:right w:val="none" w:sz="0" w:space="0" w:color="auto"/>
      </w:divBdr>
    </w:div>
    <w:div w:id="1962415665">
      <w:bodyDiv w:val="1"/>
      <w:marLeft w:val="0"/>
      <w:marRight w:val="0"/>
      <w:marTop w:val="0"/>
      <w:marBottom w:val="0"/>
      <w:divBdr>
        <w:top w:val="none" w:sz="0" w:space="0" w:color="auto"/>
        <w:left w:val="none" w:sz="0" w:space="0" w:color="auto"/>
        <w:bottom w:val="none" w:sz="0" w:space="0" w:color="auto"/>
        <w:right w:val="none" w:sz="0" w:space="0" w:color="auto"/>
      </w:divBdr>
    </w:div>
    <w:div w:id="1985115742">
      <w:bodyDiv w:val="1"/>
      <w:marLeft w:val="0"/>
      <w:marRight w:val="0"/>
      <w:marTop w:val="0"/>
      <w:marBottom w:val="0"/>
      <w:divBdr>
        <w:top w:val="none" w:sz="0" w:space="0" w:color="auto"/>
        <w:left w:val="none" w:sz="0" w:space="0" w:color="auto"/>
        <w:bottom w:val="none" w:sz="0" w:space="0" w:color="auto"/>
        <w:right w:val="none" w:sz="0" w:space="0" w:color="auto"/>
      </w:divBdr>
    </w:div>
    <w:div w:id="2047102966">
      <w:bodyDiv w:val="1"/>
      <w:marLeft w:val="0"/>
      <w:marRight w:val="0"/>
      <w:marTop w:val="0"/>
      <w:marBottom w:val="0"/>
      <w:divBdr>
        <w:top w:val="none" w:sz="0" w:space="0" w:color="auto"/>
        <w:left w:val="none" w:sz="0" w:space="0" w:color="auto"/>
        <w:bottom w:val="none" w:sz="0" w:space="0" w:color="auto"/>
        <w:right w:val="none" w:sz="0" w:space="0" w:color="auto"/>
      </w:divBdr>
    </w:div>
    <w:div w:id="211354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footer" Target="footer9.xml"/><Relationship Id="rId21" Type="http://schemas.openxmlformats.org/officeDocument/2006/relationships/header" Target="header7.xml"/><Relationship Id="rId42" Type="http://schemas.openxmlformats.org/officeDocument/2006/relationships/header" Target="header16.xml"/><Relationship Id="rId47" Type="http://schemas.openxmlformats.org/officeDocument/2006/relationships/header" Target="header18.xml"/><Relationship Id="rId63" Type="http://schemas.openxmlformats.org/officeDocument/2006/relationships/image" Target="media/image29.jpeg"/><Relationship Id="rId68" Type="http://schemas.openxmlformats.org/officeDocument/2006/relationships/image" Target="media/image32.jpeg"/><Relationship Id="rId84" Type="http://schemas.openxmlformats.org/officeDocument/2006/relationships/image" Target="media/image46.jpeg"/><Relationship Id="rId89" Type="http://schemas.openxmlformats.org/officeDocument/2006/relationships/image" Target="media/image51.jpeg"/><Relationship Id="rId112" Type="http://schemas.openxmlformats.org/officeDocument/2006/relationships/header" Target="header34.xml"/><Relationship Id="rId16" Type="http://schemas.openxmlformats.org/officeDocument/2006/relationships/header" Target="header5.xml"/><Relationship Id="rId107" Type="http://schemas.openxmlformats.org/officeDocument/2006/relationships/header" Target="header29.xml"/><Relationship Id="rId11" Type="http://schemas.openxmlformats.org/officeDocument/2006/relationships/footer" Target="footer1.xml"/><Relationship Id="rId32" Type="http://schemas.openxmlformats.org/officeDocument/2006/relationships/image" Target="media/image6.jpeg"/><Relationship Id="rId37" Type="http://schemas.openxmlformats.org/officeDocument/2006/relationships/header" Target="header13.xml"/><Relationship Id="rId53" Type="http://schemas.openxmlformats.org/officeDocument/2006/relationships/image" Target="media/image19.jpeg"/><Relationship Id="rId58" Type="http://schemas.openxmlformats.org/officeDocument/2006/relationships/image" Target="media/image24.jpeg"/><Relationship Id="rId74" Type="http://schemas.openxmlformats.org/officeDocument/2006/relationships/image" Target="media/image36.jpeg"/><Relationship Id="rId79" Type="http://schemas.openxmlformats.org/officeDocument/2006/relationships/image" Target="media/image41.jpeg"/><Relationship Id="rId102" Type="http://schemas.openxmlformats.org/officeDocument/2006/relationships/header" Target="header24.xml"/><Relationship Id="rId5" Type="http://schemas.openxmlformats.org/officeDocument/2006/relationships/webSettings" Target="webSettings.xml"/><Relationship Id="rId90" Type="http://schemas.openxmlformats.org/officeDocument/2006/relationships/image" Target="media/image52.jpeg"/><Relationship Id="rId95" Type="http://schemas.openxmlformats.org/officeDocument/2006/relationships/image" Target="media/image57.jpeg"/><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header" Target="header17.xml"/><Relationship Id="rId48" Type="http://schemas.openxmlformats.org/officeDocument/2006/relationships/header" Target="header19.xml"/><Relationship Id="rId64" Type="http://schemas.openxmlformats.org/officeDocument/2006/relationships/image" Target="media/image30.jpeg"/><Relationship Id="rId69" Type="http://schemas.openxmlformats.org/officeDocument/2006/relationships/image" Target="media/image33.jpeg"/><Relationship Id="rId113" Type="http://schemas.openxmlformats.org/officeDocument/2006/relationships/header" Target="header35.xml"/><Relationship Id="rId118" Type="http://schemas.openxmlformats.org/officeDocument/2006/relationships/header" Target="header38.xml"/><Relationship Id="rId80" Type="http://schemas.openxmlformats.org/officeDocument/2006/relationships/image" Target="media/image42.jpeg"/><Relationship Id="rId85" Type="http://schemas.openxmlformats.org/officeDocument/2006/relationships/image" Target="media/image47.jpeg"/><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image" Target="media/image7.jpeg"/><Relationship Id="rId38" Type="http://schemas.openxmlformats.org/officeDocument/2006/relationships/image" Target="media/image10.jpeg"/><Relationship Id="rId59" Type="http://schemas.openxmlformats.org/officeDocument/2006/relationships/image" Target="media/image25.jpeg"/><Relationship Id="rId103" Type="http://schemas.openxmlformats.org/officeDocument/2006/relationships/header" Target="header25.xml"/><Relationship Id="rId108" Type="http://schemas.openxmlformats.org/officeDocument/2006/relationships/header" Target="header30.xml"/><Relationship Id="rId54" Type="http://schemas.openxmlformats.org/officeDocument/2006/relationships/image" Target="media/image20.jpeg"/><Relationship Id="rId70" Type="http://schemas.openxmlformats.org/officeDocument/2006/relationships/image" Target="media/image34.jpeg"/><Relationship Id="rId75" Type="http://schemas.openxmlformats.org/officeDocument/2006/relationships/image" Target="media/image37.jpeg"/><Relationship Id="rId91" Type="http://schemas.openxmlformats.org/officeDocument/2006/relationships/image" Target="media/image53.jpeg"/><Relationship Id="rId96"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8.xml"/><Relationship Id="rId28" Type="http://schemas.openxmlformats.org/officeDocument/2006/relationships/image" Target="media/image2.jpeg"/><Relationship Id="rId49" Type="http://schemas.openxmlformats.org/officeDocument/2006/relationships/image" Target="media/image15.jpeg"/><Relationship Id="rId114" Type="http://schemas.openxmlformats.org/officeDocument/2006/relationships/header" Target="header36.xml"/><Relationship Id="rId119" Type="http://schemas.openxmlformats.org/officeDocument/2006/relationships/footer" Target="footer10.xml"/><Relationship Id="rId44" Type="http://schemas.openxmlformats.org/officeDocument/2006/relationships/image" Target="media/image12.jpeg"/><Relationship Id="rId60" Type="http://schemas.openxmlformats.org/officeDocument/2006/relationships/image" Target="media/image26.jpeg"/><Relationship Id="rId65" Type="http://schemas.openxmlformats.org/officeDocument/2006/relationships/header" Target="header20.xml"/><Relationship Id="rId81" Type="http://schemas.openxmlformats.org/officeDocument/2006/relationships/image" Target="media/image43.jpeg"/><Relationship Id="rId86" Type="http://schemas.openxmlformats.org/officeDocument/2006/relationships/image" Target="media/image48.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11.jpeg"/><Relationship Id="rId109" Type="http://schemas.openxmlformats.org/officeDocument/2006/relationships/header" Target="header31.xml"/><Relationship Id="rId34" Type="http://schemas.openxmlformats.org/officeDocument/2006/relationships/image" Target="media/image8.jpeg"/><Relationship Id="rId50" Type="http://schemas.openxmlformats.org/officeDocument/2006/relationships/image" Target="media/image16.jpeg"/><Relationship Id="rId55" Type="http://schemas.openxmlformats.org/officeDocument/2006/relationships/image" Target="media/image21.jpeg"/><Relationship Id="rId76" Type="http://schemas.openxmlformats.org/officeDocument/2006/relationships/image" Target="media/image38.jpeg"/><Relationship Id="rId97" Type="http://schemas.openxmlformats.org/officeDocument/2006/relationships/image" Target="media/image59.jpeg"/><Relationship Id="rId104" Type="http://schemas.openxmlformats.org/officeDocument/2006/relationships/header" Target="header26.xm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5.jpeg"/><Relationship Id="rId92" Type="http://schemas.openxmlformats.org/officeDocument/2006/relationships/image" Target="media/image54.jpeg"/><Relationship Id="rId2" Type="http://schemas.openxmlformats.org/officeDocument/2006/relationships/numbering" Target="numbering.xml"/><Relationship Id="rId29" Type="http://schemas.openxmlformats.org/officeDocument/2006/relationships/image" Target="media/image3.jpeg"/><Relationship Id="rId24" Type="http://schemas.openxmlformats.org/officeDocument/2006/relationships/header" Target="header9.xml"/><Relationship Id="rId40" Type="http://schemas.openxmlformats.org/officeDocument/2006/relationships/header" Target="header14.xml"/><Relationship Id="rId45" Type="http://schemas.openxmlformats.org/officeDocument/2006/relationships/image" Target="media/image13.jpeg"/><Relationship Id="rId66" Type="http://schemas.openxmlformats.org/officeDocument/2006/relationships/header" Target="header21.xml"/><Relationship Id="rId87" Type="http://schemas.openxmlformats.org/officeDocument/2006/relationships/image" Target="media/image49.jpeg"/><Relationship Id="rId110" Type="http://schemas.openxmlformats.org/officeDocument/2006/relationships/header" Target="header32.xml"/><Relationship Id="rId115" Type="http://schemas.openxmlformats.org/officeDocument/2006/relationships/header" Target="header37.xml"/><Relationship Id="rId61" Type="http://schemas.openxmlformats.org/officeDocument/2006/relationships/image" Target="media/image27.jpeg"/><Relationship Id="rId82" Type="http://schemas.openxmlformats.org/officeDocument/2006/relationships/image" Target="media/image44.jpeg"/><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image" Target="media/image4.jpeg"/><Relationship Id="rId35" Type="http://schemas.openxmlformats.org/officeDocument/2006/relationships/image" Target="media/image9.jpeg"/><Relationship Id="rId56" Type="http://schemas.openxmlformats.org/officeDocument/2006/relationships/image" Target="media/image22.jpeg"/><Relationship Id="rId77" Type="http://schemas.openxmlformats.org/officeDocument/2006/relationships/image" Target="media/image39.jpeg"/><Relationship Id="rId100" Type="http://schemas.openxmlformats.org/officeDocument/2006/relationships/image" Target="media/image62.jpeg"/><Relationship Id="rId105" Type="http://schemas.openxmlformats.org/officeDocument/2006/relationships/header" Target="header27.xml"/><Relationship Id="rId8" Type="http://schemas.openxmlformats.org/officeDocument/2006/relationships/hyperlink" Target="mailto:MontereyCypressLLC@gmail.com" TargetMode="External"/><Relationship Id="rId51" Type="http://schemas.openxmlformats.org/officeDocument/2006/relationships/image" Target="media/image17.jpeg"/><Relationship Id="rId72" Type="http://schemas.openxmlformats.org/officeDocument/2006/relationships/header" Target="header22.xml"/><Relationship Id="rId93" Type="http://schemas.openxmlformats.org/officeDocument/2006/relationships/image" Target="media/image55.jpeg"/><Relationship Id="rId98" Type="http://schemas.openxmlformats.org/officeDocument/2006/relationships/image" Target="media/image60.jpe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jpeg"/><Relationship Id="rId46" Type="http://schemas.openxmlformats.org/officeDocument/2006/relationships/image" Target="media/image14.jpeg"/><Relationship Id="rId67" Type="http://schemas.openxmlformats.org/officeDocument/2006/relationships/image" Target="media/image31.jpeg"/><Relationship Id="rId116" Type="http://schemas.openxmlformats.org/officeDocument/2006/relationships/footer" Target="footer8.xml"/><Relationship Id="rId20" Type="http://schemas.openxmlformats.org/officeDocument/2006/relationships/footer" Target="footer6.xml"/><Relationship Id="rId41" Type="http://schemas.openxmlformats.org/officeDocument/2006/relationships/header" Target="header15.xml"/><Relationship Id="rId62" Type="http://schemas.openxmlformats.org/officeDocument/2006/relationships/image" Target="media/image28.jpeg"/><Relationship Id="rId83" Type="http://schemas.openxmlformats.org/officeDocument/2006/relationships/image" Target="media/image45.jpeg"/><Relationship Id="rId88" Type="http://schemas.openxmlformats.org/officeDocument/2006/relationships/image" Target="media/image50.jpeg"/><Relationship Id="rId111" Type="http://schemas.openxmlformats.org/officeDocument/2006/relationships/header" Target="header33.xml"/><Relationship Id="rId15" Type="http://schemas.openxmlformats.org/officeDocument/2006/relationships/header" Target="header4.xml"/><Relationship Id="rId36" Type="http://schemas.openxmlformats.org/officeDocument/2006/relationships/header" Target="header12.xml"/><Relationship Id="rId57" Type="http://schemas.openxmlformats.org/officeDocument/2006/relationships/image" Target="media/image23.jpeg"/><Relationship Id="rId106" Type="http://schemas.openxmlformats.org/officeDocument/2006/relationships/header" Target="header28.xml"/><Relationship Id="rId10" Type="http://schemas.openxmlformats.org/officeDocument/2006/relationships/header" Target="header2.xml"/><Relationship Id="rId31" Type="http://schemas.openxmlformats.org/officeDocument/2006/relationships/image" Target="media/image5.jpeg"/><Relationship Id="rId52" Type="http://schemas.openxmlformats.org/officeDocument/2006/relationships/image" Target="media/image18.jpeg"/><Relationship Id="rId73" Type="http://schemas.openxmlformats.org/officeDocument/2006/relationships/header" Target="header23.xml"/><Relationship Id="rId78" Type="http://schemas.openxmlformats.org/officeDocument/2006/relationships/image" Target="media/image40.jpeg"/><Relationship Id="rId94" Type="http://schemas.openxmlformats.org/officeDocument/2006/relationships/image" Target="media/image56.jpeg"/><Relationship Id="rId99" Type="http://schemas.openxmlformats.org/officeDocument/2006/relationships/image" Target="media/image61.jpeg"/><Relationship Id="rId101" Type="http://schemas.openxmlformats.org/officeDocument/2006/relationships/image" Target="media/image6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Shi05</b:Tag>
    <b:SourceType>Book</b:SourceType>
    <b:Guid>{530A0510-24D6-466F-94CE-F1C3CADBC754}</b:Guid>
    <b:LCID>0</b:LCID>
    <b:Author>
      <b:Author>
        <b:NameList>
          <b:Person>
            <b:Last>Shiller</b:Last>
            <b:First>Robert</b:First>
            <b:Middle>J.</b:Middle>
          </b:Person>
        </b:NameList>
      </b:Author>
    </b:Author>
    <b:Title>Irrational Exuberance</b:Title>
    <b:Year>2005</b:Year>
    <b:Publisher>Doubleday</b:Publisher>
    <b:RefOrder>9</b:RefOrder>
  </b:Source>
  <b:Source>
    <b:Tag>Rob98</b:Tag>
    <b:SourceType>Book</b:SourceType>
    <b:Guid>{1BE2027A-5D96-490B-941B-F94276C30D8E}</b:Guid>
    <b:LCID>0</b:LCID>
    <b:Author>
      <b:Author>
        <b:NameList>
          <b:Person>
            <b:Last>Magee</b:Last>
            <b:First>Robert</b:First>
            <b:Middle>D. Edwards and John</b:Middle>
          </b:Person>
        </b:NameList>
      </b:Author>
    </b:Author>
    <b:Title>Technical Analysis of Stock Trends, 7th Edition</b:Title>
    <b:Year>1998</b:Year>
    <b:City>Boca Raton, FL</b:City>
    <b:Publisher>St. Lucie Press</b:Publisher>
    <b:RefOrder>10</b:RefOrder>
  </b:Source>
  <b:Source>
    <b:Tag>She88</b:Tag>
    <b:SourceType>Book</b:SourceType>
    <b:Guid>{CB438CEB-EED9-4296-BEBD-1F53E9BF4131}</b:Guid>
    <b:LCID>0</b:LCID>
    <b:Author>
      <b:Author>
        <b:NameList>
          <b:Person>
            <b:Last>Natenberg</b:Last>
            <b:First>Sheldon</b:First>
          </b:Person>
        </b:NameList>
      </b:Author>
    </b:Author>
    <b:Title>Options Volatility and Pricing Strategies</b:Title>
    <b:Year>1988</b:Year>
    <b:City>Chicago, IL</b:City>
    <b:Publisher>Probus Publishing Company</b:Publisher>
    <b:RefOrder>11</b:RefOrder>
  </b:Source>
  <b:Source>
    <b:Tag>Law04</b:Tag>
    <b:SourceType>Book</b:SourceType>
    <b:Guid>{AE984435-28B1-46EA-90B4-2FFC05154F1C}</b:Guid>
    <b:LCID>0</b:LCID>
    <b:Author>
      <b:Author>
        <b:NameList>
          <b:Person>
            <b:Last>McMillan</b:Last>
            <b:First>Lawrence</b:First>
            <b:Middle>G.</b:Middle>
          </b:Person>
        </b:NameList>
      </b:Author>
    </b:Author>
    <b:Title>McMillan on Options, Second Edition</b:Title>
    <b:Year>2004</b:Year>
    <b:City>Hoboken, NJ</b:City>
    <b:Publisher>John Wiley &amp; Sons, Inc.</b:Publisher>
    <b:RefOrder>12</b:RefOrder>
  </b:Source>
  <b:Source>
    <b:Tag>Law02</b:Tag>
    <b:SourceType>Book</b:SourceType>
    <b:Guid>{5170463E-FF42-4C15-9903-E1EF8D18EDC3}</b:Guid>
    <b:LCID>0</b:LCID>
    <b:Author>
      <b:Author>
        <b:NameList>
          <b:Person>
            <b:Last>McMillan</b:Last>
            <b:First>Lawrence</b:First>
            <b:Middle>G.</b:Middle>
          </b:Person>
        </b:NameList>
      </b:Author>
    </b:Author>
    <b:Title>Options as a Strategic Investment, Fourth Edition</b:Title>
    <b:Year>2002</b:Year>
    <b:City>New York, NY</b:City>
    <b:Publisher>New York Institute of Finance</b:Publisher>
    <b:RefOrder>13</b:RefOrder>
  </b:Source>
  <b:Source>
    <b:Tag>Jac03</b:Tag>
    <b:SourceType>Book</b:SourceType>
    <b:Guid>{9998BA32-7AEA-4600-9D24-DE0327BF0B8C}</b:Guid>
    <b:LCID>0</b:LCID>
    <b:Author>
      <b:Author>
        <b:NameList>
          <b:Person>
            <b:Last>Schwager</b:Last>
            <b:First>Jack</b:First>
            <b:Middle>D.</b:Middle>
          </b:Person>
        </b:NameList>
      </b:Author>
    </b:Author>
    <b:Title>Stock Market Wizards</b:Title>
    <b:Year>2003</b:Year>
    <b:City>New York, NY</b:City>
    <b:Publisher>Harper Collins</b:Publisher>
    <b:RefOrder>14</b:RefOrder>
  </b:Source>
  <b:Source>
    <b:Tag>Joh03</b:Tag>
    <b:SourceType>Book</b:SourceType>
    <b:Guid>{643CB116-3A3D-489F-9217-A6B71AF02E35}</b:Guid>
    <b:LCID>0</b:LCID>
    <b:Author>
      <b:Author>
        <b:NameList>
          <b:Person>
            <b:Last>Talbott</b:Last>
            <b:First>John</b:First>
            <b:Middle>R.</b:Middle>
          </b:Person>
        </b:NameList>
      </b:Author>
    </b:Author>
    <b:Title>The Coming Crash in the Housing Market</b:Title>
    <b:Year>2003</b:Year>
    <b:City>New York, NY</b:City>
    <b:Publisher>McGraw-Hill, Inc.</b:Publisher>
    <b:RefOrder>15</b:RefOrder>
  </b:Source>
  <b:Source>
    <b:Tag>Mar99</b:Tag>
    <b:SourceType>Book</b:SourceType>
    <b:Guid>{E1DDC6E2-96F6-4CD5-88A9-6D2DF35DD752}</b:Guid>
    <b:LCID>0</b:LCID>
    <b:Author>
      <b:Author>
        <b:NameList>
          <b:Person>
            <b:Last>Boucher</b:Last>
            <b:First>Mark</b:First>
          </b:Person>
        </b:NameList>
      </b:Author>
    </b:Author>
    <b:Title>The Hedge Fund Edge</b:Title>
    <b:Year>1999</b:Year>
    <b:City>New York, NY</b:City>
    <b:Publisher>John Wiley &amp; Sons, Inc.</b:Publisher>
    <b:RefOrder>16</b:RefOrder>
  </b:Source>
  <b:Source>
    <b:Tag>Mar90</b:Tag>
    <b:SourceType>Book</b:SourceType>
    <b:Guid>{4A6D87C2-E662-4AE7-B594-C11BE5DC1119}</b:Guid>
    <b:LCID>0</b:LCID>
    <b:Author>
      <b:Author>
        <b:NameList>
          <b:Person>
            <b:Last>Douglas</b:Last>
            <b:First>Mark</b:First>
          </b:Person>
        </b:NameList>
      </b:Author>
    </b:Author>
    <b:Title>The Disciplined Trader, Developing Winning Attitudes</b:Title>
    <b:Year>1990</b:Year>
    <b:City>New York, NY</b:City>
    <b:Publisher>New York Institute of Finance</b:Publisher>
    <b:RefOrder>17</b:RefOrder>
  </b:Source>
  <b:Source>
    <b:Tag>Mar00</b:Tag>
    <b:SourceType>Book</b:SourceType>
    <b:Guid>{1321BE3D-462F-4224-A105-32EDF7F755A3}</b:Guid>
    <b:LCID>0</b:LCID>
    <b:Author>
      <b:Author>
        <b:NameList>
          <b:Person>
            <b:Last>Douglas</b:Last>
            <b:First>Mark</b:First>
          </b:Person>
        </b:NameList>
      </b:Author>
    </b:Author>
    <b:Title>Trading in the Zone</b:Title>
    <b:Year>2000</b:Year>
    <b:City>New York, NY</b:City>
    <b:Publisher>New York Institute of Finance</b:Publisher>
    <b:RefOrder>18</b:RefOrder>
  </b:Source>
  <b:Source>
    <b:Tag>Edw94</b:Tag>
    <b:SourceType>Book</b:SourceType>
    <b:Guid>{1F20A161-79D5-4224-928D-34BF9411EC7D}</b:Guid>
    <b:LCID>0</b:LCID>
    <b:Author>
      <b:Author>
        <b:NameList>
          <b:Person>
            <b:Last>Lefevre</b:Last>
            <b:First>Edwin</b:First>
          </b:Person>
        </b:NameList>
      </b:Author>
    </b:Author>
    <b:Title>Reminiscences of a Stock Operator</b:Title>
    <b:Year>1994</b:Year>
    <b:City>New York, NY</b:City>
    <b:Publisher>John Wiley &amp; Sons, Inc.</b:Publisher>
    <b:RefOrder>19</b:RefOrder>
  </b:Source>
  <b:Source>
    <b:Tag>Joh06</b:Tag>
    <b:SourceType>Book</b:SourceType>
    <b:Guid>{335976D7-5194-49D0-BF54-81100EA3B828}</b:Guid>
    <b:LCID>0</b:LCID>
    <b:Author>
      <b:Author>
        <b:NameList>
          <b:Person>
            <b:Last>Carter</b:Last>
            <b:First>John</b:First>
          </b:Person>
        </b:NameList>
      </b:Author>
    </b:Author>
    <b:Title>Mastering the Trade</b:Title>
    <b:Year>2006</b:Year>
    <b:City>New York, NY</b:City>
    <b:Publisher>McGraw-Hill, Inc.</b:Publisher>
    <b:RefOrder>20</b:RefOrder>
  </b:Source>
  <b:Source>
    <b:Tag>Mal03</b:Tag>
    <b:SourceType>Book</b:SourceType>
    <b:Guid>{04D254F5-0B42-4059-AE5C-4C7E309D4B77}</b:Guid>
    <b:LCID>0</b:LCID>
    <b:Author>
      <b:Author>
        <b:NameList>
          <b:Person>
            <b:Last>Balen</b:Last>
            <b:First>Malcolm</b:First>
          </b:Person>
        </b:NameList>
      </b:Author>
    </b:Author>
    <b:Title>The Secret History of the South Sea Bubble</b:Title>
    <b:Year>2003</b:Year>
    <b:City>New York, NY</b:City>
    <b:Publisher>HarperCollins Publishers Inc.</b:Publisher>
    <b:RefOrder>21</b:RefOrder>
  </b:Source>
  <b:Source>
    <b:Tag>Cra04</b:Tag>
    <b:SourceType>Book</b:SourceType>
    <b:Guid>{6660531E-1ED3-4F2E-9395-94A451448583}</b:Guid>
    <b:LCID>0</b:LCID>
    <b:Author>
      <b:Author>
        <b:NameList>
          <b:Person>
            <b:Last>Hall</b:Last>
            <b:First>Craig</b:First>
          </b:Person>
        </b:NameList>
      </b:Author>
    </b:Author>
    <b:Title>Timing the Real Estate Market</b:Title>
    <b:Year>2004</b:Year>
    <b:City>New York, NY</b:City>
    <b:Publisher>McGraw-Hill</b:Publisher>
    <b:RefOrder>22</b:RefOrder>
  </b:Source>
  <b:Source>
    <b:Tag>Jun05</b:Tag>
    <b:SourceType>Book</b:SourceType>
    <b:Guid>{D22850F2-49FF-470A-86C4-6573D41FE623}</b:Guid>
    <b:LCID>0</b:LCID>
    <b:Author>
      <b:Author>
        <b:NameList>
          <b:Person>
            <b:Last>Fletcher</b:Last>
            <b:First>June</b:First>
          </b:Person>
        </b:NameList>
      </b:Author>
    </b:Author>
    <b:Title>House Poor, Pumped-Up Prices, Rising Rates, and Mortgages on Steroids</b:Title>
    <b:Year>2005</b:Year>
    <b:City>New York, NY</b:City>
    <b:Publisher>HarperCollins Publishers Inc.</b:Publisher>
    <b:RefOrder>23</b:RefOrder>
  </b:Source>
  <b:Source>
    <b:Tag>Joh031</b:Tag>
    <b:SourceType>Book</b:SourceType>
    <b:Guid>{E3C895D5-9A25-422F-AA5E-75AF65788C15}</b:Guid>
    <b:LCID>0</b:LCID>
    <b:Author>
      <b:Author>
        <b:NameList>
          <b:Person>
            <b:Last>Rubino</b:Last>
            <b:First>John</b:First>
          </b:Person>
        </b:NameList>
      </b:Author>
    </b:Author>
    <b:Title>How to Profit from the Coming Real Estate Bust</b:Title>
    <b:Year>2003</b:Year>
    <b:Publisher>Rodale</b:Publisher>
    <b:RefOrder>24</b:RefOrder>
  </b:Source>
  <b:Source>
    <b:Tag>Joh061</b:Tag>
    <b:SourceType>Book</b:SourceType>
    <b:Guid>{39978BE4-3184-47B5-A3F4-E5A0162132A0}</b:Guid>
    <b:LCID>0</b:LCID>
    <b:Author>
      <b:Author>
        <b:NameList>
          <b:Person>
            <b:Last>Talbott</b:Last>
            <b:First>John</b:First>
            <b:Middle>R.</b:Middle>
          </b:Person>
        </b:NameList>
      </b:Author>
    </b:Author>
    <b:Title>Sell Now! The End of the Housing Bubble</b:Title>
    <b:Year>2006</b:Year>
    <b:City>New York, NY</b:City>
    <b:Publisher>St. Martins Press</b:Publisher>
    <b:RefOrder>25</b:RefOrder>
  </b:Source>
  <b:Source>
    <b:Tag>Kor96</b:Tag>
    <b:SourceType>Book</b:SourceType>
    <b:Guid>{0DA49C9C-13F6-40CA-A930-C5687BA58F98}</b:Guid>
    <b:LCID>0</b:LCID>
    <b:Author>
      <b:Author>
        <b:NameList>
          <b:Person>
            <b:Last>Kornfield</b:Last>
            <b:First>Jack</b:First>
          </b:Person>
        </b:NameList>
      </b:Author>
    </b:Author>
    <b:Title>The Roots of Buddhist Psychology</b:Title>
    <b:Year>1996</b:Year>
    <b:City>Louisville, CO</b:City>
    <b:Publisher>Sounds True</b:Publisher>
    <b:RefOrder>26</b:RefOrder>
  </b:Source>
  <b:Source>
    <b:Tag>Jac93</b:Tag>
    <b:SourceType>Book</b:SourceType>
    <b:Guid>{C4B61D08-D28F-4F75-A475-9BD2542C3EDD}</b:Guid>
    <b:LCID>0</b:LCID>
    <b:Author>
      <b:Author>
        <b:NameList>
          <b:Person>
            <b:Last>Kornfield</b:Last>
            <b:First>Jack</b:First>
          </b:Person>
        </b:NameList>
      </b:Author>
    </b:Author>
    <b:Title>The Inner Art of Meditation</b:Title>
    <b:Year>1993</b:Year>
    <b:City>Louisville, CO</b:City>
    <b:Publisher>Sounds True</b:Publisher>
    <b:RefOrder>27</b:RefOrder>
  </b:Source>
  <b:Source>
    <b:Tag>Jac00</b:Tag>
    <b:SourceType>Book</b:SourceType>
    <b:Guid>{5F73005E-2FE8-4322-AE6B-3D125B32214D}</b:Guid>
    <b:LCID>0</b:LCID>
    <b:Author>
      <b:Author>
        <b:NameList>
          <b:Person>
            <b:Last>Kornfield</b:Last>
            <b:First>Jack</b:First>
          </b:Person>
        </b:NameList>
      </b:Author>
    </b:Author>
    <b:Title>After the Ecstasy, the Laundry: How the Heart Grows Wise on the Spiritual Path</b:Title>
    <b:Year>2000</b:Year>
    <b:City>New York, NY</b:City>
    <b:Publisher>Bantam Books</b:Publisher>
    <b:RefOrder>28</b:RefOrder>
  </b:Source>
  <b:Source>
    <b:Tag>Jac931</b:Tag>
    <b:SourceType>Book</b:SourceType>
    <b:Guid>{0450C93E-9495-4F78-B33B-A7B12649BDC5}</b:Guid>
    <b:LCID>0</b:LCID>
    <b:Author>
      <b:Author>
        <b:NameList>
          <b:Person>
            <b:Last>Kornfield</b:Last>
            <b:First>Jack</b:First>
          </b:Person>
        </b:NameList>
      </b:Author>
    </b:Author>
    <b:Title>A Path with Heart: A Guide Through the Perils and Promises of Spiritual Life</b:Title>
    <b:Year>1993</b:Year>
    <b:City>New York, NY</b:City>
    <b:Publisher>Bantam Books</b:Publisher>
    <b:RefOrder>29</b:RefOrder>
  </b:Source>
  <b:Source>
    <b:Tag>Rob02</b:Tag>
    <b:SourceType>Report</b:SourceType>
    <b:Guid>{CC05A94C-DA16-4C2E-A046-CF9DE21AA808}</b:Guid>
    <b:LCID>0</b:LCID>
    <b:Author>
      <b:Author>
        <b:NameList>
          <b:Person>
            <b:Last>Shiller</b:Last>
            <b:First>Robert</b:First>
            <b:Middle>J.</b:Middle>
          </b:Person>
        </b:NameList>
      </b:Author>
    </b:Author>
    <b:Title>From Efficient Market Theory to Behavioral Finance</b:Title>
    <b:Year>2002</b:Year>
    <b:City>New Haven, CT</b:City>
    <b:Publisher>Cowles Foundation for Research in Economics, Yale University</b:Publisher>
    <b:RefOrder>30</b:RefOrder>
  </b:Source>
  <b:Source>
    <b:Tag>Rob07</b:Tag>
    <b:SourceType>Report</b:SourceType>
    <b:Guid>{F3ED19DD-5644-4980-AFC9-27E19688A461}</b:Guid>
    <b:LCID>0</b:LCID>
    <b:Author>
      <b:Author>
        <b:NameList>
          <b:Person>
            <b:Last>Shiller</b:Last>
            <b:First>Robert</b:First>
            <b:Middle>J.</b:Middle>
          </b:Person>
        </b:NameList>
      </b:Author>
    </b:Author>
    <b:Title>Understanding Recent Trends in House Prices and Home Ownership</b:Title>
    <b:Year>2007</b:Year>
    <b:Publisher>Cowles Foundation for Research in Economics, Yale University</b:Publisher>
    <b:City>New Haven, CT</b:City>
    <b:RefOrder>31</b:RefOrder>
  </b:Source>
  <b:Source>
    <b:Tag>Jam05</b:Tag>
    <b:SourceType>JournalArticle</b:SourceType>
    <b:Guid>{A7EE431B-F36A-4FD7-BB88-C2922608E05E}</b:Guid>
    <b:LCID>0</b:LCID>
    <b:Author>
      <b:Author>
        <b:NameList>
          <b:Person>
            <b:Last>Peterson</b:Last>
            <b:First>James</b:First>
            <b:Middle>R.</b:Middle>
          </b:Person>
        </b:NameList>
      </b:Author>
    </b:Author>
    <b:Title> Designer Mortgages: The Boom in Nontraditional Mortgage Loans May Be a Double-Edged Sword. So Far, Most Banks Have Moved Cautiously.</b:Title>
    <b:Year>2005</b:Year>
    <b:JournalName>ABA Banking Journal</b:JournalName>
    <b:Pages>30+</b:Pages>
    <b:RefOrder>32</b:RefOrder>
  </b:Source>
  <b:Source>
    <b:Tag>Rob071</b:Tag>
    <b:SourceType>Report</b:SourceType>
    <b:Guid>{5E8C2012-4379-4908-BC2B-88F9D47B5EA9}</b:Guid>
    <b:LCID>0</b:LCID>
    <b:Author>
      <b:Author>
        <b:NameList>
          <b:Person>
            <b:Last>Shiller</b:Last>
            <b:First>Robert</b:First>
            <b:Middle>J.</b:Middle>
          </b:Person>
        </b:NameList>
      </b:Author>
    </b:Author>
    <b:Title>Historic Turning Points in Real Estate</b:Title>
    <b:Year>2007</b:Year>
    <b:Publisher>Cowles Foundation for Research in Economics, Yale University</b:Publisher>
    <b:City>New Haven, CT</b:City>
    <b:RefOrder>33</b:RefOrder>
  </b:Source>
  <b:Source>
    <b:Tag>Dea02</b:Tag>
    <b:SourceType>JournalArticle</b:SourceType>
    <b:Guid>{33DE6A63-AF69-4710-A009-2F62BCB2F64D}</b:Guid>
    <b:LCID>0</b:LCID>
    <b:Author>
      <b:Author>
        <b:NameList>
          <b:Person>
            <b:Last>Baker</b:Last>
            <b:First>Dean</b:First>
          </b:Person>
        </b:NameList>
      </b:Author>
    </b:Author>
    <b:Title>The Run-up in Home Prices: a Bubble</b:Title>
    <b:Year>2002</b:Year>
    <b:Publisher>Challenge</b:Publisher>
    <b:JournalName>Challenge</b:JournalName>
    <b:Pages>93+</b:Pages>
    <b:RefOrder>34</b:RefOrder>
  </b:Source>
  <b:Source>
    <b:Tag>Cre07</b:Tag>
    <b:SourceType>Report</b:SourceType>
    <b:Guid>{0D6DC4A2-82F8-467A-9914-DF122A9FA6C3}</b:Guid>
    <b:LCID>0</b:LCID>
    <b:Author>
      <b:Author>
        <b:Corporate>Credit Suisse</b:Corporate>
      </b:Author>
    </b:Author>
    <b:Title>Mortgage Liquidity du Jour: Underestimated No More</b:Title>
    <b:Year>2007</b:Year>
    <b:Publisher>Credit Suisse Equity Research</b:Publisher>
    <b:RefOrder>3</b:RefOrder>
  </b:Source>
  <b:Source>
    <b:Tag>Phi07</b:Tag>
    <b:SourceType>ArticleInAPeriodical</b:SourceType>
    <b:Guid>{BFE64F82-E2B2-430C-8809-B4142263CACE}</b:Guid>
    <b:LCID>0</b:LCID>
    <b:Author>
      <b:Author>
        <b:NameList>
          <b:Person>
            <b:Last>Kolbe</b:Last>
            <b:First>Phillip</b:First>
            <b:Middle>T.</b:Middle>
          </b:Person>
        </b:NameList>
      </b:Author>
    </b:Author>
    <b:Title> Affordability in the Single-Family Housing Market.</b:Title>
    <b:Year>2007</b:Year>
    <b:PeriodicalTitle>Business Perspectives</b:PeriodicalTitle>
    <b:Month>Summer</b:Month>
    <b:Pages>8+</b:Pages>
    <b:RefOrder>35</b:RefOrder>
  </b:Source>
  <b:Source>
    <b:Tag>Ben04</b:Tag>
    <b:SourceType>ArticleInAPeriodical</b:SourceType>
    <b:Guid>{7580ECD7-E975-4873-B29D-D73DF79DE679}</b:Guid>
    <b:LCID>0</b:LCID>
    <b:Author>
      <b:Author>
        <b:NameList>
          <b:Person>
            <b:Last>Wallace-Wells</b:Last>
            <b:First>Benjamin</b:First>
          </b:Person>
        </b:NameList>
      </b:Author>
    </b:Author>
    <b:Title> There Goes the Neighborhood: Why Home Prices Are about to Plummet-And Take the Recovery with Them.</b:Title>
    <b:PeriodicalTitle>Washington Monthly</b:PeriodicalTitle>
    <b:Year>2004</b:Year>
    <b:Month>April</b:Month>
    <b:Pages>30+</b:Pages>
    <b:RefOrder>36</b:RefOrder>
  </b:Source>
  <b:Source>
    <b:Tag>Law07</b:Tag>
    <b:SourceType>ArticleInAPeriodical</b:SourceType>
    <b:Guid>{E32D555D-35DB-478D-B17B-2E2C20325435}</b:Guid>
    <b:LCID>0</b:LCID>
    <b:Author>
      <b:Author>
        <b:NameList>
          <b:Person>
            <b:Last>Lindsey</b:Last>
            <b:First>Lawrence</b:First>
            <b:Middle>B.</b:Middle>
          </b:Person>
        </b:NameList>
      </b:Author>
    </b:Author>
    <b:Title> Fear and Greed: Why the American Housing Credit Crisis Is Worse Than You Think.</b:Title>
    <b:PeriodicalTitle>The International Economy</b:PeriodicalTitle>
    <b:Year>2007</b:Year>
    <b:Month>Spring</b:Month>
    <b:Pages>22+</b:Pages>
    <b:RefOrder>37</b:RefOrder>
  </b:Source>
  <b:Source>
    <b:Tag>Wil04</b:Tag>
    <b:SourceType>ArticleInAPeriodical</b:SourceType>
    <b:Guid>{AF308286-0EB8-4894-9AB9-23AED62C4335}</b:Guid>
    <b:LCID>0</b:LCID>
    <b:Author>
      <b:Author>
        <b:NameList>
          <b:Person>
            <b:Last>Grigg</b:Last>
            <b:First>William</b:First>
            <b:Middle>Norman</b:Middle>
          </b:Person>
        </b:NameList>
      </b:Author>
    </b:Author>
    <b:Title> Will the Housing Bubble Burst? Our Socialist Mortgage System and Easy Money Policy Have Created a Dangerously Inflated Housing Bubble That, If Pricked, Could Take the Economy Down with It.</b:Title>
    <b:PeriodicalTitle>The New American</b:PeriodicalTitle>
    <b:Year>2004</b:Year>
    <b:Month>May</b:Month>
    <b:Pages>20+</b:Pages>
    <b:RefOrder>38</b:RefOrder>
  </b:Source>
  <b:Source>
    <b:Tag>Mic04</b:Tag>
    <b:SourceType>ArticleInAPeriodical</b:SourceType>
    <b:Guid>{3892D7FB-9776-4853-B4D4-57DC60FF96D8}</b:Guid>
    <b:LCID>0</b:LCID>
    <b:Author>
      <b:Author>
        <b:NameList>
          <b:Person>
            <b:Last>Lacour-Little</b:Last>
            <b:First>Michael</b:First>
          </b:Person>
        </b:NameList>
      </b:Author>
    </b:Author>
    <b:Title> Equity Dilution: An Alternative Perspective on Mortgage Default.</b:Title>
    <b:PeriodicalTitle>Real Estate Economics</b:PeriodicalTitle>
    <b:Year>2004</b:Year>
    <b:Month>March</b:Month>
    <b:Pages>359+</b:Pages>
    <b:RefOrder>39</b:RefOrder>
  </b:Source>
  <b:Source>
    <b:Tag>Sco06</b:Tag>
    <b:SourceType>JournalArticle</b:SourceType>
    <b:Guid>{DB74A318-4BD0-4141-A361-45B8D50C2D21}</b:Guid>
    <b:LCID>0</b:LCID>
    <b:Author>
      <b:Author>
        <b:NameList>
          <b:Person>
            <b:Last>Brown</b:Last>
            <b:First>Scott</b:First>
            <b:Middle>J.</b:Middle>
          </b:Person>
        </b:NameList>
      </b:Author>
    </b:Author>
    <b:Title> How Critical Is the Housing Market?</b:Title>
    <b:JournalName>ABA Banking Journal</b:JournalName>
    <b:Year>2006</b:Year>
    <b:Pages>64</b:Pages>
    <b:RefOrder>40</b:RefOrder>
  </b:Source>
  <b:Source>
    <b:Tag>Jos06</b:Tag>
    <b:SourceType>JournalArticle</b:SourceType>
    <b:Guid>{D3559A11-D421-491B-8CC9-06ACDF5F39DB}</b:Guid>
    <b:LCID>0</b:LCID>
    <b:Author>
      <b:Author>
        <b:NameList>
          <b:Person>
            <b:Last>Gallin</b:Last>
            <b:First>Joshua</b:First>
          </b:Person>
        </b:NameList>
      </b:Author>
    </b:Author>
    <b:Title> The Long-Run Relationship between House Prices and Income: Evidence from Local Housing Markets.</b:Title>
    <b:JournalName>Real Estate Economics</b:JournalName>
    <b:Year>2006</b:Year>
    <b:Pages>417+</b:Pages>
    <b:RefOrder>41</b:RefOrder>
  </b:Source>
  <b:Source>
    <b:Tag>Nat04</b:Tag>
    <b:SourceType>Report</b:SourceType>
    <b:Guid>{793D2955-D39A-4193-AD0C-D339A4D810F5}</b:Guid>
    <b:LCID>0</b:LCID>
    <b:Author>
      <b:Author>
        <b:Corporate>National Multi Housing Council, National Apartment Association</b:Corporate>
      </b:Author>
    </b:Author>
    <b:Title>Renting Can Be a Smart Investment</b:Title>
    <b:Year>2004</b:Year>
    <b:Publisher>National Multi Housing Council, National Apartment Association</b:Publisher>
    <b:City>Washington, DC &amp; Alexandria, VA</b:City>
    <b:RefOrder>42</b:RefOrder>
  </b:Source>
  <b:Source>
    <b:Tag>Rob01</b:Tag>
    <b:SourceType>Report</b:SourceType>
    <b:Guid>{77A27DDB-3E42-4C6E-BB8C-0CDBA4C92B8F}</b:Guid>
    <b:LCID>0</b:LCID>
    <b:Author>
      <b:Author>
        <b:NameList>
          <b:Person>
            <b:Last>Shiller</b:Last>
            <b:First>Robert</b:First>
            <b:Middle>J.</b:Middle>
          </b:Person>
        </b:NameList>
      </b:Author>
    </b:Author>
    <b:Title>Bubbles, Human Judgment, and Expert Opinion</b:Title>
    <b:Year>2001</b:Year>
    <b:Publisher>Cowles Foundation for Research in Economics, Yale University</b:Publisher>
    <b:City>New Haven, CT</b:City>
    <b:RefOrder>43</b:RefOrder>
  </b:Source>
  <b:Source>
    <b:Tag>Smi00</b:Tag>
    <b:SourceType>JournalArticle</b:SourceType>
    <b:Guid>{7B44E152-B6F9-4A58-BD9A-E6298D84A9B8}</b:Guid>
    <b:LCID>0</b:LCID>
    <b:Author>
      <b:Author>
        <b:NameList>
          <b:Person>
            <b:Last>Smith</b:Last>
            <b:First>Vernon</b:First>
            <b:Middle>L.</b:Middle>
          </b:Person>
        </b:NameList>
      </b:Author>
    </b:Author>
    <b:Title>Exchange, Economic Theory, and the Hayek Critique</b:Title>
    <b:Year>2000</b:Year>
    <b:Publisher>Encyclopedia of Cog</b:Publisher>
    <b:JournalName>Encyclopedia of Cognitive Science</b:JournalName>
    <b:Pages>42</b:Pages>
    <b:RefOrder>44</b:RefOrder>
  </b:Source>
  <b:Source>
    <b:Tag>Ver04</b:Tag>
    <b:SourceType>JournalArticle</b:SourceType>
    <b:Guid>{B09AE6AD-CC58-42AD-86F4-98C68DF0BD9B}</b:Guid>
    <b:LCID>0</b:LCID>
    <b:Author>
      <b:Author>
        <b:NameList>
          <b:Person>
            <b:Last>Smith</b:Last>
            <b:First>Vernon</b:First>
            <b:Middle>L.</b:Middle>
          </b:Person>
        </b:NameList>
      </b:Author>
    </b:Author>
    <b:Title>Human Nature: An Economic Perspective</b:Title>
    <b:JournalName>Daedalus</b:JournalName>
    <b:Year>2004</b:Year>
    <b:Pages>67+</b:Pages>
    <b:RefOrder>45</b:RefOrder>
  </b:Source>
  <b:Source>
    <b:Tag>Dem00</b:Tag>
    <b:SourceType>Book</b:SourceType>
    <b:Guid>{6445197B-D163-49EE-AF9A-D27CDB0E4FE3}</b:Guid>
    <b:LCID>0</b:LCID>
    <b:Author>
      <b:Author>
        <b:NameList>
          <b:Person>
            <b:Last>Deming</b:Last>
            <b:First>W.</b:First>
            <b:Middle>Edwards</b:Middle>
          </b:Person>
        </b:NameList>
      </b:Author>
    </b:Author>
    <b:Title>The New Economics for Industry, Government, Education - 2nd Edition</b:Title>
    <b:Year>2000</b:Year>
    <b:City>Boston, MA</b:City>
    <b:Publisher>The MIT Press</b:Publisher>
    <b:RefOrder>6</b:RefOrder>
  </b:Source>
  <b:Source>
    <b:Tag>Fra05</b:Tag>
    <b:SourceType>JournalArticle</b:SourceType>
    <b:Guid>{7570E1D8-B781-4BC4-918A-3BEDD53EBEB3}</b:Guid>
    <b:LCID>0</b:LCID>
    <b:Author>
      <b:Author>
        <b:NameList>
          <b:Person>
            <b:Last>Frame</b:Last>
            <b:First>W.</b:First>
            <b:Middle>Scott</b:Middle>
          </b:Person>
          <b:Person>
            <b:Last>White</b:Last>
            <b:First>Lawrence</b:First>
            <b:Middle>J.</b:Middle>
          </b:Person>
        </b:NameList>
      </b:Author>
    </b:Author>
    <b:Title>Fussing and Fuming over Fannie and Freddie: How Much Smoke, How Much Fire?</b:Title>
    <b:Year>2005</b:Year>
    <b:JournalName>The Journal of Economic Perspectives</b:JournalName>
    <b:Pages>28</b:Pages>
    <b:RefOrder>46</b:RefOrder>
  </b:Source>
  <b:Source>
    <b:Tag>Shi04</b:Tag>
    <b:SourceType>Report</b:SourceType>
    <b:Guid>{DC73C3BA-34D1-4D7A-9DEA-9D06D12DE67B}</b:Guid>
    <b:LCID>0</b:LCID>
    <b:Author>
      <b:Author>
        <b:NameList>
          <b:Person>
            <b:Last>Shiller</b:Last>
            <b:First>Robert</b:First>
            <b:Middle>J.</b:Middle>
          </b:Person>
        </b:NameList>
      </b:Author>
    </b:Author>
    <b:Title>Household Reaction to Changes in Housing Wealth</b:Title>
    <b:Year>2004</b:Year>
    <b:Publisher>Cowles Foundation for Research in Economics, Yale University</b:Publisher>
    <b:City>New Haven, CT</b:City>
    <b:RefOrder>47</b:RefOrder>
  </b:Source>
  <b:Source>
    <b:Tag>Sus98</b:Tag>
    <b:SourceType>JournalArticle</b:SourceType>
    <b:Guid>{C73CE374-31AF-4F73-B64A-BED13A82113E}</b:Guid>
    <b:LCID>0</b:LCID>
    <b:Author>
      <b:Author>
        <b:NameList>
          <b:Person>
            <b:Last>Bikhchandani</b:Last>
            <b:First>Sushil</b:First>
          </b:Person>
          <b:Person>
            <b:Last>Hirshleifer</b:Last>
            <b:First>David</b:First>
          </b:Person>
          <b:Person>
            <b:Last>Welch</b:Last>
            <b:First>Ivo</b:First>
          </b:Person>
        </b:NameList>
      </b:Author>
    </b:Author>
    <b:Title>Learning from the Behavior of Others: Conformity, Fads, and Informational Cascades</b:Title>
    <b:Year>1998</b:Year>
    <b:JournalName>The Journal of Economic Perspectives</b:JournalName>
    <b:Pages>26</b:Pages>
    <b:RefOrder>48</b:RefOrder>
  </b:Source>
  <b:Source>
    <b:Tag>Mor07</b:Tag>
    <b:SourceType>Report</b:SourceType>
    <b:Guid>{56973B4B-DCF0-4976-9CE9-2DAA4215D2B3}</b:Guid>
    <b:LCID>0</b:LCID>
    <b:Author>
      <b:Author>
        <b:Corporate>Mortgage Bankers Association</b:Corporate>
      </b:Author>
    </b:Author>
    <b:Title>National Delinquency Survey</b:Title>
    <b:Year>2007</b:Year>
    <b:Publisher>Mortgage Bankers Association</b:Publisher>
    <b:RefOrder>49</b:RefOrder>
  </b:Source>
  <b:Source>
    <b:Tag>Tod08</b:Tag>
    <b:SourceType>Report</b:SourceType>
    <b:Guid>{6B1C38F9-5F6D-4AF0-AA90-4F198297B110}</b:Guid>
    <b:LCID>0</b:LCID>
    <b:Author>
      <b:Author>
        <b:NameList>
          <b:Person>
            <b:Last>Sinai</b:Last>
            <b:First>Todd</b:First>
          </b:Person>
        </b:NameList>
      </b:Author>
    </b:Author>
    <b:Title>The Inequity of Subprime Mortgage Relief Programs</b:Title>
    <b:Year>2008</b:Year>
    <b:Publisher>FreedomWorks Foundation</b:Publisher>
    <b:City>Washington, DC</b:City>
    <b:RefOrder>50</b:RefOrder>
  </b:Source>
  <b:Source>
    <b:Tag>Pet89</b:Tag>
    <b:SourceType>JournalArticle</b:SourceType>
    <b:Guid>{492D8414-B75B-458D-BC91-89AF77FC892E}</b:Guid>
    <b:LCID>0</b:LCID>
    <b:Author>
      <b:Author>
        <b:NameList>
          <b:Person>
            <b:Last>Garber</b:Last>
            <b:First>Peter</b:First>
            <b:Middle>M.</b:Middle>
          </b:Person>
        </b:NameList>
      </b:Author>
    </b:Author>
    <b:Title>Tulipmania</b:Title>
    <b:Year>1989</b:Year>
    <b:JournalName>The Journal of Political Economy</b:JournalName>
    <b:Pages>26</b:Pages>
    <b:RefOrder>51</b:RefOrder>
  </b:Source>
  <b:Source>
    <b:Tag>Min06</b:Tag>
    <b:SourceType>Report</b:SourceType>
    <b:Guid>{9E59AB58-0DC1-43B1-A96E-FF05B01819B7}</b:Guid>
    <b:LCID>0</b:LCID>
    <b:Author>
      <b:Author>
        <b:NameList>
          <b:Person>
            <b:Last>Mints</b:Last>
            <b:First>Victor</b:First>
          </b:Person>
        </b:NameList>
      </b:Author>
    </b:Author>
    <b:Title>THe Mortgage Rate and Housing Bubbles</b:Title>
    <b:Year>2006</b:Year>
    <b:Publisher>Housing Finance International</b:Publisher>
    <b:City>Moscow, Russia</b:City>
    <b:RefOrder>52</b:RefOrder>
  </b:Source>
  <b:Source>
    <b:Tag>Jor06</b:Tag>
    <b:SourceType>Report</b:SourceType>
    <b:Guid>{077B0388-18F9-440D-A9BF-0C53A5DFDB5E}</b:Guid>
    <b:LCID>0</b:LCID>
    <b:Author>
      <b:Author>
        <b:NameList>
          <b:Person>
            <b:Last>Rappaport</b:Last>
            <b:First>Jordan</b:First>
          </b:Person>
        </b:NameList>
      </b:Author>
    </b:Author>
    <b:Title>A Guide to Aggregate House Price Measures</b:Title>
    <b:Year>2006</b:Year>
    <b:Publisher>Federal Reserve Bank of Kansas City</b:Publisher>
    <b:City>Kansas City, MO</b:City>
    <b:RefOrder>53</b:RefOrder>
  </b:Source>
  <b:Source>
    <b:Tag>Tim07</b:Tag>
    <b:SourceType>ArticleInAPeriodical</b:SourceType>
    <b:Guid>{02643196-EBA1-4575-AA46-B5ED2E5FC8F7}</b:Guid>
    <b:LCID>0</b:LCID>
    <b:Author>
      <b:Author>
        <b:NameList>
          <b:Person>
            <b:Last>Schiller</b:Last>
            <b:First>Tim</b:First>
          </b:Person>
        </b:NameList>
      </b:Author>
    </b:Author>
    <b:Title>Housing: Boom or Bubble</b:Title>
    <b:Year>2007</b:Year>
    <b:PeriodicalTitle>Business Review</b:PeriodicalTitle>
    <b:Month>Fall</b:Month>
    <b:Pages>10</b:Pages>
    <b:RefOrder>54</b:RefOrder>
  </b:Source>
  <b:Source>
    <b:Tag>Joh062</b:Tag>
    <b:SourceType>JournalArticle</b:SourceType>
    <b:Guid>{A69D3D25-1F20-479C-84CF-8765CFEEC390}</b:Guid>
    <b:LCID>0</b:LCID>
    <b:Author>
      <b:Author>
        <b:NameList>
          <b:Person>
            <b:Last>Krainer</b:Last>
            <b:First>John</b:First>
          </b:Person>
        </b:NameList>
      </b:Author>
    </b:Author>
    <b:Title>Residential Investment over the Real Estate Cycle</b:Title>
    <b:Year>2006</b:Year>
    <b:JournalName>FRBSF Economic Letter</b:JournalName>
    <b:Pages>4</b:Pages>
    <b:RefOrder>55</b:RefOrder>
  </b:Source>
  <b:Source>
    <b:Tag>Rob051</b:Tag>
    <b:SourceType>Report</b:SourceType>
    <b:Guid>{00B11139-BD9D-434C-A298-00639B271093}</b:Guid>
    <b:LCID>0</b:LCID>
    <b:Author>
      <b:Author>
        <b:NameList>
          <b:Person>
            <b:Last>Martin</b:Last>
            <b:First>Robert</b:First>
            <b:Middle>F.</b:Middle>
          </b:Person>
        </b:NameList>
      </b:Author>
    </b:Author>
    <b:Title>The Baby Boom: Predictability in House Prices and Interest Rates</b:Title>
    <b:Year>2005</b:Year>
    <b:Publisher>Federal Reserve Board of Governors</b:Publisher>
    <b:City>Washington, DC</b:City>
    <b:RefOrder>56</b:RefOrder>
  </b:Source>
  <b:Source>
    <b:Tag>Jos04</b:Tag>
    <b:SourceType>Report</b:SourceType>
    <b:Guid>{9BA3ACBF-449B-4FF9-9B02-481B0D74EE44}</b:Guid>
    <b:LCID>0</b:LCID>
    <b:Author>
      <b:Author>
        <b:NameList>
          <b:Person>
            <b:Last>Gallin</b:Last>
            <b:First>Joshua</b:First>
          </b:Person>
        </b:NameList>
      </b:Author>
    </b:Author>
    <b:Title>The Long-Run Relationship between House Prices and Rents</b:Title>
    <b:Year>2004</b:Year>
    <b:Publisher>Federal Reserve Board</b:Publisher>
    <b:City>Washington, D.C.</b:City>
    <b:RefOrder>57</b:RefOrder>
  </b:Source>
  <b:Source>
    <b:Tag>Jos03</b:Tag>
    <b:SourceType>Report</b:SourceType>
    <b:Guid>{192956A7-4A71-4932-BC03-F1CD83730BAD}</b:Guid>
    <b:LCID>0</b:LCID>
    <b:Author>
      <b:Author>
        <b:NameList>
          <b:Person>
            <b:Last>Gallin</b:Last>
            <b:First>Joshua</b:First>
          </b:Person>
        </b:NameList>
      </b:Author>
    </b:Author>
    <b:Title>The Long-Run Relationship between House Prices and Income: Evidence from Local Housing Markets</b:Title>
    <b:Year>2003</b:Year>
    <b:Publisher>Federal Reserve Board</b:Publisher>
    <b:City>Washington, DC</b:City>
    <b:RefOrder>58</b:RefOrder>
  </b:Source>
  <b:Source>
    <b:Tag>Joh032</b:Tag>
    <b:SourceType>JournalArticle</b:SourceType>
    <b:Guid>{E8FF056A-1E6B-4EAF-A4BB-4DF500275DE3}</b:Guid>
    <b:LCID>0</b:LCID>
    <b:Author>
      <b:Author>
        <b:NameList>
          <b:Person>
            <b:Last>Krainer</b:Last>
            <b:First>John</b:First>
          </b:Person>
        </b:NameList>
      </b:Author>
    </b:Author>
    <b:Title>House Price Bubbles</b:Title>
    <b:Year>2003</b:Year>
    <b:JournalName>FRBSF Economic Letter</b:JournalName>
    <b:Pages>4</b:Pages>
    <b:RefOrder>59</b:RefOrder>
  </b:Source>
  <b:Source>
    <b:Tag>Wil03</b:Tag>
    <b:SourceType>Book</b:SourceType>
    <b:Guid>{5AD28B4E-C9E8-478F-B5F7-E425AB8FE16B}</b:Guid>
    <b:LCID>0</b:LCID>
    <b:Author>
      <b:Author>
        <b:NameList>
          <b:Person>
            <b:Last>Shakespeare</b:Last>
            <b:First>William</b:First>
          </b:Person>
        </b:NameList>
      </b:Author>
    </b:Author>
    <b:Title>Macbeth</b:Title>
    <b:Year>1603</b:Year>
    <b:City>Stratford-upon-Avon</b:City>
    <b:RefOrder>60</b:RefOrder>
  </b:Source>
  <b:Source>
    <b:Tag>Sus03</b:Tag>
    <b:SourceType>Book</b:SourceType>
    <b:Guid>{7917D15B-6903-42EF-BE51-FCF303E11152}</b:Guid>
    <b:LCID>0</b:LCID>
    <b:Author>
      <b:Author>
        <b:NameList>
          <b:Person>
            <b:Last>Susanne Cannon</b:Last>
            <b:First>Norman</b:First>
            <b:Middle>G. Miller, Gurupdesh S. Pandher</b:Middle>
          </b:Person>
        </b:NameList>
      </b:Author>
    </b:Author>
    <b:Title>Risk and Return in the U.S. Housing Market: A Cross-Sectional Asset-Pricing Approach</b:Title>
    <b:Year>2003</b:Year>
    <b:RefOrder>61</b:RefOrder>
  </b:Source>
  <b:Source>
    <b:Tag>Lea071</b:Tag>
    <b:SourceType>ConferenceProceedings</b:SourceType>
    <b:Guid>{BD948A52-9D6D-4A9A-97B7-B9C2C9233BB1}</b:Guid>
    <b:LCID>0</b:LCID>
    <b:Author>
      <b:Author>
        <b:NameList>
          <b:Person>
            <b:Last>Leamer</b:Last>
            <b:First>Edward</b:First>
            <b:Middle>E.</b:Middle>
          </b:Person>
        </b:NameList>
      </b:Author>
    </b:Author>
    <b:Title>Housing Is the Business Cycle</b:Title>
    <b:Year>2007</b:Year>
    <b:City>Jackson Hole, WY</b:City>
    <b:Publisher>Federal Reserve Bank of Kansas City</b:Publisher>
    <b:Pages>74</b:Pages>
    <b:ConferenceName>Housing, Housing Finance and Monetary Policy</b:ConferenceName>
    <b:RefOrder>62</b:RefOrder>
  </b:Source>
  <b:Source>
    <b:Tag>Sea05</b:Tag>
    <b:SourceType>Report</b:SourceType>
    <b:Guid>{4837D553-F2C6-4747-87FE-5ABE8CD00373}</b:Guid>
    <b:LCID>0</b:LCID>
    <b:Author>
      <b:Author>
        <b:NameList>
          <b:Person>
            <b:Last>Campbell</b:Last>
            <b:First>Sean</b:First>
            <b:Middle>D.</b:Middle>
          </b:Person>
          <b:Person>
            <b:Last>Davis</b:Last>
            <b:First>Morris</b:First>
            <b:Middle>A.</b:Middle>
          </b:Person>
          <b:Person>
            <b:Last>Gallin</b:Last>
            <b:First>Joshua</b:First>
          </b:Person>
          <b:Person>
            <b:Last>Martin</b:Last>
            <b:First>Robert</b:First>
            <b:Middle>F.</b:Middle>
          </b:Person>
        </b:NameList>
      </b:Author>
    </b:Author>
    <b:Title>A Trend and Variance Decomposition of the Rent-Price Ratio in Housing Markets</b:Title>
    <b:Year>2005</b:Year>
    <b:Publisher>Board of Governors of the Federal Reserve System</b:Publisher>
    <b:City>Washington, DC</b:City>
    <b:RefOrder>63</b:RefOrder>
  </b:Source>
  <b:Source>
    <b:Tag>Ada08</b:Tag>
    <b:SourceType>Report</b:SourceType>
    <b:Guid>{F6168E16-260F-46DD-8E87-7811A5FDAD0E}</b:Guid>
    <b:LCID>0</b:LCID>
    <b:Author>
      <b:Author>
        <b:NameList>
          <b:Person>
            <b:Last>Ashcraft</b:Last>
            <b:First>Adam</b:First>
            <b:Middle>B.</b:Middle>
          </b:Person>
          <b:Person>
            <b:Last>Schuermann</b:Last>
            <b:First>Til</b:First>
          </b:Person>
        </b:NameList>
      </b:Author>
    </b:Author>
    <b:Title>Understanding the Securitization of Subprime Mortgage Credit</b:Title>
    <b:Year>2008</b:Year>
    <b:Publisher>Federal Reserve Bank of New York</b:Publisher>
    <b:City>New York, NY</b:City>
    <b:RefOrder>64</b:RefOrder>
  </b:Source>
  <b:Source>
    <b:Tag>Cha05</b:Tag>
    <b:SourceType>Report</b:SourceType>
    <b:Guid>{7BBEEADD-207D-45FE-8936-7ABCD97464BC}</b:Guid>
    <b:LCID>0</b:LCID>
    <b:Author>
      <b:Author>
        <b:NameList>
          <b:Person>
            <b:Last>Himmelberg</b:Last>
            <b:First>Charles</b:First>
          </b:Person>
          <b:Person>
            <b:Last>Mayer</b:Last>
            <b:First>Christopher</b:First>
          </b:Person>
          <b:Person>
            <b:Last>Sinai</b:Last>
            <b:First>Todd</b:First>
          </b:Person>
        </b:NameList>
      </b:Author>
    </b:Author>
    <b:Title>Assessing High House Prices: Bubbles, Fundamentals, and Misperceptions</b:Title>
    <b:Year>2005</b:Year>
    <b:Publisher>Federal Reserve Bank of New York</b:Publisher>
    <b:City>New York, NY</b:City>
    <b:RefOrder>65</b:RefOrder>
  </b:Source>
  <b:Source>
    <b:Tag>Dan07</b:Tag>
    <b:SourceType>JournalArticle</b:SourceType>
    <b:Guid>{F4A46FF0-2A00-4928-9881-A69D2E13FC13}</b:Guid>
    <b:LCID>0</b:LCID>
    <b:Author>
      <b:Author>
        <b:NameList>
          <b:Person>
            <b:Last>Johnson</b:Last>
            <b:First>Dana</b:First>
          </b:Person>
          <b:Person>
            <b:Last>Halliburton</b:Last>
            <b:First>Marsha</b:First>
          </b:Person>
        </b:NameList>
      </b:Author>
    </b:Author>
    <b:Title>The Subprime Credit Crunch.</b:Title>
    <b:Year>2007</b:Year>
    <b:Pages>64+</b:Pages>
    <b:JournalName>ABA Banking Journal</b:JournalName>
    <b:RefOrder>66</b:RefOrder>
  </b:Source>
  <b:Source>
    <b:Tag>Dow08</b:Tag>
    <b:SourceType>JournalArticle</b:SourceType>
    <b:Guid>{8007275D-A795-4180-B735-2029FEA2E0CF}</b:Guid>
    <b:LCID>0</b:LCID>
    <b:Author>
      <b:Author>
        <b:NameList>
          <b:Person>
            <b:Last>Myers</b:Last>
            <b:First>Dowell</b:First>
          </b:Person>
          <b:Person>
            <b:Last>Ryu</b:Last>
            <b:First>SungHo</b:First>
          </b:Person>
        </b:NameList>
      </b:Author>
    </b:Author>
    <b:Title>Aging Baby Boomers and the Generational Housing Bubble: Foresight and Mitigation of an Epic Transition</b:Title>
    <b:Year>2008</b:Year>
    <b:JournalName>Journal of the American Planning</b:JournalName>
    <b:Pages>1-17</b:Pages>
    <b:RefOrder>67</b:RefOrder>
  </b:Source>
  <b:Source>
    <b:Tag>Mar07</b:Tag>
    <b:SourceType>Report</b:SourceType>
    <b:Guid>{9DD82143-70A6-45C8-B1B6-B6E72F184ECC}</b:Guid>
    <b:LCID>0</b:LCID>
    <b:Author>
      <b:Author>
        <b:NameList>
          <b:Person>
            <b:Last>Doms</b:Last>
            <b:First>Mark</b:First>
          </b:Person>
          <b:Person>
            <b:Last>Furlong</b:Last>
            <b:First>Fred</b:First>
          </b:Person>
          <b:Person>
            <b:Last>Krainer</b:Last>
            <b:First>John</b:First>
          </b:Person>
        </b:NameList>
      </b:Author>
    </b:Author>
    <b:Title>Subprime Mortgage Delinquency Rates</b:Title>
    <b:Year>2007</b:Year>
    <b:Publisher>Federal Reserve Bank of San Francisco</b:Publisher>
    <b:City>San Francisco, CA</b:City>
    <b:RefOrder>68</b:RefOrder>
  </b:Source>
  <b:Source>
    <b:Tag>Jam99</b:Tag>
    <b:SourceType>Book</b:SourceType>
    <b:Guid>{7BF786B8-0E6D-4B98-BE54-6FB909A3FB68}</b:Guid>
    <b:LCID>0</b:LCID>
    <b:Author>
      <b:Author>
        <b:NameList>
          <b:Person>
            <b:Last>Dalton</b:Last>
            <b:First>James</b:First>
            <b:Middle>F.</b:Middle>
          </b:Person>
          <b:Person>
            <b:Last>Jones</b:Last>
            <b:First>Eric</b:First>
            <b:Middle>T.</b:Middle>
          </b:Person>
          <b:Person>
            <b:Last>Dalton</b:Last>
            <b:First>Robert</b:First>
            <b:Middle>B.</b:Middle>
          </b:Person>
        </b:NameList>
      </b:Author>
    </b:Author>
    <b:Title>Mind over Markets</b:Title>
    <b:Year>1999</b:Year>
    <b:City>Greenville, SC</b:City>
    <b:Publisher>Traders Press, Inc.</b:Publisher>
    <b:RefOrder>69</b:RefOrder>
  </b:Source>
  <b:Source>
    <b:Tag>Cha96</b:Tag>
    <b:SourceType>Book</b:SourceType>
    <b:Guid>{FB8FAFD1-4B4E-4DF7-8979-05BD2BD58914}</b:Guid>
    <b:LCID>0</b:LCID>
    <b:Author>
      <b:Author>
        <b:NameList>
          <b:Person>
            <b:Last>Mackay</b:Last>
            <b:First>Charles</b:First>
          </b:Person>
          <b:Person>
            <b:Last>Vega</b:Last>
            <b:First>Joseph</b:First>
            <b:Middle>de la</b:Middle>
          </b:Person>
          <b:Person>
            <b:Last>Fridson</b:Last>
            <b:First>Martin</b:First>
            <b:Middle>S.</b:Middle>
          </b:Person>
        </b:NameList>
      </b:Author>
    </b:Author>
    <b:Title>Extraordinary Popular Delusions and the Madness of Crowds &amp; Confusion de Confusiones</b:Title>
    <b:Year>1996</b:Year>
    <b:City>New York, NY</b:City>
    <b:Publisher>John Wiley &amp; Sons, Inc.</b:Publisher>
    <b:RefOrder>70</b:RefOrder>
  </b:Source>
  <b:Source>
    <b:Tag>Mar071</b:Tag>
    <b:SourceType>Report</b:SourceType>
    <b:Guid>{27FFB6AB-2046-4113-ACB0-2DE10E1589BF}</b:Guid>
    <b:LCID>0</b:LCID>
    <b:Author>
      <b:Author>
        <b:NameList>
          <b:Person>
            <b:Last>Doms</b:Last>
            <b:First>Mark</b:First>
          </b:Person>
          <b:Person>
            <b:Last>Krainer</b:Last>
            <b:First>John</b:First>
          </b:Person>
        </b:NameList>
      </b:Author>
    </b:Author>
    <b:Title>Innovations in Mortgage Markets and Increased Spending on Housing</b:Title>
    <b:Year>2007</b:Year>
    <b:Publisher>Federal Reserve Bank of San Francisco</b:Publisher>
    <b:City>San Francisco, CA</b:City>
    <b:RefOrder>71</b:RefOrder>
  </b:Source>
  <b:Source>
    <b:Tag>Joh04</b:Tag>
    <b:SourceType>JournalArticle</b:SourceType>
    <b:Guid>{55DD1D90-5931-49E0-9EC5-F3B4E1892C2D}</b:Guid>
    <b:LCID>0</b:LCID>
    <b:Author>
      <b:Author>
        <b:NameList>
          <b:Person>
            <b:Last>Krainer</b:Last>
            <b:First>John</b:First>
          </b:Person>
          <b:Person>
            <b:Last>Wei</b:Last>
            <b:First>Chishen</b:First>
          </b:Person>
        </b:NameList>
      </b:Author>
    </b:Author>
    <b:Title>House Prices and Fundamental Value</b:Title>
    <b:JournalName>FRBSF Economic Letter</b:JournalName>
    <b:Year>2004</b:Year>
    <b:Pages>4</b:Pages>
    <b:RefOrder>72</b:RefOrder>
  </b:Source>
  <b:Source>
    <b:Tag>Mor03</b:Tag>
    <b:SourceType>Report</b:SourceType>
    <b:Guid>{4841BD7D-C3FD-468C-AAF5-1B52F906AA55}</b:Guid>
    <b:LCID>0</b:LCID>
    <b:Author>
      <b:Author>
        <b:NameList>
          <b:Person>
            <b:Last>Davis</b:Last>
            <b:First>Morris</b:First>
          </b:Person>
          <b:Person>
            <b:Last>Heathcote</b:Last>
            <b:First>Jonathan</b:First>
          </b:Person>
        </b:NameList>
      </b:Author>
    </b:Author>
    <b:Title>Housing and the Business Cycle</b:Title>
    <b:Year>2003</b:Year>
    <b:Publisher>Board of Governors of the Federal Reserve System</b:Publisher>
    <b:City>Washington, DC</b:City>
    <b:RefOrder>73</b:RefOrder>
  </b:Source>
  <b:Source>
    <b:Tag>Dan91</b:Tag>
    <b:SourceType>JournalArticle</b:SourceType>
    <b:Guid>{C2DC7908-B0A9-4994-9755-A9A96CC75913}</b:Guid>
    <b:LCID>0</b:LCID>
    <b:Author>
      <b:Author>
        <b:NameList>
          <b:Person>
            <b:Last>Kahneman</b:Last>
            <b:First>Daniel</b:First>
          </b:Person>
          <b:Person>
            <b:Last>Knetsch</b:Last>
            <b:First>Jack</b:First>
            <b:Middle>L.</b:Middle>
          </b:Person>
          <b:Person>
            <b:Last>Thaler</b:Last>
            <b:First>Richard</b:First>
            <b:Middle>H.</b:Middle>
          </b:Person>
        </b:NameList>
      </b:Author>
    </b:Author>
    <b:Title>The Endowment Effect, Loss Aversion, and Status Quo Bias</b:Title>
    <b:Year>1991</b:Year>
    <b:JournalName>The Journal of Economic Perspectives</b:JournalName>
    <b:Pages>15</b:Pages>
    <b:RefOrder>74</b:RefOrder>
  </b:Source>
  <b:Source>
    <b:Tag>Jos061</b:Tag>
    <b:SourceType>Report</b:SourceType>
    <b:Guid>{1E5526E4-D312-4E7B-92DC-84F975609DCB}</b:Guid>
    <b:LCID>0</b:LCID>
    <b:Author>
      <b:Author>
        <b:NameList>
          <b:Person>
            <b:Last>Haubrich</b:Last>
            <b:First>Joseph</b:First>
            <b:Middle>G.</b:Middle>
          </b:Person>
          <b:Person>
            <b:Last>Lucas</b:Last>
            <b:First>Deborah</b:First>
          </b:Person>
        </b:NameList>
      </b:Author>
    </b:Author>
    <b:Title>Who holds the toxic waste? An investigation of CMO holdings</b:Title>
    <b:Year>2006</b:Year>
    <b:Publisher>Federal Reserve Bank of Cleveland</b:Publisher>
    <b:City>Cleveland, OH</b:City>
    <b:RefOrder>75</b:RefOrder>
  </b:Source>
  <b:Source>
    <b:Tag>Kar04</b:Tag>
    <b:SourceType>Report</b:SourceType>
    <b:Guid>{BAC475DD-AF9C-4658-AF27-0606BB757FA8}</b:Guid>
    <b:LCID>0</b:LCID>
    <b:Author>
      <b:Author>
        <b:NameList>
          <b:Person>
            <b:Last>Case</b:Last>
            <b:First>Karl</b:First>
            <b:Middle>E.</b:Middle>
          </b:Person>
          <b:Person>
            <b:Last>Shiller</b:Last>
            <b:First>Robert</b:First>
            <b:Middle>J.</b:Middle>
          </b:Person>
        </b:NameList>
      </b:Author>
    </b:Author>
    <b:Title>Is There a Bubble in the Housing Market</b:Title>
    <b:Year>2004</b:Year>
    <b:Publisher>Cowles Foundation for Research in Economics, Yale University</b:Publisher>
    <b:City>New Haven, CT</b:City>
    <b:RefOrder>76</b:RefOrder>
  </b:Source>
  <b:Source>
    <b:Tag>Ken98</b:Tag>
    <b:SourceType>JournalArticle</b:SourceType>
    <b:Guid>{CABE8692-13C3-443B-9673-CBABA7BE9DC8}</b:Guid>
    <b:LCID>0</b:LCID>
    <b:Author>
      <b:Author>
        <b:NameList>
          <b:Person>
            <b:Last>Daniel</b:Last>
            <b:First>Kent</b:First>
          </b:Person>
          <b:Person>
            <b:Last>Hirshleifer</b:Last>
            <b:First>David</b:First>
          </b:Person>
          <b:Person>
            <b:Last>Subrahmanyam</b:Last>
            <b:First>Avanidhar</b:First>
          </b:Person>
        </b:NameList>
      </b:Author>
    </b:Author>
    <b:Title>Ivestor Psychology and Security Market Under- and Overreactions</b:Title>
    <b:Year>1998</b:Year>
    <b:Pages>58</b:Pages>
    <b:RefOrder>77</b:RefOrder>
  </b:Source>
  <b:Source>
    <b:Tag>Har06</b:Tag>
    <b:SourceType>Book</b:SourceType>
    <b:Guid>{EB268F42-785C-4F65-AB06-AFDADCEED03C}</b:Guid>
    <b:LCID>0</b:LCID>
    <b:Author>
      <b:Author>
        <b:NameList>
          <b:Person>
            <b:Last>Dent</b:Last>
            <b:First>Harry</b:First>
            <b:Middle>S.</b:Middle>
          </b:Person>
        </b:NameList>
      </b:Author>
    </b:Author>
    <b:Title>The Next Great Bubble Boom</b:Title>
    <b:Year>2006</b:Year>
    <b:City>New York, NY</b:City>
    <b:Publisher>Free Press</b:Publisher>
    <b:RefOrder>78</b:RefOrder>
  </b:Source>
  <b:Source>
    <b:Tag>Kar88</b:Tag>
    <b:SourceType>Report</b:SourceType>
    <b:Guid>{1AEA3A75-DA99-4CBB-B930-D0FB08A69779}</b:Guid>
    <b:LCID>0</b:LCID>
    <b:Author>
      <b:Author>
        <b:NameList>
          <b:Person>
            <b:Last>Case</b:Last>
            <b:First>Karl</b:First>
            <b:Middle>E.</b:Middle>
          </b:Person>
          <b:Person>
            <b:Last>Shiller</b:Last>
            <b:First>Robert</b:First>
            <b:Middle>J.</b:Middle>
          </b:Person>
        </b:NameList>
      </b:Author>
    </b:Author>
    <b:Title>The Behavior of Home Buyers in Boom and Post-Boom Markets</b:Title>
    <b:Year>1988</b:Year>
    <b:Publisher>Cowles Foundation for Research in Economics, Yale University</b:Publisher>
    <b:City>New Haven, CT</b:City>
    <b:RefOrder>79</b:RefOrder>
  </b:Source>
  <b:Source>
    <b:Tag>Kri07</b:Tag>
    <b:SourceType>Report</b:SourceType>
    <b:Guid>{6DB4A97C-C1E2-46EF-9C37-7E029CD296E1}</b:Guid>
    <b:LCID>0</b:LCID>
    <b:Author>
      <b:Author>
        <b:NameList>
          <b:Person>
            <b:Last>Gerardi</b:Last>
            <b:First>Kristopher</b:First>
          </b:Person>
          <b:Person>
            <b:Last>Shapiro</b:Last>
            <b:First>Adam</b:First>
            <b:Middle>Hale</b:Middle>
          </b:Person>
          <b:Person>
            <b:Last>Willen</b:Last>
            <b:First>Paul</b:First>
            <b:Middle>S.</b:Middle>
          </b:Person>
        </b:NameList>
      </b:Author>
    </b:Author>
    <b:Title>Subprime Outcomes: Risky Mortgages, Homeownership Experience, and Forclosures</b:Title>
    <b:Year>2007</b:Year>
    <b:Publisher>Federal Reserve Bank of Boston</b:Publisher>
    <b:City>Boston, MA</b:City>
    <b:RefOrder>80</b:RefOrder>
  </b:Source>
  <b:Source>
    <b:Tag>Mat07</b:Tag>
    <b:SourceType>Report</b:SourceType>
    <b:Guid>{6F9C28C6-B1E5-4D60-851A-5CB73231F5D5}</b:Guid>
    <b:LCID>0</b:LCID>
    <b:Author>
      <b:Author>
        <b:NameList>
          <b:Person>
            <b:Last>Chambers</b:Last>
            <b:First>Matthew</b:First>
          </b:Person>
          <b:Person>
            <b:Last>Garriga</b:Last>
            <b:First>Carlos</b:First>
          </b:Person>
          <b:Person>
            <b:Last>Schlagenhauf</b:Last>
            <b:First>Don</b:First>
            <b:Middle>E.</b:Middle>
          </b:Person>
        </b:NameList>
      </b:Author>
    </b:Author>
    <b:Title>Accounting for Changes in the Homeownership Rate</b:Title>
    <b:Year>2007</b:Year>
    <b:Publisher>Federal Reserve Bank of St. Louis</b:Publisher>
    <b:City>St. Louis, MO</b:City>
    <b:RefOrder>81</b:RefOrder>
  </b:Source>
  <b:Source>
    <b:Tag>Mat071</b:Tag>
    <b:SourceType>Report</b:SourceType>
    <b:Guid>{DED91263-F059-440D-BE68-CD0B005FCEC9}</b:Guid>
    <b:LCID>0</b:LCID>
    <b:Author>
      <b:Author>
        <b:NameList>
          <b:Person>
            <b:Last>Chambers</b:Last>
            <b:First>Matthew</b:First>
            <b:Middle>S.</b:Middle>
          </b:Person>
          <b:Person>
            <b:Last>Garriga</b:Last>
            <b:First>Carlos</b:First>
          </b:Person>
          <b:Person>
            <b:Last>Schlagenhauf</b:Last>
            <b:First>Don</b:First>
          </b:Person>
        </b:NameList>
      </b:Author>
    </b:Author>
    <b:Title>Mortgage Contracts and Housing Tenure Decisions</b:Title>
    <b:Year>2007</b:Year>
    <b:City>St. Louis, MO</b:City>
    <b:Publisher>Federal Reserve Bank of St. Louis</b:Publisher>
    <b:RefOrder>82</b:RefOrder>
  </b:Source>
  <b:Source>
    <b:Tag>Rob981</b:Tag>
    <b:SourceType>ConferenceProceedings</b:SourceType>
    <b:Guid>{22DD6593-D557-42A9-8200-A15C6E69145C}</b:Guid>
    <b:LCID>0</b:LCID>
    <b:Author>
      <b:Author>
        <b:NameList>
          <b:Person>
            <b:Last>Shiller</b:Last>
            <b:First>Robert</b:First>
            <b:Middle>J.</b:Middle>
          </b:Person>
          <b:Person>
            <b:Last>N.Weiss</b:Last>
            <b:First>Allan</b:First>
          </b:Person>
        </b:NameList>
      </b:Author>
    </b:Author>
    <b:Title>Moral Hazard in Home Equity Conversion</b:Title>
    <b:Pages>29</b:Pages>
    <b:Year>1998</b:Year>
    <b:ConferenceName>AREUEA–ASSA session</b:ConferenceName>
    <b:City>Chicago Illinois</b:City>
    <b:Publisher>AREUEA–ASSA session</b:Publisher>
    <b:RefOrder>83</b:RefOrder>
  </b:Source>
  <b:Source>
    <b:Tag>Ric07</b:Tag>
    <b:SourceType>ConferenceProceedings</b:SourceType>
    <b:Guid>{7FEF3555-25F0-484A-86FA-D32CECDA3BAE}</b:Guid>
    <b:LCID>0</b:LCID>
    <b:Author>
      <b:Author>
        <b:NameList>
          <b:Person>
            <b:Last>Green</b:Last>
            <b:First>Richard</b:First>
            <b:Middle>K.</b:Middle>
          </b:Person>
          <b:Person>
            <b:Last>Wachter</b:Last>
            <b:First>Susan</b:First>
            <b:Middle>M.</b:Middle>
          </b:Person>
        </b:NameList>
      </b:Author>
    </b:Author>
    <b:Title>Praveen Kujal1 and Vernon L. Smith</b:Title>
    <b:Year>2007</b:Year>
    <b:Publisher>Federal Reserve Bank of Kansas City</b:Publisher>
    <b:City>Jackson Hole, Wyoming</b:City>
    <b:Pages>64</b:Pages>
    <b:ConferenceName>Housing, Housing Finance &amp; Monetary Policy</b:ConferenceName>
    <b:RefOrder>84</b:RefOrder>
  </b:Source>
  <b:Source>
    <b:Tag>Jon04</b:Tag>
    <b:SourceType>Report</b:SourceType>
    <b:Guid>{A75CE267-C5AE-4DEF-9A7F-13648B4716F5}</b:Guid>
    <b:LCID>0</b:LCID>
    <b:Author>
      <b:Author>
        <b:NameList>
          <b:Person>
            <b:Last>McCarthy</b:Last>
            <b:First>Jonathan</b:First>
          </b:Person>
          <b:Person>
            <b:Last>Peach</b:Last>
            <b:First>Richard</b:First>
            <b:Middle>W.</b:Middle>
          </b:Person>
        </b:NameList>
      </b:Author>
    </b:Author>
    <b:Title>Are Home Prices the Next Bubble</b:Title>
    <b:Year>2004</b:Year>
    <b:Publisher>Federal Reserve Bank of New York</b:Publisher>
    <b:City>New York, NY</b:City>
    <b:RefOrder>85</b:RefOrder>
  </b:Source>
  <b:Source>
    <b:Tag>Jon05</b:Tag>
    <b:SourceType>Report</b:SourceType>
    <b:Guid>{2026307C-E457-4ECC-82FD-9D2A42353750}</b:Guid>
    <b:LCID>0</b:LCID>
    <b:Author>
      <b:Author>
        <b:NameList>
          <b:Person>
            <b:Last>Fisher</b:Last>
            <b:First>Jonas</b:First>
            <b:Middle>D. M.</b:Middle>
          </b:Person>
          <b:Person>
            <b:Last>Quayyum</b:Last>
            <b:First>Saad</b:First>
          </b:Person>
        </b:NameList>
      </b:Author>
    </b:Author>
    <b:Title>The great turn-of-the-century housing boom</b:Title>
    <b:Year>2005</b:Year>
    <b:Publisher>Federal Reserve Bank of Chicago</b:Publisher>
    <b:City>Chicago, IL</b:City>
    <b:RefOrder>86</b:RefOrder>
  </b:Source>
  <b:Source>
    <b:Tag>Ros06</b:Tag>
    <b:SourceType>JournalArticle</b:SourceType>
    <b:Guid>{D24BAAB7-0866-4F63-A46A-A8C2E276AC36}</b:Guid>
    <b:LCID>0</b:LCID>
    <b:Author>
      <b:Author>
        <b:NameList>
          <b:Person>
            <b:Last>Haines</b:Last>
            <b:First>Cabray</b:First>
            <b:Middle>L.</b:Middle>
          </b:Person>
          <b:Person>
            <b:Last>Rosen</b:Last>
            <b:First>Richard</b:First>
            <b:Middle>J.</b:Middle>
          </b:Person>
        </b:NameList>
      </b:Author>
    </b:Author>
    <b:Title>Bubble, bubble, toil, and trouble</b:Title>
    <b:Year>2006</b:Year>
    <b:JournalName>Economic Perspectives</b:JournalName>
    <b:Pages>35</b:Pages>
    <b:RefOrder>87</b:RefOrder>
  </b:Source>
  <b:Source>
    <b:Tag>Yon06</b:Tag>
    <b:SourceType>JournalArticle</b:SourceType>
    <b:Guid>{3160CA88-3AC8-465C-8C43-9B389032D739}</b:Guid>
    <b:LCID>0</b:LCID>
    <b:Author>
      <b:Author>
        <b:NameList>
          <b:Person>
            <b:Last>Deng</b:Last>
            <b:First>Yongheng</b:First>
          </b:Person>
          <b:Person>
            <b:Last>Gabriel</b:Last>
            <b:First>Stuart</b:First>
          </b:Person>
        </b:NameList>
      </b:Author>
    </b:Author>
    <b:Title>Risk-Based Pricing and the Enhancement of Mortgage Credit Availability among Underserved and Higher Credit-Risk Populations.</b:Title>
    <b:Pages>1431+</b:Pages>
    <b:Year>2006</b:Year>
    <b:JournalName>Journal of Money</b:JournalName>
    <b:RefOrder>88</b:RefOrder>
  </b:Source>
  <b:Source>
    <b:Tag>Smi03</b:Tag>
    <b:SourceType>Report</b:SourceType>
    <b:Guid>{175C0A55-2CF5-458E-88E9-5D366AD00904}</b:Guid>
    <b:LCID>0</b:LCID>
    <b:Author>
      <b:Author>
        <b:NameList>
          <b:Person>
            <b:Last>Kujal</b:Last>
            <b:First>Praveen</b:First>
          </b:Person>
          <b:Person>
            <b:Last>Smith</b:Last>
            <b:First>Vernon</b:First>
            <b:Middle>L.</b:Middle>
          </b:Person>
        </b:NameList>
      </b:Author>
    </b:Author>
    <b:Title>Fairness and Short Run Price Adjustment in Posted Offer Markets</b:Title>
    <b:Year>2003</b:Year>
    <b:Publisher>University of Carlos III De Madrid</b:Publisher>
    <b:City>Madrid, Spain</b:City>
    <b:RefOrder>89</b:RefOrder>
  </b:Source>
  <b:Source>
    <b:Tag>Sou06</b:Tag>
    <b:SourceType>Report</b:SourceType>
    <b:Guid>{48527BC6-F1E2-4E39-951F-2095DD879691}</b:Guid>
    <b:LCID>0</b:LCID>
    <b:Author>
      <b:Author>
        <b:NameList>
          <b:Person>
            <b:Last>Chomsisengphet</b:Last>
            <b:First>Souphala</b:First>
          </b:Person>
          <b:Person>
            <b:Last>Pennington-Cross</b:Last>
            <b:First>Anthony</b:First>
          </b:Person>
        </b:NameList>
      </b:Author>
    </b:Author>
    <b:Title>Subprime Refinancing: Equity Extraction and Mortgage Termination</b:Title>
    <b:Year>2006</b:Year>
    <b:Publisher>Federal Reserve Bank of St. Louis</b:Publisher>
    <b:City>St. Louis, MO</b:City>
    <b:RefOrder>90</b:RefOrder>
  </b:Source>
  <b:Source>
    <b:Tag>Pra91</b:Tag>
    <b:SourceType>Report</b:SourceType>
    <b:Guid>{77C6FA77-8A97-4CEE-B16A-097DA953B617}</b:Guid>
    <b:LCID>0</b:LCID>
    <b:Author>
      <b:Author>
        <b:NameList>
          <b:Person>
            <b:Last>Kujal</b:Last>
            <b:First>Praveen</b:First>
          </b:Person>
          <b:Person>
            <b:Last>Smith</b:Last>
            <b:First>Vernon</b:First>
            <b:Middle>L.</b:Middle>
          </b:Person>
        </b:NameList>
      </b:Author>
    </b:Author>
    <b:Title>The Endowment Effect</b:Title>
    <b:Year>1991</b:Year>
    <b:Publisher>Universidad Carlos III De Madrid</b:Publisher>
    <b:City>Madrid, Spain</b:City>
    <b:RefOrder>91</b:RefOrder>
  </b:Source>
  <b:Source>
    <b:Tag>Ver92</b:Tag>
    <b:SourceType>Report</b:SourceType>
    <b:Guid>{238B3627-2E77-4833-86BB-638101533D98}</b:Guid>
    <b:LCID>0</b:LCID>
    <b:Author>
      <b:Author>
        <b:NameList>
          <b:Person>
            <b:Last>Smith</b:Last>
            <b:First>Vernon</b:First>
            <b:Middle>L.</b:Middle>
          </b:Person>
          <b:Person>
            <b:Last>Porter</b:Last>
            <b:First>David</b:First>
          </b:Person>
        </b:NameList>
      </b:Author>
    </b:Author>
    <b:Title>Price Expectations in Experimental Asset Markets with Futures Contracting</b:Title>
    <b:Year>1992</b:Year>
    <b:Publisher>California Institute of Technology</b:Publisher>
    <b:City>Pasadena, CA</b:City>
    <b:RefOrder>92</b:RefOrder>
  </b:Source>
  <b:Source>
    <b:Tag>The04</b:Tag>
    <b:SourceType>Report</b:SourceType>
    <b:Guid>{613C4C19-D437-426E-A1FE-5EBFCBB193A3}</b:Guid>
    <b:LCID>0</b:LCID>
    <b:Author>
      <b:Author>
        <b:NameList>
          <b:Person>
            <b:Last>Crone</b:Last>
            <b:First>Theodore</b:First>
            <b:Middle>M.</b:Middle>
          </b:Person>
          <b:Person>
            <b:Last>Nakamura</b:Last>
            <b:First>Leonard</b:First>
            <b:Middle>I.</b:Middle>
          </b:Person>
        </b:NameList>
      </b:Author>
    </b:Author>
    <b:Title>Hedonic Estimates of the Cost of Housing Services -- Rental and Owner-Occupied Units</b:Title>
    <b:Year>2004</b:Year>
    <b:Publisher>Federal Reserve Bank of Philadelphia</b:Publisher>
    <b:City>Philadelphia, PA</b:City>
    <b:RefOrder>93</b:RefOrder>
  </b:Source>
  <b:Source>
    <b:Tag>Sus06</b:Tag>
    <b:SourceType>JournalArticle</b:SourceType>
    <b:Guid>{0AD2AC6F-9623-4B01-8183-B89062D8DB4F}</b:Guid>
    <b:LCID>0</b:LCID>
    <b:Author>
      <b:Author>
        <b:NameList>
          <b:Person>
            <b:Last>Cannon</b:Last>
            <b:First>Susanne</b:First>
          </b:Person>
          <b:Person>
            <b:Last>Miller</b:Last>
            <b:First>Norman</b:First>
            <b:Middle>G.</b:Middle>
          </b:Person>
          <b:Person>
            <b:Last>Pandher</b:Last>
            <b:First>Gurupdesh</b:First>
            <b:Middle>S.</b:Middle>
          </b:Person>
        </b:NameList>
      </b:Author>
    </b:Author>
    <b:Title>Risk and Return in the U.S. Housing Market: A Cross-Sectional Asset-Pricing Approach.</b:Title>
    <b:JournalName>Real Estate Economics</b:JournalName>
    <b:Year>2006</b:Year>
    <b:Pages>519+</b:Pages>
    <b:RefOrder>94</b:RefOrder>
  </b:Source>
  <b:Source>
    <b:Tag>Tho03</b:Tag>
    <b:SourceType>JournalArticle</b:SourceType>
    <b:Guid>{EA88EE41-C266-4158-B95D-F5AFB5593CEC}</b:Guid>
    <b:LCID>0</b:LCID>
    <b:Author>
      <b:Author>
        <b:NameList>
          <b:Person>
            <b:Last>Helbling</b:Last>
            <b:First>Thomas</b:First>
          </b:Person>
          <b:Person>
            <b:Last>Conover</b:Last>
            <b:First>Emily</b:First>
          </b:Person>
          <b:Person>
            <b:Last>Terrones</b:Last>
            <b:First>Marco</b:First>
          </b:Person>
        </b:NameList>
      </b:Author>
    </b:Author>
    <b:Title>Chapter II: When Bubbles Burst.</b:Title>
    <b:JournalName>World Economic Outlook</b:JournalName>
    <b:Year>2003</b:Year>
    <b:Pages>61+</b:Pages>
    <b:RefOrder>95</b:RefOrder>
  </b:Source>
  <b:Source>
    <b:Tag>Rob05</b:Tag>
    <b:SourceType>Report</b:SourceType>
    <b:Guid>{FD5FA9FC-E178-4792-82FC-FB0EBF6E0B24}</b:Guid>
    <b:LCID>0</b:LCID>
    <b:Author>
      <b:Author>
        <b:NameList>
          <b:Person>
            <b:Last>Poole</b:Last>
            <b:First>Robert</b:First>
          </b:Person>
          <b:Person>
            <b:Last>Ptacek</b:Last>
            <b:First>Frank</b:First>
          </b:Person>
          <b:Person>
            <b:Last>Verbrugge</b:Last>
            <b:First>Randal</b:First>
          </b:Person>
        </b:NameList>
      </b:Author>
    </b:Author>
    <b:Title>Treatment of Owner-Occupied Housing in the CPI</b:Title>
    <b:Pages>55</b:Pages>
    <b:Year>2005</b:Year>
    <b:City>Washington, DC</b:City>
    <b:Publisher>Federal Economic Statistics Advisory Committee</b:Publisher>
    <b:RefOrder>96</b:RefOrder>
  </b:Source>
  <b:Source>
    <b:Tag>Ric08</b:Tag>
    <b:SourceType>Report</b:SourceType>
    <b:Guid>{37AAE911-9F4B-4F7E-ACF1-94EC009482AC}</b:Guid>
    <b:LCID>0</b:LCID>
    <b:Author>
      <b:Author>
        <b:NameList>
          <b:Person>
            <b:Last>Anderson</b:Last>
            <b:First>Richard</b:First>
            <b:Middle>G.</b:Middle>
          </b:Person>
          <b:Person>
            <b:Last>Gascon</b:Last>
            <b:First>Charles</b:First>
            <b:Middle>S.</b:Middle>
          </b:Person>
        </b:NameList>
      </b:Author>
    </b:Author>
    <b:Title>Offshoring, Economic Insecurity, and the Demand for Social Insurance</b:Title>
    <b:Year>2008</b:Year>
    <b:Publisher>Federal Reserve Bank of St. Louis</b:Publisher>
    <b:City>St, Louis, MO</b:City>
    <b:RefOrder>97</b:RefOrder>
  </b:Source>
  <b:Source>
    <b:Tag>Ang06</b:Tag>
    <b:SourceType>JournalArticle</b:SourceType>
    <b:Guid>{F89CF0CE-63BB-40C1-9EB2-59AB71CDCB30}</b:Guid>
    <b:LCID>0</b:LCID>
    <b:Author>
      <b:Author>
        <b:NameList>
          <b:Person>
            <b:Last>Black</b:Last>
            <b:First>Angela</b:First>
          </b:Person>
          <b:Person>
            <b:Last>Fraser</b:Last>
            <b:First>Patricia</b:First>
          </b:Person>
          <b:Person>
            <b:Last>Hoesli</b:Last>
            <b:First>Martin</b:First>
          </b:Person>
        </b:NameList>
      </b:Author>
    </b:Author>
    <b:Title>House Prices, Fuindamentals and Bubbles</b:Title>
    <b:Year>2006</b:Year>
    <b:JournalName>Journal of Business Finance &amp; Accounting</b:JournalName>
    <b:Pages>1535+</b:Pages>
    <b:RefOrder>98</b:RefOrder>
  </b:Source>
  <b:Source>
    <b:Tag>Tve91</b:Tag>
    <b:SourceType>JournalArticle</b:SourceType>
    <b:Guid>{BFAC5739-3229-433C-86BB-7020AA213E07}</b:Guid>
    <b:LCID>0</b:LCID>
    <b:Author>
      <b:Author>
        <b:NameList>
          <b:Person>
            <b:Last>Tversky</b:Last>
            <b:First>Amos</b:First>
          </b:Person>
          <b:Person>
            <b:Last>Kahneman</b:Last>
            <b:First>Daniel</b:First>
          </b:Person>
        </b:NameList>
      </b:Author>
    </b:Author>
    <b:Title>Loss Aversion in Riskless Choice: A Reference-Dependent Model</b:Title>
    <b:Year>1991</b:Year>
    <b:JournalName>The Quarterly Journal of Economics</b:JournalName>
    <b:Pages>27</b:Pages>
    <b:RefOrder>99</b:RefOrder>
  </b:Source>
  <b:Source>
    <b:Tag>Nas07</b:Tag>
    <b:SourceType>Book</b:SourceType>
    <b:Guid>{A7550126-FAEB-4E10-AEF5-71C574C9FDEE}</b:Guid>
    <b:LCID>0</b:LCID>
    <b:Author>
      <b:Author>
        <b:NameList>
          <b:Person>
            <b:Last>Taleb</b:Last>
            <b:First>Nassim</b:First>
            <b:Middle>Nicholas</b:Middle>
          </b:Person>
        </b:NameList>
      </b:Author>
    </b:Author>
    <b:Title>The Black Swan: The Impact of the Highly Improbable</b:Title>
    <b:Year>2007</b:Year>
    <b:City>New York, NY</b:City>
    <b:Publisher>Random House</b:Publisher>
    <b:RefOrder>100</b:RefOrder>
  </b:Source>
  <b:Source>
    <b:Tag>Lea07</b:Tag>
    <b:SourceType>ConferenceProceedings</b:SourceType>
    <b:Guid>{890BF50F-1AB2-46CC-AF8E-E241CFC8A8C5}</b:Guid>
    <b:LCID>0</b:LCID>
    <b:Author>
      <b:Author>
        <b:NameList>
          <b:Person>
            <b:Last>Leamer</b:Last>
            <b:First>Edward</b:First>
            <b:Middle>E.</b:Middle>
          </b:Person>
        </b:NameList>
      </b:Author>
    </b:Author>
    <b:Title>Housing Is the Business Cycle</b:Title>
    <b:Year>2007</b:Year>
    <b:Pages>73</b:Pages>
    <b:ConferenceName>Housing, Housing Finance, and Monetary Policy</b:ConferenceName>
    <b:City>Jackson Hole, Wyoming</b:City>
    <b:Publisher>Federal Reserve Bank of Kansas City</b:Publisher>
    <b:RefOrder>101</b:RefOrder>
  </b:Source>
  <b:Source>
    <b:Tag>Mue07</b:Tag>
    <b:SourceType>ConferenceProceedings</b:SourceType>
    <b:Guid>{03885D67-9CB6-4C4B-9158-A31086FBE31F}</b:Guid>
    <b:LCID>0</b:LCID>
    <b:Author>
      <b:Author>
        <b:NameList>
          <b:Person>
            <b:Last>Muellbauer</b:Last>
            <b:First>John</b:First>
          </b:Person>
        </b:NameList>
      </b:Author>
    </b:Author>
    <b:Title>Housing, Credit and Consumer Expeditures</b:Title>
    <b:Year>2007</b:Year>
    <b:City>Jackson Hole, WY</b:City>
    <b:Publisher>Federal Reserve Bank of Kansas City </b:Publisher>
    <b:Pages>63</b:Pages>
    <b:ConferenceName>Housing, Housing Finance, and Monetary Policy</b:ConferenceName>
    <b:RefOrder>102</b:RefOrder>
  </b:Source>
  <b:Source>
    <b:Tag>Ear04</b:Tag>
    <b:SourceType>Report</b:SourceType>
    <b:Guid>{268520E3-E386-4FB8-A892-87A2D8097A36}</b:Guid>
    <b:LCID>0</b:LCID>
    <b:Author>
      <b:Author>
        <b:NameList>
          <b:Person>
            <b:Last>Thompson</b:Last>
            <b:First>Earl</b:First>
            <b:Middle>A.</b:Middle>
          </b:Person>
          <b:Person>
            <b:Last>Treussard</b:Last>
            <b:First>Jonathan</b:First>
          </b:Person>
          <b:Person>
            <b:Last>Hickson</b:Last>
            <b:First>Charles</b:First>
            <b:Middle>R.</b:Middle>
          </b:Person>
        </b:NameList>
      </b:Author>
    </b:Author>
    <b:Title>Predicting Bubbles and Bubble-Substitutes</b:Title>
    <b:Year>2004</b:Year>
    <b:Publisher>Department of Economics UCLA</b:Publisher>
    <b:City>Los Angeles, CA</b:City>
    <b:RefOrder>103</b:RefOrder>
  </b:Source>
  <b:Source>
    <b:Tag>Dav92</b:Tag>
    <b:SourceType>Report</b:SourceType>
    <b:Guid>{052AFCDE-0F6F-4882-89F5-FF27B5BDDC7D}</b:Guid>
    <b:LCID>0</b:LCID>
    <b:Author>
      <b:Author>
        <b:NameList>
          <b:Person>
            <b:Last>Porter</b:Last>
            <b:First>David</b:First>
          </b:Person>
          <b:Person>
            <b:Last>Smith</b:Last>
            <b:First>Vernon</b:First>
          </b:Person>
        </b:NameList>
      </b:Author>
    </b:Author>
    <b:Title>Price Expectations in Experimental Asset Markets with Futures Contracting</b:Title>
    <b:Year>1992</b:Year>
    <b:Publisher>California Institute of Technology</b:Publisher>
    <b:City>Pasadena, CA</b:City>
    <b:RefOrder>104</b:RefOrder>
  </b:Source>
  <b:Source>
    <b:Tag>Kah79</b:Tag>
    <b:SourceType>JournalArticle</b:SourceType>
    <b:Guid>{A69F6259-1C51-4D72-818A-EB20E58B2112}</b:Guid>
    <b:LCID>0</b:LCID>
    <b:Author>
      <b:Author>
        <b:NameList>
          <b:Person>
            <b:Last>Kahneman</b:Last>
            <b:First>Daniel</b:First>
          </b:Person>
          <b:Person>
            <b:Last>Tversky</b:Last>
            <b:First>Amos</b:First>
          </b:Person>
        </b:NameList>
      </b:Author>
    </b:Author>
    <b:Title>Prospect Theory: An Analysis of Decision under Risk</b:Title>
    <b:Year>1979</b:Year>
    <b:JournalName>Econometrica</b:JournalName>
    <b:Pages>33</b:Pages>
    <b:RefOrder>105</b:RefOrder>
  </b:Source>
  <b:Source>
    <b:Tag>NGr89</b:Tag>
    <b:SourceType>JournalArticle</b:SourceType>
    <b:Guid>{A7012E19-09D2-4455-8EA5-FCCA3806A438}</b:Guid>
    <b:LCID>0</b:LCID>
    <b:Author>
      <b:Author>
        <b:NameList>
          <b:Person>
            <b:Last>Mankiw</b:Last>
            <b:First>N.</b:First>
            <b:Middle>Gregory</b:Middle>
          </b:Person>
          <b:Person>
            <b:Last>Weil</b:Last>
            <b:First>David</b:First>
            <b:Middle>N.</b:Middle>
          </b:Person>
        </b:NameList>
      </b:Author>
    </b:Author>
    <b:Title>The Baby Boom, the Baby Bust and the Housing Market</b:Title>
    <b:JournalName>Regional Science and Urban Economics</b:JournalName>
    <b:Year>1989</b:Year>
    <b:Pages>24</b:Pages>
    <b:RefOrder>106</b:RefOrder>
  </b:Source>
  <b:Source>
    <b:Tag>Ber99</b:Tag>
    <b:SourceType>Report</b:SourceType>
    <b:Guid>{DD824676-283A-4463-8B2A-B14DEEE664E9}</b:Guid>
    <b:LCID>0</b:LCID>
    <b:Author>
      <b:Author>
        <b:NameList>
          <b:Person>
            <b:Last>Bernanke</b:Last>
            <b:First>Ben</b:First>
            <b:Middle>S.</b:Middle>
          </b:Person>
        </b:NameList>
      </b:Author>
    </b:Author>
    <b:Title>Japanese Monetary Policy: A Case of Self-Induced Paralysis</b:Title>
    <b:JournalName>Institu</b:JournalName>
    <b:Year>1999</b:Year>
    <b:Publisher>Institute for International Economics</b:Publisher>
    <b:City>Washington, DC</b:City>
    <b:RefOrder>107</b:RefOrder>
  </b:Source>
  <b:Source>
    <b:Tag>Ada06</b:Tag>
    <b:SourceType>Report</b:SourceType>
    <b:Guid>{2A24CBE5-282C-4C16-ABFB-4200912890FD}</b:Guid>
    <b:LCID>0</b:LCID>
    <b:Author>
      <b:Author>
        <b:NameList>
          <b:Person>
            <b:Last>Posen</b:Last>
            <b:First>Adam</b:First>
          </b:Person>
        </b:NameList>
      </b:Author>
    </b:Author>
    <b:Title>Why Central Banks Should Not Burst Bubbles</b:Title>
    <b:Year>2006</b:Year>
    <b:Publisher>Institute for International Economics</b:Publisher>
    <b:City>Washington, DC</b:City>
    <b:RefOrder>108</b:RefOrder>
  </b:Source>
  <b:Source>
    <b:Tag>Ben00</b:Tag>
    <b:SourceType>Report</b:SourceType>
    <b:Guid>{3EF03FEF-0133-4828-96C6-92495BEDADDA}</b:Guid>
    <b:LCID>0</b:LCID>
    <b:Author>
      <b:Author>
        <b:NameList>
          <b:Person>
            <b:Last>Bernanke</b:Last>
            <b:First>Ben</b:First>
            <b:Middle>S.</b:Middle>
          </b:Person>
          <b:Person>
            <b:Last>Gertler</b:Last>
            <b:First>Mark</b:First>
          </b:Person>
        </b:NameList>
      </b:Author>
    </b:Author>
    <b:Title>Should Central Banks Respond to Movements in Asset Prices?</b:Title>
    <b:Year>2000</b:Year>
    <b:Publisher>Princeton University</b:Publisher>
    <b:City>Princeton, NJ </b:City>
    <b:RefOrder>109</b:RefOrder>
  </b:Source>
  <b:Source>
    <b:Tag>Ben02</b:Tag>
    <b:SourceType>Report</b:SourceType>
    <b:Guid>{10661ADE-ABD6-4091-BA8A-F085CB42488C}</b:Guid>
    <b:LCID>0</b:LCID>
    <b:Author>
      <b:Author>
        <b:NameList>
          <b:Person>
            <b:Last>Bernanke</b:Last>
            <b:First>Ben</b:First>
            <b:Middle>S.</b:Middle>
          </b:Person>
          <b:Person>
            <b:Last>Boivin</b:Last>
            <b:First>Jean</b:First>
          </b:Person>
        </b:NameList>
      </b:Author>
    </b:Author>
    <b:Title>Monetary Policy in a Data-Rich Environment</b:Title>
    <b:Year>2002</b:Year>
    <b:Publisher>Princeton University</b:Publisher>
    <b:City>Princeton, NJ</b:City>
    <b:RefOrder>110</b:RefOrder>
  </b:Source>
  <b:Source>
    <b:Tag>Ada03</b:Tag>
    <b:SourceType>Report</b:SourceType>
    <b:Guid>{62FB63DB-4329-4AF3-A016-D20D60D00ED5}</b:Guid>
    <b:LCID>0</b:LCID>
    <b:Author>
      <b:Author>
        <b:NameList>
          <b:Person>
            <b:Last>Posen</b:Last>
            <b:First>Adam</b:First>
            <b:Middle>S.</b:Middle>
          </b:Person>
        </b:NameList>
      </b:Author>
    </b:Author>
    <b:Title>It Takes more than a Bubble to Become Japan</b:Title>
    <b:Year>2003</b:Year>
    <b:Publisher>Institute for International Economics</b:Publisher>
    <b:City>Washington, DC</b:City>
    <b:RefOrder>111</b:RefOrder>
  </b:Source>
  <b:Source>
    <b:Tag>Ken01</b:Tag>
    <b:SourceType>Report</b:SourceType>
    <b:Guid>{E608D520-FB27-46A9-B52A-672E1F3537F0}</b:Guid>
    <b:LCID>0</b:LCID>
    <b:Author>
      <b:Author>
        <b:NameList>
          <b:Person>
            <b:Last>Kuttner</b:Last>
            <b:First>Kenneth</b:First>
            <b:Middle>N.</b:Middle>
          </b:Person>
          <b:Person>
            <b:Last>Posen</b:Last>
            <b:First>Adam</b:First>
            <b:Middle>S.</b:Middle>
          </b:Person>
        </b:NameList>
      </b:Author>
    </b:Author>
    <b:Title>Passive Savers and Fiscal Policy Effectiveness in Japan</b:Title>
    <b:Year>2001</b:Year>
    <b:Publisher>Institute for International Economics</b:Publisher>
    <b:City>Washington, DC</b:City>
    <b:RefOrder>112</b:RefOrder>
  </b:Source>
  <b:Source>
    <b:Tag>All08</b:Tag>
    <b:SourceType>Report</b:SourceType>
    <b:Guid>{90E395DB-FF0D-4603-826C-971D27F58A14}</b:Guid>
    <b:LCID>0</b:LCID>
    <b:Author>
      <b:Author>
        <b:NameList>
          <b:Person>
            <b:Last>Fishbein</b:Last>
            <b:First>Allen</b:First>
            <b:Middle>J.</b:Middle>
          </b:Person>
        </b:NameList>
      </b:Author>
    </b:Author>
    <b:Title>Piggyback Loans at the Trough: California Subprime Home Purchase and Refinance Lending in 2006</b:Title>
    <b:Year>2008</b:Year>
    <b:Publisher>Consumer Federation of America</b:Publisher>
    <b:City>Washington, D.C.</b:City>
    <b:RefOrder>113</b:RefOrder>
  </b:Source>
  <b:Source>
    <b:Tag>All06</b:Tag>
    <b:SourceType>Report</b:SourceType>
    <b:Guid>{C4696626-5BDB-4B28-884A-56FDD1B50407}</b:Guid>
    <b:LCID>0</b:LCID>
    <b:Author>
      <b:Author>
        <b:NameList>
          <b:Person>
            <b:Last>Fishbein</b:Last>
            <b:First>Allen</b:First>
            <b:Middle>J.</b:Middle>
          </b:Person>
          <b:Person>
            <b:Last>Woodall</b:Last>
            <b:First>Patrick</b:First>
          </b:Person>
        </b:NameList>
      </b:Author>
    </b:Author>
    <b:Title>Exotic or Toxic? An Examination of the Non-Traditional Mortgage Market for Consumers and Lenders</b:Title>
    <b:Year>2006 </b:Year>
    <b:Publisher>Consumer Federation of America</b:Publisher>
    <b:City>Washington, D.C.</b:City>
    <b:RefOrder>114</b:RefOrder>
  </b:Source>
  <b:Source>
    <b:Tag>Mor06</b:Tag>
    <b:SourceType>Report</b:SourceType>
    <b:Guid>{CC15823D-CD86-405C-8D67-578ECDC94F4F}</b:Guid>
    <b:LCID>0</b:LCID>
    <b:Author>
      <b:Author>
        <b:NameList>
          <b:Person>
            <b:Last>Davis</b:Last>
            <b:First>Morris</b:First>
            <b:Middle>A.</b:Middle>
          </b:Person>
          <b:Person>
            <b:Last>Palumbo</b:Last>
            <b:First>Michael</b:First>
            <b:Middle>G.</b:Middle>
          </b:Person>
        </b:NameList>
      </b:Author>
    </b:Author>
    <b:Title>The Price of Residential Land in Large U.S. Cities</b:Title>
    <b:Year>2006</b:Year>
    <b:Publisher>Federal Reserve Board</b:Publisher>
    <b:City>Washington, D.C.</b:City>
    <b:RefOrder>115</b:RefOrder>
  </b:Source>
  <b:Source>
    <b:Tag>Han95</b:Tag>
    <b:SourceType>Book</b:SourceType>
    <b:Guid>{22F3FC15-F035-4256-A454-5C290B2B38C1}</b:Guid>
    <b:LCID>0</b:LCID>
    <b:Author>
      <b:Author>
        <b:NameList>
          <b:Person>
            <b:Last>Haney</b:Last>
            <b:First>Richard</b:First>
            <b:Middle>L.</b:Middle>
          </b:Person>
          <b:Person>
            <b:Last>Berens</b:Last>
            <b:First>Gayle</b:First>
          </b:Person>
          <b:Person>
            <b:Last>Miles</b:Last>
            <b:First>Mike</b:First>
            <b:Middle>E.</b:Middle>
          </b:Person>
        </b:NameList>
      </b:Author>
    </b:Author>
    <b:Title>Real Estate Development: Principles and Process</b:Title>
    <b:Year>1995</b:Year>
    <b:Publisher>Urban Land Institute</b:Publisher>
    <b:City>Washington, D.C.</b:City>
    <b:RefOrder>116</b:RefOrder>
  </b:Source>
  <b:Source>
    <b:Tag>Jam97</b:Tag>
    <b:SourceType>Book</b:SourceType>
    <b:Guid>{31BE66F0-50BE-45B2-9CB0-ACF4FA3D5823}</b:Guid>
    <b:LCID>0</b:LCID>
    <b:Author>
      <b:Author>
        <b:NameList>
          <b:Person>
            <b:Last>Boykin</b:Last>
            <b:First>James</b:First>
            <b:Middle>H.</b:Middle>
          </b:Person>
          <b:Person>
            <b:Last>Haney</b:Last>
            <b:First>Richard</b:First>
            <b:Middle>L.</b:Middle>
          </b:Person>
        </b:NameList>
      </b:Author>
    </b:Author>
    <b:Title>Financing Real Estate</b:Title>
    <b:Year>1997</b:Year>
    <b:Publisher>Prentice Hall College Division</b:Publisher>
    <b:RefOrder>117</b:RefOrder>
  </b:Source>
  <b:Source>
    <b:Tag>Rob00</b:Tag>
    <b:SourceType>Book</b:SourceType>
    <b:Guid>{EDAED414-B64D-4D21-9B96-141A41A956B3}</b:Guid>
    <b:LCID>0</b:LCID>
    <b:Author>
      <b:Author>
        <b:NameList>
          <b:Person>
            <b:Last>Kiyosaki</b:Last>
            <b:First>Robert</b:First>
            <b:Middle>T.</b:Middle>
          </b:Person>
          <b:Person>
            <b:Last>Lechter</b:Last>
            <b:First>Sharon</b:First>
            <b:Middle>L.</b:Middle>
          </b:Person>
        </b:NameList>
      </b:Author>
    </b:Author>
    <b:Title>Rich Dad, Poor Dad: What the Rich Teach Their Kids About Money--That the Poor and Middle Class Do Not!</b:Title>
    <b:Year>2000</b:Year>
    <b:City>Lebanon, IN</b:City>
    <b:Publisher>Business Plus</b:Publisher>
    <b:RefOrder>118</b:RefOrder>
  </b:Source>
  <b:Source>
    <b:Tag>Ken04</b:Tag>
    <b:SourceType>Book</b:SourceType>
    <b:Guid>{FE902229-E76F-4D1C-832B-A144DFC080AB}</b:Guid>
    <b:LCID>0</b:LCID>
    <b:Author>
      <b:Author>
        <b:NameList>
          <b:Person>
            <b:Last>McElroy</b:Last>
            <b:First>Ken</b:First>
          </b:Person>
        </b:NameList>
      </b:Author>
    </b:Author>
    <b:Title>Rich Dad's Advisors®: The ABC's of Real Estate Investing: The Secrets of Finding Hidden Profits Most Investors Miss</b:Title>
    <b:Year>2004</b:Year>
    <b:City>Lebanon, IN</b:City>
    <b:Publisher>Business Plus</b:Publisher>
    <b:RefOrder>119</b:RefOrder>
  </b:Source>
  <b:Source>
    <b:Tag>Suz06</b:Tag>
    <b:SourceType>Book</b:SourceType>
    <b:Guid>{BE0AFC35-41AF-4814-8705-96101A0C843B}</b:Guid>
    <b:LCID>0</b:LCID>
    <b:Author>
      <b:Author>
        <b:NameList>
          <b:Person>
            <b:Last>Orman</b:Last>
            <b:First>Suze</b:First>
          </b:Person>
        </b:NameList>
      </b:Author>
    </b:Author>
    <b:Title>The 9 Steps to Financial Freedom: Practical and Spiritual Steps So You Can Stop Worrying, 3rd edition</b:Title>
    <b:Year>2006</b:Year>
    <b:City>New York, NY</b:City>
    <b:Publisher>Three Rivers Press</b:Publisher>
    <b:RefOrder>120</b:RefOrder>
  </b:Source>
  <b:Source>
    <b:Tag>Edw99</b:Tag>
    <b:SourceType>Book</b:SourceType>
    <b:Guid>{6E77E8F2-A5FC-4782-996E-E5B86C1A214C}</b:Guid>
    <b:LCID>0</b:LCID>
    <b:Author>
      <b:Author>
        <b:NameList>
          <b:Person>
            <b:Last>Gibbon</b:Last>
            <b:First>Edward</b:First>
          </b:Person>
        </b:NameList>
      </b:Author>
    </b:Author>
    <b:Title>Decline &amp; Fall of the Roman Empire, New Ed edition</b:Title>
    <b:Year>1999</b:Year>
    <b:City>Hertfordshire, United Kingdom</b:City>
    <b:Publisher>Wordsworth Editions Ltd</b:Publisher>
    <b:RefOrder>121</b:RefOrder>
  </b:Source>
  <b:Source>
    <b:Tag>And00</b:Tag>
    <b:SourceType>Book</b:SourceType>
    <b:Guid>{5DD97040-B36C-4D8B-B8BE-D3B161A3226B}</b:Guid>
    <b:LCID>0</b:LCID>
    <b:Author>
      <b:Author>
        <b:NameList>
          <b:Person>
            <b:Last>Shleifer</b:Last>
            <b:First>Andrei</b:First>
          </b:Person>
        </b:NameList>
      </b:Author>
    </b:Author>
    <b:Title>Inefficient Markets: An Introduction to Behavioral Finance</b:Title>
    <b:Year>2000</b:Year>
    <b:Publisher>Oxford University Press, USA</b:Publisher>
    <b:RefOrder>122</b:RefOrder>
  </b:Source>
  <b:Source>
    <b:Tag>Smi88</b:Tag>
    <b:SourceType>JournalArticle</b:SourceType>
    <b:Guid>{26FA2CD2-9F80-4068-A105-9E8922D74F96}</b:Guid>
    <b:LCID>0</b:LCID>
    <b:Author>
      <b:Author>
        <b:NameList>
          <b:Person>
            <b:Last>Smith</b:Last>
            <b:First>Vernon</b:First>
            <b:Middle>L.</b:Middle>
          </b:Person>
          <b:Person>
            <b:Last>Suchanek</b:Last>
            <b:First>Gerry</b:First>
            <b:Middle>L.</b:Middle>
          </b:Person>
          <b:Person>
            <b:Last>Williams</b:Last>
            <b:First>Arlington</b:First>
            <b:Middle>W.</b:Middle>
          </b:Person>
        </b:NameList>
      </b:Author>
    </b:Author>
    <b:Title>Bubbles, Crashes, and Endogenous Expectations in Experimental Spot Asset Markets.</b:Title>
    <b:Year>1988</b:Year>
    <b:JournalName>Econometrica</b:JournalName>
    <b:Pages>56</b:Pages>
    <b:RefOrder>123</b:RefOrder>
  </b:Source>
  <b:Source>
    <b:Tag>Shi03</b:Tag>
    <b:SourceType>Report</b:SourceType>
    <b:Guid>{39A25551-9783-4830-B8C2-5378AA692C42}</b:Guid>
    <b:LCID>0</b:LCID>
    <b:Author>
      <b:Author>
        <b:NameList>
          <b:Person>
            <b:Last>Shiratsuka</b:Last>
            <b:First>Shigenori</b:First>
          </b:Person>
        </b:NameList>
      </b:Author>
    </b:Author>
    <b:Title>Asset Price Bubble in Japan in the 1980s: Lessons for Financial and Macroeconomic Stability</b:Title>
    <b:Year>2003</b:Year>
    <b:Publisher>Institute for Monetary and Economic Studies -- Bank of Japan</b:Publisher>
    <b:City>Tokyo, Japan</b:City>
    <b:RefOrder>124</b:RefOrder>
  </b:Source>
  <b:Source>
    <b:Tag>Mic98</b:Tag>
    <b:SourceType>Book</b:SourceType>
    <b:Guid>{1DA911C7-CFB4-4B5D-8710-D50DCC1AE7C0}</b:Guid>
    <b:LCID>0</b:LCID>
    <b:Author>
      <b:Author>
        <b:NameList>
          <b:Person>
            <b:Last>Wolff</b:Last>
            <b:First>Michael</b:First>
          </b:Person>
        </b:NameList>
      </b:Author>
    </b:Author>
    <b:Title>Burn Rate: How I Survived the Gold Rush Years on the Internet </b:Title>
    <b:Year>1998</b:Year>
    <b:Publisher>Simon &amp; Schuster</b:Publisher>
    <b:City>New York, NY</b:City>
    <b:RefOrder>125</b:RefOrder>
  </b:Source>
  <b:Source>
    <b:Tag>Ala04</b:Tag>
    <b:SourceType>ConferenceProceedings</b:SourceType>
    <b:Guid>{5532EEE5-8601-421C-925E-C154B34101F2}</b:Guid>
    <b:LCID>0</b:LCID>
    <b:Author>
      <b:Author>
        <b:NameList>
          <b:Person>
            <b:Last>Greenspan</b:Last>
            <b:First>Alan</b:First>
          </b:Person>
        </b:NameList>
      </b:Author>
    </b:Author>
    <b:Title>Understanding Household Debt Obligations</b:Title>
    <b:Year>2004</b:Year>
    <b:City>Washington, DC</b:City>
    <b:Publisher>Federal Reserve Board</b:Publisher>
    <b:ConferenceName>Credit Union National Association 2004 Governmental Affairs Conference</b:ConferenceName>
    <b:RefOrder>2</b:RefOrder>
  </b:Source>
  <b:Source>
    <b:Tag>Dan04</b:Tag>
    <b:SourceType>ArticleInAPeriodical</b:SourceType>
    <b:Guid>{C6DEEC31-C84B-44BE-8AD0-80848CA8B97B}</b:Guid>
    <b:LCID>0</b:LCID>
    <b:Author>
      <b:Author>
        <b:NameList>
          <b:Person>
            <b:Last>Gross</b:Last>
            <b:First>Daniel</b:First>
          </b:Person>
        </b:NameList>
      </b:Author>
    </b:Author>
    <b:Title>Alan Greenspan: ARMed and Dangerous</b:Title>
    <b:Pages>1</b:Pages>
    <b:Year>2004</b:Year>
    <b:PeriodicalTitle>Slate Magazine: Moneybox</b:PeriodicalTitle>
    <b:Month>February</b:Month>
    <b:Day>27</b:Day>
    <b:RefOrder>126</b:RefOrder>
  </b:Source>
  <b:Source>
    <b:Tag>Lib04</b:Tag>
    <b:SourceType>Book</b:SourceType>
    <b:Guid>{9862300E-789A-493F-BBCE-15266049C0BB}</b:Guid>
    <b:LCID>0</b:LCID>
    <b:Author>
      <b:Author>
        <b:NameList>
          <b:Person>
            <b:Last>Libby</b:Last>
            <b:First>Robert</b:First>
          </b:Person>
          <b:Person>
            <b:Last>Libby</b:Last>
            <b:First>Patricia</b:First>
          </b:Person>
          <b:Person>
            <b:Last>Short</b:Last>
            <b:First>Daniel</b:First>
          </b:Person>
        </b:NameList>
      </b:Author>
    </b:Author>
    <b:Title>Financial Accounting, 4th Edition</b:Title>
    <b:Year>2004</b:Year>
    <b:City>Columbus, OH</b:City>
    <b:Publisher>McGraw-Hill</b:Publisher>
    <b:RefOrder>127</b:RefOrder>
  </b:Source>
  <b:Source>
    <b:Tag>Eri04</b:Tag>
    <b:SourceType>Report</b:SourceType>
    <b:Guid>{DBBA037B-493C-4E89-A083-E34F03F9909F}</b:Guid>
    <b:LCID>0</b:LCID>
    <b:Author>
      <b:Author>
        <b:NameList>
          <b:Person>
            <b:Last>Engen</b:Last>
            <b:First>Eric</b:First>
            <b:Middle>M.</b:Middle>
          </b:Person>
          <b:Person>
            <b:Last>Gale</b:Last>
            <b:First>William</b:First>
            <b:Middle>G.</b:Middle>
          </b:Person>
          <b:Person>
            <b:Last>Uccello</b:Last>
            <b:First>Cori</b:First>
            <b:Middle>E.</b:Middle>
          </b:Person>
        </b:NameList>
      </b:Author>
    </b:Author>
    <b:Title>Lifetime Earnings, Social Security Benefits, and the Adequacy of Retirement Wealth Accumulation</b:Title>
    <b:Year>2004</b:Year>
    <b:City>Washington, D.C.</b:City>
    <b:Publisher>Federal Reserve Board</b:Publisher>
    <b:RefOrder>128</b:RefOrder>
  </b:Source>
  <b:Source>
    <b:Tag>Ala96</b:Tag>
    <b:SourceType>ConferenceProceedings</b:SourceType>
    <b:Guid>{5EA3DC58-5FFE-4375-9294-1104BD4BE7CE}</b:Guid>
    <b:LCID>0</b:LCID>
    <b:Author>
      <b:Author>
        <b:NameList>
          <b:Person>
            <b:Last>Greenspan</b:Last>
            <b:First>Alan</b:First>
          </b:Person>
        </b:NameList>
      </b:Author>
    </b:Author>
    <b:Title>The Challenge of Central Banking in a Democratic Society</b:Title>
    <b:Year>1996</b:Year>
    <b:Publisher>Federal Reserve Board</b:Publisher>
    <b:City>Washington, D.C.</b:City>
    <b:ConferenceName>Annual Dinner and Francis Boyer Lecture of The American Enterprise Institute for Public Policy Research</b:ConferenceName>
    <b:RefOrder>129</b:RefOrder>
  </b:Source>
  <b:Source>
    <b:Tag>Joe98</b:Tag>
    <b:SourceType>Book</b:SourceType>
    <b:Guid>{E451E5B5-CDA9-4C13-AE81-A078EB866A01}</b:Guid>
    <b:LCID>0</b:LCID>
    <b:Author>
      <b:Author>
        <b:NameList>
          <b:Person>
            <b:Last>Vitale</b:Last>
            <b:First>Joe</b:First>
          </b:Person>
        </b:NameList>
      </b:Author>
    </b:Author>
    <b:Title>There's a Customer Born Every Minute: P.T. Barnum's Secrets to Business Success</b:Title>
    <b:Year>1998</b:Year>
    <b:Publisher>AMACOM</b:Publisher>
    <b:RefOrder>130</b:RefOrder>
  </b:Source>
  <b:Source>
    <b:Tag>Ker02</b:Tag>
    <b:SourceType>JournalArticle</b:SourceType>
    <b:Guid>{16E5FDE6-325B-4484-84B3-EE017D8424B0}</b:Guid>
    <b:LCID>0</b:LCID>
    <b:Author>
      <b:Author>
        <b:NameList>
          <b:Person>
            <b:Last>Baker</b:Last>
            <b:First>Kermit</b:First>
          </b:Person>
          <b:Person>
            <b:Last>Kaul</b:Last>
            <b:First>Bulbul</b:First>
          </b:Person>
        </b:NameList>
      </b:Author>
    </b:Author>
    <b:Title> Using Multiperiod Variables in the Analysis of Home Improvement Decisions by Homeowners</b:Title>
    <b:Year>2002</b:Year>
    <b:JournalName>Real Estate Economics</b:JournalName>
    <b:Pages>551+</b:Pages>
    <b:RefOrder>131</b:RefOrder>
  </b:Source>
  <b:Source>
    <b:Tag>Jus99</b:Tag>
    <b:SourceType>JournalArticle</b:SourceType>
    <b:Guid>{17CC5991-78C9-4C3C-9E1B-F78093EB3C60}</b:Guid>
    <b:LCID>0</b:LCID>
    <b:Author>
      <b:Author>
        <b:NameList>
          <b:Person>
            <b:Last>Kruger</b:Last>
            <b:First>Justin</b:First>
          </b:Person>
          <b:Person>
            <b:Last>Dunning</b:Last>
            <b:First>David</b:First>
          </b:Person>
        </b:NameList>
      </b:Author>
    </b:Author>
    <b:Title>Unskilled and Unaware of It: How Difficulties in Recognizing One's Own Incompetence Lead to Inflated Self-Assessments</b:Title>
    <b:JournalName>Journal of Personality and Social Psychology</b:JournalName>
    <b:Year>1999</b:Year>
    <b:Pages>14</b:Pages>
    <b:RefOrder>132</b:RefOrder>
  </b:Source>
  <b:Source>
    <b:Tag>Jes06</b:Tag>
    <b:SourceType>Book</b:SourceType>
    <b:Guid>{E5B5E77D-2C6C-45FE-89AF-0A0A765760FB}</b:Guid>
    <b:LCID>0</b:LCID>
    <b:Author>
      <b:Author>
        <b:NameList>
          <b:Person>
            <b:Last>Soto</b:Last>
            <b:First>Jesus</b:First>
            <b:Middle>Huerta de</b:Middle>
          </b:Person>
        </b:NameList>
      </b:Author>
    </b:Author>
    <b:Title>Money, Bank Credit, and Economic Cycles</b:Title>
    <b:Year>2006</b:Year>
    <b:Publisher>Ludwig von Mises Institute</b:Publisher>
    <b:RefOrder>133</b:RefOrder>
  </b:Source>
  <b:Source>
    <b:Tag>Cli05</b:Tag>
    <b:SourceType>ArticleInAPeriodical</b:SourceType>
    <b:Guid>{BA575F8D-168B-4C3A-91D1-031A6CA87A80}</b:Guid>
    <b:LCID>0</b:LCID>
    <b:Author>
      <b:Author>
        <b:NameList>
          <b:Person>
            <b:Last>Hockley</b:Last>
            <b:First>Clifford</b:First>
            <b:Middle>A.</b:Middle>
          </b:Person>
        </b:NameList>
      </b:Author>
    </b:Author>
    <b:Title>Are CAP Rates Still a Valid Indicator of Value?</b:Title>
    <b:Year>2005</b:Year>
    <b:PeriodicalTitle>RealtyTimes</b:PeriodicalTitle>
    <b:Month>June</b:Month>
    <b:Day>7</b:Day>
    <b:Pages>1</b:Pages>
    <b:RefOrder>134</b:RefOrder>
  </b:Source>
  <b:Source>
    <b:Tag>Sor94</b:Tag>
    <b:SourceType>Book</b:SourceType>
    <b:Guid>{356DC66B-45A7-41CC-B95C-E7E12E16A341}</b:Guid>
    <b:LCID>0</b:LCID>
    <b:Author>
      <b:Author>
        <b:NameList>
          <b:Person>
            <b:Last>Soros</b:Last>
            <b:First>George</b:First>
          </b:Person>
        </b:NameList>
      </b:Author>
    </b:Author>
    <b:Title>The Alchemy of Finance: Reading the Mind of the Market</b:Title>
    <b:Year>1994</b:Year>
    <b:City>New York, NY</b:City>
    <b:Publisher>John Wiley &amp; Sons, Inc.</b:Publisher>
    <b:RefOrder>135</b:RefOrder>
  </b:Source>
  <b:Source>
    <b:Tag>Dou06</b:Tag>
    <b:SourceType>Book</b:SourceType>
    <b:Guid>{7A9E9F22-95C1-4E25-82DA-996608233338}</b:Guid>
    <b:LCID>0</b:LCID>
    <b:Author>
      <b:Author>
        <b:NameList>
          <b:Person>
            <b:Last>Lucas</b:Last>
            <b:First>Douglas</b:First>
            <b:Middle>J.</b:Middle>
          </b:Person>
          <b:Person>
            <b:Last>Goodman</b:Last>
            <b:First>Laurie</b:First>
            <b:Middle>S.</b:Middle>
          </b:Person>
          <b:Person>
            <b:Last>Fabozzi</b:Last>
            <b:First>Frank</b:First>
            <b:Middle>J.</b:Middle>
          </b:Person>
        </b:NameList>
      </b:Author>
    </b:Author>
    <b:Title>Collateralized Debt Obligations: Structures and Analysis, 2nd Edition</b:Title>
    <b:Year>2006</b:Year>
    <b:City>New York, NY</b:City>
    <b:Publisher>John Wiley &amp; Sons Inc</b:Publisher>
    <b:RefOrder>136</b:RefOrder>
  </b:Source>
  <b:Source>
    <b:Tag>Sat05</b:Tag>
    <b:SourceType>Book</b:SourceType>
    <b:Guid>{01572B05-A85C-49B7-BC36-06B715661AA6}</b:Guid>
    <b:LCID>0</b:LCID>
    <b:Author>
      <b:Author>
        <b:NameList>
          <b:Person>
            <b:Last>Das</b:Last>
            <b:First>Satyajit</b:First>
          </b:Person>
        </b:NameList>
      </b:Author>
    </b:Author>
    <b:Title>Credit Derivatives: CDOs and Structured Credit Products</b:Title>
    <b:Year>2005</b:Year>
    <b:City>New York, NY</b:City>
    <b:Publisher>John Wiley &amp; Sons, Inc.</b:Publisher>
    <b:RefOrder>137</b:RefOrder>
  </b:Source>
  <b:Source>
    <b:Tag>Fra06</b:Tag>
    <b:SourceType>Book</b:SourceType>
    <b:Guid>{FF08D952-4D77-459B-B163-25E035F68E7C}</b:Guid>
    <b:LCID>0</b:LCID>
    <b:Author>
      <b:Author>
        <b:NameList>
          <b:Person>
            <b:Last>Fabozzi</b:Last>
            <b:First>Frank</b:First>
            <b:Middle>J.</b:Middle>
          </b:Person>
          <b:Person>
            <b:Last>Davis</b:Last>
            <b:First>Henry</b:First>
            <b:Middle>A.</b:Middle>
          </b:Person>
          <b:Person>
            <b:Last>Choudhry</b:Last>
            <b:First>Moorad</b:First>
          </b:Person>
        </b:NameList>
      </b:Author>
    </b:Author>
    <b:Title>Introduction to Structured Finance</b:Title>
    <b:Year>2006</b:Year>
    <b:City>New York, NY</b:City>
    <b:Publisher>John Wiley &amp; Sons, Inc.</b:Publisher>
    <b:RefOrder>138</b:RefOrder>
  </b:Source>
  <b:Source>
    <b:Tag>War02</b:Tag>
    <b:SourceType>Report</b:SourceType>
    <b:Guid>{3E5312EC-544B-4C84-AEE2-4166ABAA7DA1}</b:Guid>
    <b:LCID>0</b:LCID>
    <b:Author>
      <b:Author>
        <b:NameList>
          <b:Person>
            <b:Last>Buffet</b:Last>
            <b:First>Warren</b:First>
          </b:Person>
        </b:NameList>
      </b:Author>
    </b:Author>
    <b:Title>Berkshire Hathaway annual report for 2002</b:Title>
    <b:Year>2002</b:Year>
    <b:City>Omaha, NE</b:City>
    <b:Publisher>Berkshire Hathaway</b:Publisher>
    <b:RefOrder>4</b:RefOrder>
  </b:Source>
  <b:Source>
    <b:Tag>She05</b:Tag>
    <b:SourceType>Book</b:SourceType>
    <b:Guid>{91523FA8-764A-4E7C-841B-E8EA805769C1}</b:Guid>
    <b:LCID>0</b:LCID>
    <b:Author>
      <b:Author>
        <b:NameList>
          <b:Person>
            <b:Last>Heffernan</b:Last>
            <b:First>Shelagh</b:First>
          </b:Person>
        </b:NameList>
      </b:Author>
    </b:Author>
    <b:Title>Modern Banking</b:Title>
    <b:Year>2005</b:Year>
    <b:Publisher>John Wiley &amp; Sons, Inc.</b:Publisher>
    <b:City>New York, NY</b:City>
    <b:RefOrder>5</b:RefOrder>
  </b:Source>
  <b:Source>
    <b:Tag>Ric04</b:Tag>
    <b:SourceType>Book</b:SourceType>
    <b:Guid>{4D00D5B4-C667-4AC9-AAFF-5FA182DEDB5F}</b:Guid>
    <b:LCID>0</b:LCID>
    <b:Author>
      <b:Author>
        <b:NameList>
          <b:Person>
            <b:Last>Burdekin</b:Last>
            <b:First>Richard</b:First>
            <b:Middle>C.K.</b:Middle>
          </b:Person>
          <b:Person>
            <b:Last>Siklos</b:Last>
            <b:First>Pierre</b:First>
            <b:Middle>L.</b:Middle>
          </b:Person>
        </b:NameList>
      </b:Author>
    </b:Author>
    <b:Title>Deflation: Current and Historical Perspectives (Studies in Macroeconomic History) </b:Title>
    <b:Year>2004</b:Year>
    <b:City>New York, NY</b:City>
    <b:Publisher>Cambridge University Press</b:Publisher>
    <b:RefOrder>139</b:RefOrder>
  </b:Source>
  <b:Source>
    <b:Tag>Bla04</b:Tag>
    <b:SourceType>Book</b:SourceType>
    <b:Guid>{058E08EA-A975-46A7-A898-41E575AA8EB4}</b:Guid>
    <b:LCID>0</b:LCID>
    <b:Author>
      <b:Author>
        <b:NameList>
          <b:Person>
            <b:Last>Ganguin</b:Last>
            <b:First>Blaise</b:First>
          </b:Person>
          <b:Person>
            <b:Last>Bilardello</b:Last>
            <b:First>John</b:First>
          </b:Person>
        </b:NameList>
      </b:Author>
    </b:Author>
    <b:Title>Standard &amp; Poor's Fundamentals of Corporate Credit Analysis</b:Title>
    <b:Year>2004</b:Year>
    <b:City>New York, NY</b:City>
    <b:Publisher>McGraw-Hill</b:Publisher>
    <b:RefOrder>140</b:RefOrder>
  </b:Source>
  <b:Source>
    <b:Tag>Wil06</b:Tag>
    <b:SourceType>JournalArticle</b:SourceType>
    <b:Guid>{F89442EB-E228-4470-860D-73AECA12BF06}</b:Guid>
    <b:LCID>0</b:LCID>
    <b:Author>
      <b:Author>
        <b:NameList>
          <b:Person>
            <b:Last>Jaeger</b:Last>
            <b:First>William</b:First>
          </b:Person>
        </b:NameList>
      </b:Author>
    </b:Author>
    <b:Title> The Effects of Land-Use Regulations on Property Values</b:Title>
    <b:Year>2006</b:Year>
    <b:JournalName>Environmental Law</b:JournalName>
    <b:Pages>105+</b:Pages>
    <b:RefOrder>141</b:RefOrder>
  </b:Source>
  <b:Source>
    <b:Tag>And07</b:Tag>
    <b:SourceType>Report</b:SourceType>
    <b:Guid>{167F3DE9-C8B6-4BD1-9A88-C4195B7ECEED}</b:Guid>
    <b:LCID>0</b:LCID>
    <b:Author>
      <b:Author>
        <b:NameList>
          <b:Person>
            <b:Last>Leventis</b:Last>
            <b:First>Andrew</b:First>
          </b:Person>
        </b:NameList>
      </b:Author>
    </b:Author>
    <b:Title>A Note on the Differences between the OFHEO and S&amp;P/Case-Shiller House Price Indexes</b:Title>
    <b:Year>2007</b:Year>
    <b:Publisher>Office of Federal Housing Enterprise Oversight</b:Publisher>
    <b:City>Washington, D.C.</b:City>
    <b:RefOrder>142</b:RefOrder>
  </b:Source>
  <b:Source>
    <b:Tag>Ben07</b:Tag>
    <b:SourceType>ConferenceProceedings</b:SourceType>
    <b:Guid>{D018881A-045D-420A-A852-6B9024F3BED5}</b:Guid>
    <b:LCID>0</b:LCID>
    <b:Author>
      <b:Author>
        <b:NameList>
          <b:Person>
            <b:Last>Bernanke</b:Last>
            <b:First>Ben</b:First>
          </b:Person>
        </b:NameList>
      </b:Author>
    </b:Author>
    <b:Title>The Economic Outlook</b:Title>
    <b:Year>2007</b:Year>
    <b:Publisher>Board of Governers of the Federal Reserve</b:Publisher>
    <b:City>Washington, D.C.</b:City>
    <b:Pages>1</b:Pages>
    <b:ConferenceName>Before the Joint Economic Committee, U.S. Congress</b:ConferenceName>
    <b:RefOrder>143</b:RefOrder>
  </b:Source>
  <b:Source>
    <b:Tag>NGr06</b:Tag>
    <b:SourceType>Book</b:SourceType>
    <b:Guid>{4C967DA7-C74F-4AC2-B36A-8D455993AC44}</b:Guid>
    <b:LCID>0</b:LCID>
    <b:Author>
      <b:Author>
        <b:NameList>
          <b:Person>
            <b:Last>Mankiw</b:Last>
            <b:First>N.</b:First>
            <b:Middle>Gregory</b:Middle>
          </b:Person>
        </b:NameList>
      </b:Author>
    </b:Author>
    <b:Title>Principles of Macroeconomics</b:Title>
    <b:Year>2006</b:Year>
    <b:Publisher>South-Western College Pub; 4 edition</b:Publisher>
    <b:RefOrder>144</b:RefOrder>
  </b:Source>
  <b:Source>
    <b:Tag>Rob04</b:Tag>
    <b:SourceType>Book</b:SourceType>
    <b:Guid>{94DFC19C-5897-49ED-85AD-CA4D82F7D4E4}</b:Guid>
    <b:LCID>0</b:LCID>
    <b:Author>
      <b:Author>
        <b:NameList>
          <b:Person>
            <b:Last>Miles</b:Last>
            <b:First>Robert</b:First>
            <b:Middle>P.</b:Middle>
          </b:Person>
        </b:NameList>
      </b:Author>
    </b:Author>
    <b:Title>Warren Buffett Wealth: Principles and Practical Methods Used by the World's Greatest Investor</b:Title>
    <b:Year>2004</b:Year>
    <b:City>New York, NY</b:City>
    <b:Publisher>John Wiley &amp; Sons, Inc.</b:Publisher>
    <b:RefOrder>145</b:RefOrder>
  </b:Source>
  <b:Source>
    <b:Tag>Per04</b:Tag>
    <b:SourceType>ArticleInAPeriodical</b:SourceType>
    <b:Guid>{57189CD6-C76C-49E5-A143-7F32EA836F1D}</b:Guid>
    <b:LCID>0</b:LCID>
    <b:Author>
      <b:Author>
        <b:NameList>
          <b:Person>
            <b:Last>Capell</b:Last>
            <b:First>Perri</b:First>
          </b:Person>
        </b:NameList>
      </b:Author>
    </b:Author>
    <b:Title>Eight Tips for Buyers Making Competitive Bids</b:Title>
    <b:Year>2004</b:Year>
    <b:PeriodicalTitle>Real Estate Journal.com</b:PeriodicalTitle>
    <b:Pages>1</b:Pages>
    <b:RefOrder>146</b:RefOrder>
  </b:Source>
  <b:Source>
    <b:Tag>Geo50</b:Tag>
    <b:SourceType>Book</b:SourceType>
    <b:Guid>{9CA1970B-1E09-4D26-ADD3-0C7B51AAA07E}</b:Guid>
    <b:LCID>0</b:LCID>
    <b:Author>
      <b:Author>
        <b:NameList>
          <b:Person>
            <b:Last>Orwell</b:Last>
            <b:First>George</b:First>
          </b:Person>
        </b:NameList>
      </b:Author>
    </b:Author>
    <b:Title>1984</b:Title>
    <b:Year>1950</b:Year>
    <b:City>New York, NY</b:City>
    <b:Publisher>Signet Classics</b:Publisher>
    <b:RefOrder>147</b:RefOrder>
  </b:Source>
  <b:Source>
    <b:Tag>Les02</b:Tag>
    <b:SourceType>ArticleInAPeriodical</b:SourceType>
    <b:Guid>{3364C6F7-816E-4C2A-AB72-CBBE0B515925}</b:Guid>
    <b:LCID>0</b:LCID>
    <b:Author>
      <b:Author>
        <b:NameList>
          <b:Person>
            <b:Last>Geary</b:Last>
            <b:First>Leslie</b:First>
            <b:Middle>Haggin</b:Middle>
          </b:Person>
        </b:NameList>
      </b:Author>
    </b:Author>
    <b:Title>Riches to Rags: Millionairs who go Bust</b:Title>
    <b:Year>2002</b:Year>
    <b:PeriodicalTitle>CNN/Money</b:PeriodicalTitle>
    <b:Month>May</b:Month>
    <b:Day>21</b:Day>
    <b:Pages>1</b:Pages>
    <b:RefOrder>148</b:RefOrder>
  </b:Source>
  <b:Source>
    <b:Tag>Par06</b:Tag>
    <b:SourceType>ArticleInAPeriodical</b:SourceType>
    <b:Guid>{4DE8589C-2E0D-4190-987D-65FC7565AC08}</b:Guid>
    <b:LCID>0</b:LCID>
    <b:Author>
      <b:Author>
        <b:NameList>
          <b:Person>
            <b:Last>Sullivan</b:Last>
            <b:First>Partricia</b:First>
          </b:Person>
        </b:NameList>
      </b:Author>
    </b:Author>
    <b:Title>William 'Bud' Post III; Unhappy Lottery Winner</b:Title>
    <b:PeriodicalTitle>Washington Post</b:PeriodicalTitle>
    <b:Year>2006</b:Year>
    <b:Month>January</b:Month>
    <b:Day>20</b:Day>
    <b:Pages>1</b:Pages>
    <b:RefOrder>149</b:RefOrder>
  </b:Source>
  <b:Source>
    <b:Tag>Bus06</b:Tag>
    <b:SourceType>ArticleInAPeriodical</b:SourceType>
    <b:Guid>{9C5F922E-4CF1-4EBE-8EC4-DC42031C99A8}</b:Guid>
    <b:LCID>0</b:LCID>
    <b:Author>
      <b:Author>
        <b:Corporate>BusinessWeek Magazine </b:Corporate>
      </b:Author>
    </b:Author>
    <b:Title>Nightmare Mortgages</b:Title>
    <b:PeriodicalTitle>BusinessWeek</b:PeriodicalTitle>
    <b:Year>2006</b:Year>
    <b:Month>September</b:Month>
    <b:Day>11</b:Day>
    <b:Pages>1</b:Pages>
    <b:RefOrder>150</b:RefOrder>
  </b:Source>
  <b:Source>
    <b:Tag>Mit05</b:Tag>
    <b:SourceType>Book</b:SourceType>
    <b:Guid>{2DB5694D-2851-466D-8DEF-C539AC6FB9F8}</b:Guid>
    <b:LCID>0</b:LCID>
    <b:Author>
      <b:Author>
        <b:NameList>
          <b:Person>
            <b:Last>Zuckoff</b:Last>
            <b:First>Mitchell</b:First>
          </b:Person>
        </b:NameList>
      </b:Author>
    </b:Author>
    <b:Title>Ponzi's Scheme: The True Story of a Financial Legend</b:Title>
    <b:Year>2005</b:Year>
    <b:City>New York, NY</b:City>
    <b:Publisher>Random House</b:Publisher>
    <b:RefOrder>151</b:RefOrder>
  </b:Source>
  <b:Source>
    <b:Tag>Hym82</b:Tag>
    <b:SourceType>Book</b:SourceType>
    <b:Guid>{20069ABA-2F69-4068-A6A9-0E7DCEB1A5EF}</b:Guid>
    <b:LCID>0</b:LCID>
    <b:Author>
      <b:Author>
        <b:NameList>
          <b:Person>
            <b:Last>Minsky</b:Last>
            <b:First>Hyman</b:First>
            <b:Middle>P.</b:Middle>
          </b:Person>
        </b:NameList>
      </b:Author>
    </b:Author>
    <b:Title>Can "It" Happen Again? Essays on Instability and Finance</b:Title>
    <b:Year>1982</b:Year>
    <b:City>Unknown</b:City>
    <b:Publisher>M.E. Sharpe</b:Publisher>
    <b:RefOrder>152</b:RefOrder>
  </b:Source>
  <b:Source>
    <b:Tag>Hym08</b:Tag>
    <b:SourceType>Book</b:SourceType>
    <b:Guid>{C8F49C51-FA2D-4278-AAF8-652187E87B9F}</b:Guid>
    <b:LCID>0</b:LCID>
    <b:Author>
      <b:Author>
        <b:NameList>
          <b:Person>
            <b:Last>Minsky</b:Last>
            <b:First>Hyman</b:First>
            <b:Middle>P.</b:Middle>
          </b:Person>
        </b:NameList>
      </b:Author>
    </b:Author>
    <b:Title>Stablizing an Unstable Economy</b:Title>
    <b:Year>2008</b:Year>
    <b:City>New York, NY</b:City>
    <b:Publisher>McGraw-Hill</b:Publisher>
    <b:RefOrder>153</b:RefOrder>
  </b:Source>
  <b:Source>
    <b:Tag>Hen07</b:Tag>
    <b:SourceType>ConferenceProceedings</b:SourceType>
    <b:Guid>{608434F3-CB00-4E3F-A8FA-11A971E0C1D6}</b:Guid>
    <b:LCID>0</b:LCID>
    <b:Author>
      <b:Author>
        <b:NameList>
          <b:Person>
            <b:Last>Paulson</b:Last>
            <b:First>Henry</b:First>
            <b:Middle>M.</b:Middle>
          </b:Person>
        </b:NameList>
      </b:Author>
    </b:Author>
    <b:Title>Current Housing and Mortgage Market Developments</b:Title>
    <b:Year>2007</b:Year>
    <b:City>Washington, D.C.</b:City>
    <b:Publisher>US Department of Treasury</b:Publisher>
    <b:Pages>1</b:Pages>
    <b:ConferenceName>Georgetown University Law Center</b:ConferenceName>
    <b:RefOrder>7</b:RefOrder>
  </b:Source>
  <b:Source>
    <b:Tag>Mar91</b:Tag>
    <b:SourceType>Book</b:SourceType>
    <b:Guid>{72F9ED27-3921-410D-A00C-1829405FA25C}</b:Guid>
    <b:LCID>0</b:LCID>
    <b:Author>
      <b:Author>
        <b:NameList>
          <b:Person>
            <b:Last>Lowy</b:Last>
            <b:First>Martin</b:First>
          </b:Person>
        </b:NameList>
      </b:Author>
    </b:Author>
    <b:Title>High Rollers: Inside the Savings and Loan Debacle</b:Title>
    <b:Year>1991</b:Year>
    <b:City>Westport, CT</b:City>
    <b:Publisher>Praeger Publishers</b:Publisher>
    <b:RefOrder>154</b:RefOrder>
  </b:Source>
  <b:Source>
    <b:Tag>Ben08</b:Tag>
    <b:SourceType>ConferenceProceedings</b:SourceType>
    <b:Guid>{A9A22730-2D18-4D41-AE29-054A32D7F4D9}</b:Guid>
    <b:LCID>0</b:LCID>
    <b:Author>
      <b:Author>
        <b:NameList>
          <b:Person>
            <b:Last>Bernanke</b:Last>
            <b:First>Ben</b:First>
            <b:Middle>S.</b:Middle>
          </b:Person>
        </b:NameList>
      </b:Author>
    </b:Author>
    <b:Title>Reducing Preventable Mortgage Foreclosures</b:Title>
    <b:Year>2008</b:Year>
    <b:City>Orlando, FL</b:City>
    <b:Publisher>Board of Governors of the Federal Reserve System</b:Publisher>
    <b:Pages>1</b:Pages>
    <b:ConferenceName>Independent Community Bankers of America Annual Convention</b:ConferenceName>
    <b:RefOrder>8</b:RefOrder>
  </b:Source>
  <b:Source>
    <b:Tag>Fra46</b:Tag>
    <b:SourceType>Film</b:SourceType>
    <b:Guid>{6C8F7839-4C7C-4781-8DEF-C55887EAD905}</b:Guid>
    <b:LCID>0</b:LCID>
    <b:Author>
      <b:Director>
        <b:NameList>
          <b:Person>
            <b:Last>Capra</b:Last>
            <b:First>Frank</b:First>
          </b:Person>
        </b:NameList>
      </b:Director>
    </b:Author>
    <b:Title>It's a Wonderful Life</b:Title>
    <b:Year>1946</b:Year>
    <b:RefOrder>155</b:RefOrder>
  </b:Source>
  <b:Source>
    <b:Tag>Geo05</b:Tag>
    <b:SourceType>Report</b:SourceType>
    <b:Guid>{1784DCAC-FA45-4849-8EB7-E58E105555FF}</b:Guid>
    <b:LCID>0</b:LCID>
    <b:Title>Are Legislative Solutions to Abusive Mortgage Lending Practices Throwing Out the Baby with The Bath? Guidance From Empirical Research</b:Title>
    <b:Author>
      <b:Author>
        <b:NameList>
          <b:Person>
            <b:Last>Wallace</b:Last>
            <b:First>George</b:First>
          </b:Person>
          <b:Person>
            <b:Last>Elliehausen</b:Last>
            <b:First>Gregory</b:First>
          </b:Person>
          <b:Person>
            <b:Last>Staten</b:Last>
            <b:First>Michael</b:First>
          </b:Person>
        </b:NameList>
      </b:Author>
    </b:Author>
    <b:Year>2005</b:Year>
    <b:Publisher>Georgetown University</b:Publisher>
    <b:City>Washington, D.C.</b:City>
    <b:RefOrder>156</b:RefOrder>
  </b:Source>
  <b:Source>
    <b:Tag>Dan071</b:Tag>
    <b:SourceType>ArticleInAPeriodical</b:SourceType>
    <b:Guid>{37A8F1B3-F31D-4BE7-85F9-9F6FC4B68369}</b:Guid>
    <b:LCID>0</b:LCID>
    <b:Author>
      <b:Author>
        <b:NameList>
          <b:Person>
            <b:Last>Gross</b:Last>
            <b:First>Daniel</b:First>
          </b:Person>
        </b:NameList>
      </b:Author>
    </b:Author>
    <b:Title>The Real Morons of Orange County</b:Title>
    <b:Year>2007</b:Year>
    <b:PeriodicalTitle>Moneybox</b:PeriodicalTitle>
    <b:Month>July</b:Month>
    <b:Day>26</b:Day>
    <b:Pages>1</b:Pages>
    <b:RefOrder>1</b:RefOrder>
  </b:Source>
</b:Sources>
</file>

<file path=customXml/itemProps1.xml><?xml version="1.0" encoding="utf-8"?>
<ds:datastoreItem xmlns:ds="http://schemas.openxmlformats.org/officeDocument/2006/customXml" ds:itemID="{46F7C87C-67A3-4291-99CF-8696AC426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248</Pages>
  <Words>82057</Words>
  <Characters>505474</Characters>
  <Application>Microsoft Office Word</Application>
  <DocSecurity>0</DocSecurity>
  <Lines>6480</Lines>
  <Paragraphs>2588</Paragraphs>
  <ScaleCrop>false</ScaleCrop>
  <HeadingPairs>
    <vt:vector size="2" baseType="variant">
      <vt:variant>
        <vt:lpstr>Title</vt:lpstr>
      </vt:variant>
      <vt:variant>
        <vt:i4>1</vt:i4>
      </vt:variant>
    </vt:vector>
  </HeadingPairs>
  <TitlesOfParts>
    <vt:vector size="1" baseType="lpstr">
      <vt:lpstr>THE GREAT HOUSING BUBBLE</vt:lpstr>
    </vt:vector>
  </TitlesOfParts>
  <Company>Main Street Independent</Company>
  <LinksUpToDate>false</LinksUpToDate>
  <CharactersWithSpaces>584943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Great Housing Bubble: Why Did House Prices Fall?</dc:title>
  <dc:subject>Why Did House Prices Fall?</dc:subject>
  <dc:creator>Lawrence Roberts</dc:creator>
  <dc:description>Originally published by Monterey Cypress Publishing, a division of Monterey Cypress, LLC in 2008. Reissued by Main Street Independent under CC0 1.0 Universal on 2026-08-29. To the extent possible under law, this MSI reissue is dedicated to the public domain under CC0 1.0 Universal: https://creativecommons.org/publicdomain/zero/1.0/ Canonical MSI edition: https://mainstreetindependent.com/books/great-housing-bubble</dc:description>
  <cp:lastModifiedBy>Lawrence Roberts</cp:lastModifiedBy>
  <cp:revision>3</cp:revision>
  <cp:lastPrinted>2026-08-29T10:46:00Z</cp:lastPrinted>
  <dcterms:created xsi:type="dcterms:W3CDTF">2026-08-29T10:46:00Z</dcterms:created>
  <dcterms:modified xsi:type="dcterms:W3CDTF">2026-08-29T10:53:00Z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Main Street Independent</vt:lpwstr>
  </property>
  <property fmtid="{D5CDD505-2E9C-101B-9397-08002B2CF9AE}" pid="3" name="Original Publisher">
    <vt:lpwstr>Monterey Cypress Publishing, a division of Monterey Cypress, LLC</vt:lpwstr>
  </property>
  <property fmtid="{D5CDD505-2E9C-101B-9397-08002B2CF9AE}" pid="4" name="Original Publication Date">
    <vt:lpwstr>2008</vt:lpwstr>
  </property>
  <property fmtid="{D5CDD505-2E9C-101B-9397-08002B2CF9AE}" pid="5" name="Reissue Date">
    <vt:lpwstr>2026-08-29</vt:lpwstr>
  </property>
  <property fmtid="{D5CDD505-2E9C-101B-9397-08002B2CF9AE}" pid="6" name="Rights">
    <vt:lpwstr>CC0 1.0 Universal</vt:lpwstr>
  </property>
  <property fmtid="{D5CDD505-2E9C-101B-9397-08002B2CF9AE}" pid="7" name="License URL">
    <vt:lpwstr>https://creativecommons.org/publicdomain/zero/1.0/</vt:lpwstr>
  </property>
  <property fmtid="{D5CDD505-2E9C-101B-9397-08002B2CF9AE}" pid="8" name="Canonical URL">
    <vt:lpwstr>https://mainstreetindependent.com/books/great-housing-bubble</vt:lpwstr>
  </property>
  <property fmtid="{D5CDD505-2E9C-101B-9397-08002B2CF9AE}" pid="9" name="ISBN-10">
    <vt:lpwstr>0-615-22693-0</vt:lpwstr>
  </property>
  <property fmtid="{D5CDD505-2E9C-101B-9397-08002B2CF9AE}" pid="10" name="ISBN-13">
    <vt:lpwstr>978-0-615-22693-4</vt:lpwstr>
  </property>
</Properties>
</file>